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de estudo de impacto BACI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de metodologia para revisão antes da coleta</w:t>
      </w:r>
    </w:p>
    <w:p>
      <w:pPr>
        <w:pStyle w:val="Titre1"/>
      </w:pPr>
      <w:r>
        <w:t xml:space="preserve">Pergunta do estudo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 definir</w:t>
      </w:r>
    </w:p>
    <w:p>
      <w:pPr>
        <w:pStyle w:val="Titre1"/>
      </w:pPr>
      <w:r>
        <w:t xml:space="preserve">Material e métodos previstos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Será realizado um estudo observacional do tipo BACI. Serão visitados 8 sítios (Impacto 4; Referência 4), em 12 campanhas, com 3 subamostras por sítio e campanha.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Alcance previsto: Um empreendimento / sistema específico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Critérios de seleção: A definir e justificar antes da coleta.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Procedimentos e esforço: Três arrastos padronizados por sítio e campanha.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 início do impacto está previsto para 2028-01-01. As campanhas previstas são: A01 2027-01-15; A02 2027-03-15; A03 2027-05-15; A04 2027-07-15; A05 2027-09-15; A06 2027-11-15; D01 2028-01-15; D02 2028-03-15; D03 2028-05-15; D04 2028-07-15; D05 2028-09-15; D06 2028-11-15.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Janela e ordem de visita: A definir, com condições comparáveis entre sítios.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Covariáveis e outras mudanças: A definir.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BACI compara a mudança antes/depois no impacto com a mudança nas referências. A comparação reduz explicações alternativas, mas não elimina confundimento nem prova causalidade por si só.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As subamostras serão registradas separadamente e ligadas ao sítio e à campanha. A análise deverá respeitar ambientes compartilhados, dependência espacial e revisitas. A independência não decorre da contagem de sítios. O painel não escolhe um teste nem calcula poder amostral.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Registro prévio, referências e pendências: A completar antes da coleta.</w:t>
      </w:r>
    </w:p>
    <w:p>
      <w:pPr>
        <w:pStyle w:val="Titre1"/>
      </w:pPr>
      <w:r>
        <w:t xml:space="preserve">Distribuição prevista das unidades amostrais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UAs_iniciais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Campanhas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Subamostras_por_visita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Linhas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Referência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</w:tbl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previsto: 8 sítios e 288 linhas de coleta (sítio × campanha × subamostra). Essas contagens não demonstram independência nem representam um cálculo de tamanho amostral.</w:t>
      </w:r>
    </w:p>
    <w:p>
      <w:pPr>
        <w:sectPr>
          <w:pgMar w:header="708" w:bottom="1138" w:top="1138" w:right="1138" w:left="1138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869680" cy="541050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54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Planilha de coleta — primeiras linhas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Prévia das primeiras 8 de 288 linhas (sítio × campanha × subamostra). As respostas ficam vazias; o dicionário explica todas as colunas.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  <w:gridCol w:w="1397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sitio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condicao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campanha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data_prevista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subamostra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data_real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esforco_real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observacoes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cpue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2027-01-15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2027-01-15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2027-01-15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2027-03-15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2027-03-15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2027-03-15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2027-05-15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Impacto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2027-05-15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Variáveis e registro da coleta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coluna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unidade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descricao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Sítio permanente; registre ambiente e fonte na aba sitios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condicao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Condição: primeiro impacto, depois referência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campanha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Campanha compartilhada por todos os sítios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periodo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Antes ou depois do início previsto do impacto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data_prevista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indicativa no formato AAAA-MM-DD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subamostra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Medida interna ao sítio nesta campanha; não é réplica de impacto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data_real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efetiva da coleta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esforco_real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Esforço efetivamente realizado, com unidade definida no protocolo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observacoes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Desvios do protocolo e motivos de ausências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kg/arrasto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Resposta medida em kg/arrasto</w:t>
            </w:r>
          </w:p>
        </w:tc>
      </w:tr>
    </w:tbl>
    <w:p>
      <w:pPr>
        <w:pStyle w:val="Titre1"/>
      </w:pPr>
      <w:r>
        <w:t xml:space="preserve">Cuidados e pontos a conferir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Escreva o efeito esperado, a resposta, a área de influência e a data do impacto antes de escolher sítios.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Registre o ambiente e a fonte de cada sítio. Quatro pontos num canal e quatro noutro são oito sítios em dois canais; não quatro ambientes independentes por condição.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Escolha referências por habitat, profundidade e conectividade; confirme que ficam fora da influência do impacto. Um canal de referência limita a separação entre condição e ambiente.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 impacto específico pode ser acompanhado com vários ambientes de referência e várias campanhas antes/depois (desenho assimétrico). A conclusão continua ligada ao evento estudado.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Campanhas devem cobrir a variação natural e manter controle e impacto em janelas comparáveis. Uma campanha por período limita a evidência temporal; isso não torna toda comparação automaticamente pseudorreplicada.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Arrastos ou outras subamostras não replicam impactos. Registre esforço e medidas separadas; uma média é resumo, pool é mistura física.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BACI compara mudanças: (Depois − Antes) no impacto menos (Depois − Antes) na referência. Também exige avaliar tendências prévias e outras mudanças específicas dos locais.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Use monitoramento prévio e literatura para dimensionar o esforço. Mais linhas não corrigem confundimento; a contagem não calcula poder nem valida causalidade.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Registre data, versão, critérios, covariáveis e desvios antes da coleta; mantenha identificadores permanentes e motivos de ausências.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Curadoria EAPA Planejamento_01_IMPACTO, revisada em outubro de 2026. Apoio: Hurlbert (1984), Stewart-Oaten et al. (1986), Underwood (1994), Downes et al. (2002) e Smokorowski e Randall (2017). As contagens descrevem o plano; não validam independência nem causalidade.</w:t>
      </w:r>
    </w:p>
    <w:sectPr>
      <w:pgMar w:header="708" w:bottom="1138" w:top="1699" w:right="1138" w:left="1699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cbd4deb197c678d0c6967c221e59b9e2844727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2026-10-04T23:28:57Z</dcterms:modified>
  <cp:category/>
</cp:coreProperties>
</file>