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mbria" w:hAnsi="Cambria" w:eastAsia="Cambria" w:cs="Cambria"/>
          <w:i w:val="false"/>
          <w:b w:val="true"/>
          <w:u w:val="none"/>
          <w:strike w:val="false"/>
          <w:sz w:val="40"/>
          <w:szCs w:val="40"/>
          <w:color w:val="0F3B5F"/>
        </w:rPr>
        <w:t xml:space="preserve">Planejamento do monitoramento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CatalyseR · Minuta para revisão antes da coleta. Este documento reúne as definições da série, a metodologia prevista e os pontos do protocolo que ainda precisam ser completados.</w:t>
      </w:r>
    </w:p>
    <w:p>
      <w:pPr>
        <w:pStyle w:val="Titre1"/>
      </w:pPr>
      <w:r>
        <w:t xml:space="preserve">Metodologia prevista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Será realizado um monitoramento observacional entre 01/01/2027 e 01/12/2030, com frequência mensal, em 3 locais fixos (Praia aberta, Baía, Estuário). O estudo acompanhará captura (kg). A pergunta, a região, os critérios de escolha dos locais e o alcance da inferência serão explicitados no protocolo antes da primeira coleta.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Os mesmos locais serão revisitados nas 48 datas previstas, totalizando 144 registros de local e data. O horário previsto será Baixa-mar diurna. O protocolo definirá equipamento, procedimento, responsável e condições de coleta comparáveis. As datas do calendário são previstas; alterações e a data efetiva da visita deverão ser registradas na ficha ou no diário de campo.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 esforço será registrado em despescas em cada visita. Os índices previstos (captura_kg_por_despescas) serão calculados pela divisão da medida pelo esforço, somente quando houver valores válidos e esforço maior que zero. A definição do esforço e das condições de medição será mantida ao longo da série; mudanças de equipamento, apetrecho ou operação serão documentadas para avaliar a comparabilidade.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Uma resposta igual a zero será mantida quando resultar de uma coleta efetivamente realizada. Medidas não obtidas permanecerão ausentes, preservando-se o local e a data previstos e anotando-se o motivo em observacao. Fechamento, ausência de desembarque, mau tempo e falha de coleta serão distinguidos no diário de campo.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As revisitas de cada local formarão uma série temporal e não serão tratadas como novos locais amostrais. A análise considerará dependência temporal, sazonalidade e possíveis condições compartilhadas entre locais. As mudanças serão interpretadas no âmbito dos locais e do período acompanhados; o monitoramento, por si só, não identifica suas causas. A escolha da análise dependerá da pergunta, da resposta e da estrutura dos dados.</w:t>
      </w:r>
    </w:p>
    <w:p>
      <w:pPr>
        <w:pStyle w:val="Titre1"/>
      </w:pPr>
      <w:r>
        <w:t xml:space="preserve">Resumo do plano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5"/>
        <w:gridCol w:w="14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Quantidade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Locais fixos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 por local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Registros previstos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Índices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sectPr>
          <w:pgMar w:header="708" w:bottom="1008" w:top="1008" w:right="1296" w:left="1296" w:footer="708" w:gutter="0"/>
          <w:pgSz w:h="16834" w:w="11909" w:orient="portrait"/>
          <w:type w:val="nextPage"/>
          <w:cols/>
        </w:sectPr>
      </w:pPr>
    </w:p>
    <w:p>
      <w:pPr>
        <w:pStyle w:val="Titre1"/>
      </w:pPr>
      <w:r>
        <w:t xml:space="preserve">Esquema do delineamento</w:t>
      </w:r>
    </w:p>
    <w:p>
      <w:pPr>
        <w:pStyle w:val="centered"/>
      </w:pPr>
      <w:r>
        <w:rPr/>
        <w:drawing>
          <wp:inline distT="0" distB="0" distL="0" distR="0">
            <wp:extent cx="8686800" cy="481393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81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1008" w:top="1008" w:right="1296" w:left="1296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Protocolo a completar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Pergunta e abrangência: explicitar o fenômeno, a área e quais locais ou populações o estudo pretende representar.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Locais e subamostras: registrar códigos e coordenadas; identificar currais, catadores ou outras medidas dentro do local. O formulário atual gera uma linha por local e data; detalhar subamostras em uma ficha vinculada quando necessário.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Tempo e maré: justificar frequência, duração e horário. Em armadilhas movidas pela maré, planejar condições comparáveis e equilibrar os tipos de maré entre meses; conferir a tábua oficial.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Resposta e esforço: definir unidades, equipamento, método e denominador do índice. Para currais, registrar dimensões e reformas; para catadores, definir como registrar duração e número de participantes.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Séries de apoio: definir chuva, maré ou outras variáveis relevantes e como vinculá-las ao mesmo calendário.</w:t>
      </w:r>
    </w:p>
    <w:p>
      <w:pPr>
        <w:pStyle w:val="Titre1"/>
      </w:pPr>
      <w:r>
        <w:t xml:space="preserve">Cuidados e revisão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Períodos biológicos e legais: conferir literatura local e regras vigentes antes de cada campanha; não transferir automaticamente meses de outra região ou outro ano.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Acesso e autorizações: registrar acordos com os participantes e autorizações aplicáveis à área e ao procedimento.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Lacunas e ocorrências: revisar os motivos de visitas não realizadas, mudanças de método e valores inesperados; não substituir ausências por zero.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Duração e análise: verificar se há ciclos suficientes para a pergunta e dados para avaliar previsão. A régua de 2, 3 e 4 anos do guia é uma orientação didática para séries mensais, não uma garantia de análise.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Versão do plano: registrar referências, responsável, data e decisões antes da primeira coleta.</w:t>
      </w:r>
    </w:p>
    <w:p>
      <w:pPr>
        <w:pStyle w:val="Titre1"/>
      </w:pPr>
      <w:r>
        <w:t xml:space="preserve">Modelo de leitura da série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Para interpretar uma série, distinguem-se o nível de referência do local, a tendência ao longo do tempo, um possível padrão sazonal e a variação residual. O componente residual pode conservar dependência temporal. A decomposição aditiva é uma representação didática, e não um modelo já ajustado pelo painel; sua adequação e a forma de análise precisam ser avaliadas após a coleta.</w:t>
      </w:r>
    </w:p>
    <w:p>
      <w:pPr>
        <w:pStyle w:val="Titre1"/>
      </w:pPr>
      <w:r>
        <w:t xml:space="preserve">Base de curadoria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Adaptado do Guia Painel Monitoramento do Ecossistema EAPA (setembro de 2026), especialmente as seções de exemplos, cuidados essenciais e lista de verificação. Referências de apoio do guia: Hurlbert (1984), Legg e Nagy (2006), Krumme et al. (2015), Diele et al. (2005, 2010) e Hyndman e Athanasopoulos (2021).</w:t>
      </w:r>
    </w:p>
    <w:sectPr>
      <w:pgMar w:header="708" w:bottom="1152" w:top="1152" w:right="1296" w:left="1296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36d392019f8b78b3f08cbda3d7a2bb10f321c61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2026-10-04T22:33:57Z</dcterms:modified>
  <cp:category/>
</cp:coreProperties>
</file>