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mbria" w:hAnsi="Cambria" w:eastAsia="Cambria" w:cs="Cambria"/>
          <w:i w:val="false"/>
          <w:b w:val="true"/>
          <w:u w:val="none"/>
          <w:strike w:val="false"/>
          <w:sz w:val="40"/>
          <w:szCs w:val="40"/>
          <w:color w:val="0F3B5F"/>
        </w:rPr>
        <w:t xml:space="preserve">Planejamento — Transversal comparativo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CatalyseR · Minuta de metodologia para revisão antes da coleta</w:t>
      </w:r>
    </w:p>
    <w:p>
      <w:pPr>
        <w:pStyle w:val="Titre1"/>
      </w:pPr>
      <w:r>
        <w:t xml:space="preserve">Pergunta do estudo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Como a composição lipídica das bexigas natatórias varia entre espécies?</w:t>
      </w:r>
    </w:p>
    <w:p>
      <w:pPr>
        <w:pStyle w:val="Titre1"/>
      </w:pPr>
      <w:r>
        <w:t xml:space="preserve">Material e métodos previstos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Será realizado um estudo observacional transversal comparativo entre as categorias de especie (Tambaqui, Gurijuba, Pescada-amarela, Pescada-corvina, Uritinga), em um único recorte temporal. Serão previstas 20 unidades amostrais, distribuídas por categoria conforme o plano de coleta. A independência dessas unidades deverá ser assegurada pelo plano de seleção e pela consideração da origem das amostras.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Local e período previstos: A definir antes da coleta.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Composição prevista das unidades: Tambaqui: 2 UAs, com 2 item(ns) por UA; Gurijuba: 3 UAs, com 1 item(ns) por UA; Pescada-amarela: 4 UAs, com 1 item(ns) por UA; Pescada-corvina: 5 UAs, com 3 item(ns) por UA; Uritinga: 6 UAs, com 3 item(ns) por UA . Quando houver pool, cada indivíduo contribuirá com a mesma massa e integrará somente uma UA. As repetições de bancada serão resumidas por UA e não contadas como réplicas independentes.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Critérios de seleção e formação das UAs: A definir: população, elegibilidade, janela biométrica quando pertinente, lotes e seleção dentro de cada grupo.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Procedimentos de coleta e medição: A definir: identificação, conservação, preparo e métodos de medição.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Cada UA ocupará uma linha da planilha. As respostas serão registradas nas unidades indicadas no dicionário de colunas; lote, data e ocorrências acompanharão os registros. A análise será definida considerando a natureza da resposta, a independência e os pressupostos. As diferenças entre grupos serão interpretadas como associações, considerando possíveis fatores de confusão.</w:t>
      </w:r>
    </w:p>
    <w:p>
      <w:pPr>
        <w:pStyle w:val="Titre1"/>
      </w:pPr>
      <w:r>
        <w:t xml:space="preserve">Distribuição prevista das unidades amostrais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UAs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Itens por UA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Itens previstos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Tambaqui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Gurijuba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Pescada-amarela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Pescada-corvina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Uritinga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</w:tr>
    </w:tbl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Total previsto: 20 UAs e 44 itens. Essas quantidades descrevem o plano informado; não representam um cálculo de tamanho amostral nem um sorteio realizado.</w:t>
      </w:r>
    </w:p>
    <w:p>
      <w:pPr>
        <w:sectPr>
          <w:pgMar w:header="708" w:bottom="1138" w:top="1138" w:right="1138" w:left="1138" w:footer="708" w:gutter="0"/>
          <w:pgSz w:h="16834" w:w="11909" w:orient="portrait"/>
          <w:type w:val="nextPage"/>
          <w:cols/>
        </w:sectPr>
      </w:pPr>
    </w:p>
    <w:p>
      <w:pPr>
        <w:pStyle w:val="Titre1"/>
      </w:pPr>
      <w:r>
        <w:t xml:space="preserve">Esquema do delineamento</w:t>
      </w:r>
    </w:p>
    <w:p>
      <w:pPr>
        <w:pStyle w:val="centered"/>
      </w:pPr>
      <w:r>
        <w:rPr/>
        <w:drawing>
          <wp:inline distT="0" distB="0" distL="0" distR="0">
            <wp:extent cx="8869680" cy="5410505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9680" cy="541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pgMar w:header="708" w:bottom="1138" w:top="1138" w:right="1138" w:left="1138" w:footer="708" w:gutter="0"/>
          <w:pgSz w:h="11909" w:w="16834" w:orient="landscape"/>
          <w:type w:val="nextPage"/>
          <w:cols/>
        </w:sectPr>
      </w:pPr>
    </w:p>
    <w:p>
      <w:pPr>
        <w:pStyle w:val="Titre1"/>
      </w:pPr>
      <w:r>
        <w:t xml:space="preserve">Planilha de coleta — primeiras linhas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Prévia das primeiras 8 de 20 UAs. As células de resposta estão vazias para preenchimento após a coleta; todas as variáveis da planilha aparecem abaixo.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46"/>
        <w:gridCol w:w="1746"/>
        <w:gridCol w:w="1746"/>
        <w:gridCol w:w="1746"/>
        <w:gridCol w:w="1746"/>
        <w:gridCol w:w="1746"/>
        <w:gridCol w:w="1746"/>
        <w:gridCol w:w="1746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ua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especie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replica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pool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lipidios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lote_origem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data_coleta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observacoes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Tambaqui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Tambaqui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Gurijuba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Gurijuba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Gurijuba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Pescada-amarela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Pescada-amarela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Pescada-amarela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sectPr>
          <w:pgMar w:header="708" w:bottom="1138" w:top="1138" w:right="1138" w:left="1138" w:footer="708" w:gutter="0"/>
          <w:pgSz w:h="11909" w:w="16834" w:orient="landscape"/>
          <w:type w:val="nextPage"/>
          <w:cols/>
        </w:sectPr>
      </w:pPr>
    </w:p>
    <w:p>
      <w:pPr>
        <w:pStyle w:val="Titre1"/>
      </w:pPr>
      <w:r>
        <w:t xml:space="preserve">Variáveis e registro da coleta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coluna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unidade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descricao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Identificador único da unidade amostral independente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especie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Níveis do fator: Tambaqui, Gurijuba, Pescada-amarela, Pescada-corvina, Uritinga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Número da réplica independente dentro de cada grupo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indivíduos/porções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Quantidade de itens misturados para compor a UA (pool = 1 indica item único)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Medição de resposta: lipidios em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lote_origem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Lote e origem da UA (barco, viveiro, banca ou outra fonte); detalhe a procedência nos registros de campo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data_coleta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 da coleta no formato AAAA-MM-DD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observacoes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Ocorrências, desvios do protocolo e motivos de medidas ausentes</w:t>
            </w:r>
          </w:p>
        </w:tc>
      </w:tr>
    </w:tbl>
    <w:p>
      <w:pPr>
        <w:pStyle w:val="Titre1"/>
      </w:pPr>
      <w:r>
        <w:t xml:space="preserve">Cuidados e pontos a conferir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Uma linha da coleta representa uma UA: um indivíduo (pool = 1) ou uma amostra composta. O número de UAs é o n do planejamento; sua independência depende da seleção e da origem das amostras.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Se houver pool, cada indivíduo deve contribuir com a mesma massa e integrar uma única UA. Registre os indivíduos e sua ligação com a UA nos registros de campo ou laboratório.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Com dois fatores, cada UA recebe uma categoria de cada fator. Um pool não deve misturar categorias dos fatores em comparação. O n é contado por combinação e não duplicado por haver dois fatores.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Réplicas de bancada não aumentam o n. Guarde suas leituras nos registros de laboratório e registre na coleta a média por UA para cada resposta.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Defina a população, a elegibilidade e a seleção dentro de cada grupo antes da coleta. Registre lote, local e data; indivíduos do mesmo lote podem apresentar dependência.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No exemplo de bexigas, confira a massa no pior caso e o consumo de todos os ensaios. Os pools e as metas da curadoria ainda precisam dessa conferência; não são uma recomendação universal.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O estudo compara grupos preexistentes e descreve associações. Se espécie e origem estiverem confundidas (por exemplo, cultivo e captura), a diferença não pode ser atribuída somente à espécie.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Pools diferentes podem alterar a variabilidade. A escolha da análise depende da resposta, da independência e dos pressupostos; o tamanho do pool, sozinho, não determina o teste.</w:t>
      </w:r>
    </w:p>
    <w:p>
      <w:pPr>
        <w:pStyle w:val="Titre1"/>
      </w:pPr>
      <w:r>
        <w:t xml:space="preserve">Base de curadoria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Curadoria EAPA: Planejamento_03_TRANSVERSAL, exemplo de bexigas natatórias (setembro de 2026). Referências de apoio registradas na curadoria: Hurlbert (1984), Quinn e Keough (2002), Blainey, Krzywinski e Altman (2014) e Wickham (2014).</w:t>
      </w:r>
    </w:p>
    <w:sectPr>
      <w:pgMar w:header="708" w:bottom="1138" w:top="1699" w:right="1138" w:left="1699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88119cf2c6949ee46a7dab425feef20560990048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2026-10-03T16:48:05Z</dcterms:modified>
  <cp:category/>
</cp:coreProperties>
</file>