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D368D" w14:textId="0B258B0A"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 xml:space="preserve">Blueprint Summary </w:t>
      </w:r>
      <w:r w:rsidR="00AA45E0" w:rsidRPr="00AA45E0">
        <w:rPr>
          <w:rFonts w:ascii="Calibri" w:eastAsia="Calibri" w:hAnsi="Calibri" w:cs="Calibri"/>
          <w:color w:val="333333"/>
          <w:sz w:val="36"/>
          <w:szCs w:val="36"/>
        </w:rPr>
        <w:t xml:space="preserve">for </w:t>
      </w:r>
      <w:r w:rsidR="00EF3C6C">
        <w:rPr>
          <w:rFonts w:ascii="Calibri" w:eastAsia="Calibri" w:hAnsi="Calibri" w:cs="Calibri"/>
          <w:color w:val="333333"/>
          <w:sz w:val="36"/>
          <w:szCs w:val="36"/>
        </w:rPr>
        <w:t>{{value:summary_unit_name}} {{value:summary_unit_type}}</w:t>
      </w:r>
      <w:bookmarkStart w:id="0" w:name="_GoBack"/>
      <w:bookmarkEnd w:id="0"/>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2757AB" w:rsidRDefault="007F6FEC" w:rsidP="007F6FEC">
      <w:pPr>
        <w:pStyle w:val="Heading1"/>
        <w:rPr>
          <w:color w:val="000000" w:themeColor="text1"/>
          <w:szCs w:val="20"/>
        </w:rPr>
      </w:pPr>
      <w:r w:rsidRPr="002757AB">
        <w:rPr>
          <w:color w:val="000000" w:themeColor="text1"/>
          <w:sz w:val="36"/>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1" w:name="_twazfl5dsuou" w:colFirst="0" w:colLast="0"/>
      <w:bookmarkEnd w:id="1"/>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Pr="002757AB" w:rsidRDefault="00B12D51" w:rsidP="002757AB">
      <w:pPr>
        <w:pStyle w:val="Heading1"/>
        <w:rPr>
          <w:color w:val="000000" w:themeColor="text1"/>
          <w:sz w:val="40"/>
        </w:rPr>
      </w:pPr>
      <w:r w:rsidRPr="002757AB">
        <w:rPr>
          <w:color w:val="000000" w:themeColor="text1"/>
          <w:sz w:val="40"/>
        </w:rP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Pr="002757AB" w:rsidRDefault="00673AED" w:rsidP="002757AB">
      <w:pPr>
        <w:pStyle w:val="Heading2"/>
        <w:rPr>
          <w:color w:val="000000" w:themeColor="text1"/>
          <w:sz w:val="32"/>
        </w:rPr>
      </w:pPr>
      <w:r w:rsidRPr="002757AB">
        <w:rPr>
          <w:color w:val="000000" w:themeColor="text1"/>
          <w:sz w:val="32"/>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1E108197" w:rsidR="00673AED" w:rsidRPr="0081766E" w:rsidRDefault="0040351D" w:rsidP="0081766E">
      <w:pPr>
        <w:rPr>
          <w:rFonts w:ascii="Calibri" w:eastAsia="Calibri" w:hAnsi="Calibri" w:cs="Calibri"/>
          <w:color w:val="333333"/>
          <w:lang w:val="en"/>
        </w:rPr>
      </w:pPr>
      <w:r w:rsidRPr="00EB6B53">
        <w:rPr>
          <w:rFonts w:ascii="Calibri" w:eastAsia="Calibri" w:hAnsi="Calibri" w:cs="Calibri"/>
          <w:color w:val="333333"/>
        </w:rPr>
        <w:t>{{chart:priorities}}</w:t>
      </w:r>
    </w:p>
    <w:p w14:paraId="0C702BAD" w14:textId="77777777" w:rsidR="001F521F" w:rsidRDefault="001F521F" w:rsidP="001F521F"/>
    <w:p w14:paraId="46484F6F" w14:textId="77777777" w:rsidR="001F521F" w:rsidRDefault="001F521F" w:rsidP="001F521F"/>
    <w:p w14:paraId="672E59CC" w14:textId="430ED038" w:rsidR="00673AED" w:rsidRPr="00844BAD" w:rsidRDefault="00852183" w:rsidP="003742C7">
      <w:pPr>
        <w:pStyle w:val="TableCaption"/>
      </w:pPr>
      <w:r>
        <w:t>{{caption:table_priorities}}</w:t>
      </w:r>
      <w:r w:rsidR="00673AED" w:rsidRPr="00844BAD">
        <w:rPr>
          <w:color w:val="808080" w:themeColor="background1" w:themeShade="80"/>
        </w:rPr>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Pr="002757AB" w:rsidRDefault="00673AED" w:rsidP="002757AB">
      <w:pPr>
        <w:pStyle w:val="Heading1"/>
        <w:rPr>
          <w:color w:val="000000" w:themeColor="text1"/>
          <w:sz w:val="36"/>
        </w:rPr>
      </w:pPr>
      <w:r w:rsidRPr="002757AB">
        <w:rPr>
          <w:color w:val="000000" w:themeColor="text1"/>
          <w:sz w:val="36"/>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Pr="002757AB" w:rsidRDefault="00673AED" w:rsidP="002757AB">
      <w:pPr>
        <w:pStyle w:val="Heading2"/>
        <w:rPr>
          <w:color w:val="000000" w:themeColor="text1"/>
          <w:sz w:val="32"/>
        </w:rPr>
      </w:pPr>
      <w:bookmarkStart w:id="3" w:name="_njltyqubju01" w:colFirst="0" w:colLast="0"/>
      <w:bookmarkEnd w:id="3"/>
      <w:r w:rsidRPr="002757AB">
        <w:rPr>
          <w:color w:val="000000" w:themeColor="text1"/>
          <w:sz w:val="32"/>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Pr="002757AB" w:rsidRDefault="00673AED" w:rsidP="002757AB">
      <w:pPr>
        <w:pStyle w:val="Heading1"/>
        <w:rPr>
          <w:color w:val="000000" w:themeColor="text1"/>
          <w:sz w:val="36"/>
        </w:rPr>
      </w:pPr>
      <w:r w:rsidRPr="002757AB">
        <w:rPr>
          <w:color w:val="000000" w:themeColor="text1"/>
          <w:sz w:val="36"/>
        </w:rPr>
        <w:lastRenderedPageBreak/>
        <w:t>Threats</w:t>
      </w:r>
    </w:p>
    <w:p w14:paraId="5710083A" w14:textId="1D187037" w:rsidR="001E63F7" w:rsidRPr="001E63F7" w:rsidRDefault="001E63F7" w:rsidP="001E63F7">
      <w:r>
        <w:t>{{THREATS}}</w:t>
      </w:r>
    </w:p>
    <w:p w14:paraId="44088952" w14:textId="77777777" w:rsidR="00673AED" w:rsidRPr="002757AB" w:rsidRDefault="00673AED" w:rsidP="002757AB">
      <w:pPr>
        <w:pStyle w:val="Heading1"/>
        <w:rPr>
          <w:color w:val="000000" w:themeColor="text1"/>
          <w:sz w:val="36"/>
        </w:rPr>
      </w:pPr>
      <w:bookmarkStart w:id="5" w:name="_vfv3vhs1u8zh" w:colFirst="0" w:colLast="0"/>
      <w:bookmarkStart w:id="6" w:name="_ca20d8dihywo" w:colFirst="0" w:colLast="0"/>
      <w:bookmarkEnd w:id="5"/>
      <w:bookmarkEnd w:id="6"/>
      <w:r w:rsidRPr="002757AB">
        <w:rPr>
          <w:color w:val="000000" w:themeColor="text1"/>
          <w:sz w:val="36"/>
        </w:rPr>
        <w:t>Partners</w:t>
      </w:r>
    </w:p>
    <w:p w14:paraId="1688DFA4" w14:textId="77777777" w:rsidR="00673AED" w:rsidRDefault="00673AED" w:rsidP="0048552E">
      <w:bookmarkStart w:id="7" w:name="_a1ytnl6sgu9x" w:colFirst="0" w:colLast="0"/>
      <w:bookmarkEnd w:id="7"/>
      <w:r>
        <w:t>{{PARTNERS}}</w:t>
      </w:r>
    </w:p>
    <w:p w14:paraId="1BF849AF" w14:textId="77777777" w:rsidR="00673AED" w:rsidRPr="002757AB" w:rsidRDefault="00673AED" w:rsidP="002757AB">
      <w:pPr>
        <w:pStyle w:val="Heading1"/>
        <w:rPr>
          <w:color w:val="000000" w:themeColor="text1"/>
          <w:sz w:val="36"/>
        </w:rPr>
      </w:pPr>
      <w:bookmarkStart w:id="8" w:name="_51kemobqovsy" w:colFirst="0" w:colLast="0"/>
      <w:bookmarkEnd w:id="8"/>
      <w:r w:rsidRPr="002757AB">
        <w:rPr>
          <w:color w:val="000000" w:themeColor="text1"/>
          <w:sz w:val="36"/>
        </w:rPr>
        <w:t>Ownership</w:t>
      </w:r>
    </w:p>
    <w:p w14:paraId="77AC79D3" w14:textId="66EFF165" w:rsidR="00BA16A4" w:rsidRDefault="000A48C8" w:rsidP="0048552E">
      <w:r>
        <w:t>{{OWNERSHIP}}</w:t>
      </w:r>
      <w:bookmarkStart w:id="9" w:name="_6o8u7emblwbs" w:colFirst="0" w:colLast="0"/>
      <w:bookmarkEnd w:id="9"/>
    </w:p>
    <w:p w14:paraId="2ECA89E4" w14:textId="77777777" w:rsidR="00BA16A4" w:rsidRPr="001D6ECC" w:rsidRDefault="00BA16A4" w:rsidP="0048552E"/>
    <w:sectPr w:rsidR="00BA16A4" w:rsidRPr="001D6ECC">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8DE96" w14:textId="77777777" w:rsidR="00ED0FC0" w:rsidRDefault="00ED0FC0" w:rsidP="002922BC">
      <w:pPr>
        <w:spacing w:after="0" w:line="240" w:lineRule="auto"/>
      </w:pPr>
      <w:r>
        <w:separator/>
      </w:r>
    </w:p>
  </w:endnote>
  <w:endnote w:type="continuationSeparator" w:id="0">
    <w:p w14:paraId="6BD911A3" w14:textId="77777777" w:rsidR="00ED0FC0" w:rsidRDefault="00ED0FC0"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3C6C">
      <w:rPr>
        <w:rStyle w:val="PageNumber"/>
        <w:noProof/>
      </w:rPr>
      <w:t>1</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58F6C" w14:textId="77777777" w:rsidR="00ED0FC0" w:rsidRDefault="00ED0FC0" w:rsidP="002922BC">
      <w:pPr>
        <w:spacing w:after="0" w:line="240" w:lineRule="auto"/>
      </w:pPr>
      <w:r>
        <w:separator/>
      </w:r>
    </w:p>
  </w:footnote>
  <w:footnote w:type="continuationSeparator" w:id="0">
    <w:p w14:paraId="439D9506" w14:textId="77777777" w:rsidR="00ED0FC0" w:rsidRDefault="00ED0FC0" w:rsidP="002922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1E8D8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310EC42"/>
    <w:lvl w:ilvl="0">
      <w:start w:val="1"/>
      <w:numFmt w:val="decimal"/>
      <w:lvlText w:val="%1."/>
      <w:lvlJc w:val="left"/>
      <w:pPr>
        <w:tabs>
          <w:tab w:val="num" w:pos="1800"/>
        </w:tabs>
        <w:ind w:left="1800" w:hanging="360"/>
      </w:pPr>
    </w:lvl>
  </w:abstractNum>
  <w:abstractNum w:abstractNumId="2">
    <w:nsid w:val="FFFFFF7D"/>
    <w:multiLevelType w:val="singleLevel"/>
    <w:tmpl w:val="E4089024"/>
    <w:lvl w:ilvl="0">
      <w:start w:val="1"/>
      <w:numFmt w:val="decimal"/>
      <w:lvlText w:val="%1."/>
      <w:lvlJc w:val="left"/>
      <w:pPr>
        <w:tabs>
          <w:tab w:val="num" w:pos="1440"/>
        </w:tabs>
        <w:ind w:left="1440" w:hanging="360"/>
      </w:pPr>
    </w:lvl>
  </w:abstractNum>
  <w:abstractNum w:abstractNumId="3">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5">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8"/>
  </w:num>
  <w:num w:numId="6">
    <w:abstractNumId w:val="4"/>
  </w:num>
  <w:num w:numId="7">
    <w:abstractNumId w:val="3"/>
  </w:num>
  <w:num w:numId="8">
    <w:abstractNumId w:val="2"/>
  </w:num>
  <w:num w:numId="9">
    <w:abstractNumId w:val="1"/>
  </w:num>
  <w:num w:numId="10">
    <w:abstractNumId w:val="12"/>
  </w:num>
  <w:num w:numId="11">
    <w:abstractNumId w:val="13"/>
  </w:num>
  <w:num w:numId="12">
    <w:abstractNumId w:val="11"/>
  </w:num>
  <w:num w:numId="13">
    <w:abstractNumId w:val="10"/>
  </w:num>
  <w:num w:numId="14">
    <w:abstractNumId w:val="14"/>
  </w:num>
  <w:num w:numId="15">
    <w:abstractNumId w:val="14"/>
    <w:lvlOverride w:ilvl="1">
      <w:lvl w:ilvl="1">
        <w:numFmt w:val="lowerLetter"/>
        <w:lvlText w:val="%2."/>
        <w:lvlJc w:val="left"/>
      </w:lvl>
    </w:lvlOverride>
  </w:num>
  <w:num w:numId="16">
    <w:abstractNumId w:val="14"/>
    <w:lvlOverride w:ilvl="1">
      <w:lvl w:ilvl="1">
        <w:numFmt w:val="lowerLetter"/>
        <w:lvlText w:val="%2."/>
        <w:lvlJc w:val="left"/>
      </w:lvl>
    </w:lvlOverride>
  </w:num>
  <w:num w:numId="17">
    <w:abstractNumId w:val="14"/>
    <w:lvlOverride w:ilvl="1">
      <w:lvl w:ilvl="1">
        <w:numFmt w:val="lowerLetter"/>
        <w:lvlText w:val="%2."/>
        <w:lvlJc w:val="left"/>
      </w:lvl>
    </w:lvlOverride>
  </w:num>
  <w:num w:numId="18">
    <w:abstractNumId w:val="14"/>
    <w:lvlOverride w:ilvl="1">
      <w:lvl w:ilvl="1">
        <w:numFmt w:val="lowerLetter"/>
        <w:lvlText w:val="%2."/>
        <w:lvlJc w:val="left"/>
      </w:lvl>
    </w:lvlOverride>
  </w:num>
  <w:num w:numId="19">
    <w:abstractNumId w:val="14"/>
    <w:lvlOverride w:ilvl="1">
      <w:lvl w:ilvl="1">
        <w:numFmt w:val="lowerLetter"/>
        <w:lvlText w:val="%2."/>
        <w:lvlJc w:val="left"/>
      </w:lvl>
    </w:lvlOverride>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C8A"/>
    <w:rsid w:val="000134D0"/>
    <w:rsid w:val="00014500"/>
    <w:rsid w:val="00030B98"/>
    <w:rsid w:val="00034616"/>
    <w:rsid w:val="00035BDC"/>
    <w:rsid w:val="0005767A"/>
    <w:rsid w:val="0006063C"/>
    <w:rsid w:val="000624D4"/>
    <w:rsid w:val="00064AFD"/>
    <w:rsid w:val="000720BA"/>
    <w:rsid w:val="00093DFA"/>
    <w:rsid w:val="00094770"/>
    <w:rsid w:val="000A48C8"/>
    <w:rsid w:val="000A4936"/>
    <w:rsid w:val="000E1BCC"/>
    <w:rsid w:val="000E616C"/>
    <w:rsid w:val="001173CD"/>
    <w:rsid w:val="001178B4"/>
    <w:rsid w:val="0015074B"/>
    <w:rsid w:val="00155F6C"/>
    <w:rsid w:val="00161007"/>
    <w:rsid w:val="00173DFA"/>
    <w:rsid w:val="00191B76"/>
    <w:rsid w:val="001B1BD3"/>
    <w:rsid w:val="001B3C5F"/>
    <w:rsid w:val="001C2200"/>
    <w:rsid w:val="001C3B7A"/>
    <w:rsid w:val="001D6ECC"/>
    <w:rsid w:val="001E63F7"/>
    <w:rsid w:val="001F521F"/>
    <w:rsid w:val="00210523"/>
    <w:rsid w:val="002234D4"/>
    <w:rsid w:val="00246173"/>
    <w:rsid w:val="002516C3"/>
    <w:rsid w:val="002757AB"/>
    <w:rsid w:val="002922BC"/>
    <w:rsid w:val="0029639D"/>
    <w:rsid w:val="0029758A"/>
    <w:rsid w:val="002B1AD4"/>
    <w:rsid w:val="002B3E45"/>
    <w:rsid w:val="003160B9"/>
    <w:rsid w:val="00321646"/>
    <w:rsid w:val="00326F90"/>
    <w:rsid w:val="00333911"/>
    <w:rsid w:val="00340660"/>
    <w:rsid w:val="00365DAA"/>
    <w:rsid w:val="003742C7"/>
    <w:rsid w:val="003930B2"/>
    <w:rsid w:val="003937CA"/>
    <w:rsid w:val="003948EE"/>
    <w:rsid w:val="003C4AEF"/>
    <w:rsid w:val="00402A10"/>
    <w:rsid w:val="0040351D"/>
    <w:rsid w:val="0040601E"/>
    <w:rsid w:val="00414CB6"/>
    <w:rsid w:val="0044047A"/>
    <w:rsid w:val="00462514"/>
    <w:rsid w:val="0048552E"/>
    <w:rsid w:val="004A313B"/>
    <w:rsid w:val="004B6BEC"/>
    <w:rsid w:val="004E0591"/>
    <w:rsid w:val="004F52A7"/>
    <w:rsid w:val="005176A2"/>
    <w:rsid w:val="00520534"/>
    <w:rsid w:val="00537D13"/>
    <w:rsid w:val="005608BC"/>
    <w:rsid w:val="0056239A"/>
    <w:rsid w:val="0056470C"/>
    <w:rsid w:val="0056471D"/>
    <w:rsid w:val="005840F9"/>
    <w:rsid w:val="00590DFD"/>
    <w:rsid w:val="005A27EC"/>
    <w:rsid w:val="005B7387"/>
    <w:rsid w:val="005D6E02"/>
    <w:rsid w:val="00616B98"/>
    <w:rsid w:val="00657D03"/>
    <w:rsid w:val="00670565"/>
    <w:rsid w:val="00673AED"/>
    <w:rsid w:val="00685CB7"/>
    <w:rsid w:val="006873A1"/>
    <w:rsid w:val="006B0064"/>
    <w:rsid w:val="00706CC7"/>
    <w:rsid w:val="00730EE8"/>
    <w:rsid w:val="00731509"/>
    <w:rsid w:val="00737BAC"/>
    <w:rsid w:val="007411C3"/>
    <w:rsid w:val="007506B1"/>
    <w:rsid w:val="00762580"/>
    <w:rsid w:val="00792579"/>
    <w:rsid w:val="007B1175"/>
    <w:rsid w:val="007B39E7"/>
    <w:rsid w:val="007D099B"/>
    <w:rsid w:val="007F6FEC"/>
    <w:rsid w:val="008069FC"/>
    <w:rsid w:val="0081766E"/>
    <w:rsid w:val="0082485A"/>
    <w:rsid w:val="00844BAD"/>
    <w:rsid w:val="00851DF4"/>
    <w:rsid w:val="00852183"/>
    <w:rsid w:val="00861F1D"/>
    <w:rsid w:val="00866837"/>
    <w:rsid w:val="00870E19"/>
    <w:rsid w:val="008F7AF0"/>
    <w:rsid w:val="008F7FBE"/>
    <w:rsid w:val="0094350A"/>
    <w:rsid w:val="00944FB3"/>
    <w:rsid w:val="009B401A"/>
    <w:rsid w:val="009B55C0"/>
    <w:rsid w:val="009C5F30"/>
    <w:rsid w:val="009D0C61"/>
    <w:rsid w:val="009D3869"/>
    <w:rsid w:val="00A03616"/>
    <w:rsid w:val="00A077CA"/>
    <w:rsid w:val="00A2474B"/>
    <w:rsid w:val="00A663AB"/>
    <w:rsid w:val="00AA1D8D"/>
    <w:rsid w:val="00AA45E0"/>
    <w:rsid w:val="00AE02CF"/>
    <w:rsid w:val="00AE4C4E"/>
    <w:rsid w:val="00AE7BB0"/>
    <w:rsid w:val="00AF04D4"/>
    <w:rsid w:val="00AF2D13"/>
    <w:rsid w:val="00B0194B"/>
    <w:rsid w:val="00B12D51"/>
    <w:rsid w:val="00B20B1A"/>
    <w:rsid w:val="00B21392"/>
    <w:rsid w:val="00B223C0"/>
    <w:rsid w:val="00B418FE"/>
    <w:rsid w:val="00B47730"/>
    <w:rsid w:val="00B60DB7"/>
    <w:rsid w:val="00B7542E"/>
    <w:rsid w:val="00BA16A4"/>
    <w:rsid w:val="00BE3A40"/>
    <w:rsid w:val="00BE59A3"/>
    <w:rsid w:val="00C003B1"/>
    <w:rsid w:val="00C01443"/>
    <w:rsid w:val="00C0648D"/>
    <w:rsid w:val="00C20DC4"/>
    <w:rsid w:val="00C44E4E"/>
    <w:rsid w:val="00C47251"/>
    <w:rsid w:val="00C554D9"/>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C3F1C"/>
    <w:rsid w:val="00ED0FC0"/>
    <w:rsid w:val="00ED2C8E"/>
    <w:rsid w:val="00ED6CA3"/>
    <w:rsid w:val="00EF3C6C"/>
    <w:rsid w:val="00F1794D"/>
    <w:rsid w:val="00F62000"/>
    <w:rsid w:val="00FA5ABE"/>
    <w:rsid w:val="00FC693F"/>
    <w:rsid w:val="00FD055B"/>
    <w:rsid w:val="00FF4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 w:type="paragraph" w:customStyle="1" w:styleId="HyperlinkSource">
    <w:name w:val="HyperlinkSource"/>
    <w:basedOn w:val="TableCaption"/>
    <w:qFormat/>
    <w:rsid w:val="00670565"/>
    <w:rPr>
      <w:rFonts w:asciiTheme="majorHAnsi" w:eastAsia="Verdana" w:hAnsiTheme="majorHAnsi" w:cs="Verdana"/>
      <w:color w:val="3182BD"/>
      <w:sz w:val="22"/>
      <w:u w:val="single"/>
    </w:rPr>
  </w:style>
  <w:style w:type="paragraph" w:customStyle="1" w:styleId="NoInfo">
    <w:name w:val="NoInfo"/>
    <w:basedOn w:val="Normal"/>
    <w:qFormat/>
    <w:rsid w:val="00155F6C"/>
    <w:rPr>
      <w:i/>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ilary_morris@fws.gov" TargetMode="External"/><Relationship Id="rId12" Type="http://schemas.openxmlformats.org/officeDocument/2006/relationships/hyperlink" Target="http://www.southatlanticlcc.org/state-of-the-south-atlantic/"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outhatlanticlcc.org/blueprint/" TargetMode="External"/><Relationship Id="rId9" Type="http://schemas.openxmlformats.org/officeDocument/2006/relationships/hyperlink" Target="http://southatlanticlcc.org/blueprint-users" TargetMode="External"/><Relationship Id="rId10" Type="http://schemas.openxmlformats.org/officeDocument/2006/relationships/hyperlink" Target="http://salcc.databas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EC584-8851-DE46-8E6D-B169490D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733</Words>
  <Characters>4182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130</cp:revision>
  <dcterms:created xsi:type="dcterms:W3CDTF">2013-12-23T23:15:00Z</dcterms:created>
  <dcterms:modified xsi:type="dcterms:W3CDTF">2018-09-04T23:06:00Z</dcterms:modified>
  <cp:category/>
</cp:coreProperties>
</file>