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61E49" w14:textId="77777777" w:rsidR="00673AED" w:rsidRDefault="00673AED" w:rsidP="00673AED">
      <w:pPr>
        <w:pStyle w:val="Title"/>
        <w:pBdr>
          <w:top w:val="none" w:sz="0" w:space="9" w:color="auto"/>
        </w:pBdr>
        <w:shd w:val="clear" w:color="auto" w:fill="FFFFFF"/>
        <w:spacing w:line="312" w:lineRule="auto"/>
        <w:jc w:val="center"/>
        <w:rPr>
          <w:rFonts w:ascii="Calibri" w:eastAsia="Calibri" w:hAnsi="Calibri" w:cs="Calibri"/>
          <w:color w:val="333333"/>
          <w:sz w:val="36"/>
          <w:szCs w:val="36"/>
        </w:rPr>
      </w:pPr>
      <w:bookmarkStart w:id="0" w:name="_tg8jf999fg5a" w:colFirst="0" w:colLast="0"/>
      <w:bookmarkEnd w:id="0"/>
      <w:r>
        <w:rPr>
          <w:rFonts w:ascii="Calibri" w:eastAsia="Calibri" w:hAnsi="Calibri" w:cs="Calibri"/>
          <w:color w:val="333333"/>
          <w:sz w:val="36"/>
          <w:szCs w:val="36"/>
        </w:rPr>
        <w:t>Blueprint Summary for {{value:summary_unit_name}}</w:t>
      </w:r>
    </w:p>
    <w:p w14:paraId="4EA49010"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1A37A2D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The Conservation Blueprint is a living spatial plan to conserve natural and cultural resources for future generations. Blueprint 2.2 identifies priority areas for shared conservation action based on ecosystem indicator condition and connectivity. More than 500 people from over 150 different organizations have actively participated in its development so far.</w:t>
      </w:r>
    </w:p>
    <w:p w14:paraId="636EAA3B" w14:textId="77777777" w:rsidR="00673AED"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For more information, </w:t>
      </w:r>
      <w:hyperlink r:id="rId6">
        <w:r>
          <w:rPr>
            <w:rFonts w:ascii="Calibri" w:eastAsia="Calibri" w:hAnsi="Calibri" w:cs="Calibri"/>
            <w:color w:val="3182BD"/>
            <w:sz w:val="24"/>
            <w:szCs w:val="24"/>
            <w:u w:val="single"/>
          </w:rPr>
          <w:t>visit the Blueprint webpage</w:t>
        </w:r>
      </w:hyperlink>
      <w:r>
        <w:rPr>
          <w:rFonts w:ascii="Calibri" w:eastAsia="Calibri" w:hAnsi="Calibri" w:cs="Calibri"/>
          <w:color w:val="333333"/>
          <w:sz w:val="24"/>
          <w:szCs w:val="24"/>
        </w:rPr>
        <w:t xml:space="preserve">. On that page, you can </w:t>
      </w:r>
      <w:hyperlink r:id="rId7">
        <w:r>
          <w:rPr>
            <w:rFonts w:ascii="Calibri" w:eastAsia="Calibri" w:hAnsi="Calibri" w:cs="Calibri"/>
            <w:color w:val="3182BD"/>
            <w:sz w:val="24"/>
            <w:szCs w:val="24"/>
            <w:u w:val="single"/>
          </w:rPr>
          <w:t>see who’s using the Blueprint</w:t>
        </w:r>
      </w:hyperlink>
      <w:r>
        <w:rPr>
          <w:rFonts w:ascii="Calibri" w:eastAsia="Calibri" w:hAnsi="Calibri" w:cs="Calibri"/>
          <w:color w:val="333333"/>
          <w:sz w:val="24"/>
          <w:szCs w:val="24"/>
        </w:rPr>
        <w:t xml:space="preserve"> to inform conservation action and investment.</w:t>
      </w:r>
    </w:p>
    <w:p w14:paraId="27858602" w14:textId="77777777" w:rsidR="00673AED"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If you want to overlay additional datasets, view indicator layers, and download Blueprint data, </w:t>
      </w:r>
      <w:hyperlink r:id="rId8">
        <w:r>
          <w:rPr>
            <w:rFonts w:ascii="Calibri" w:eastAsia="Calibri" w:hAnsi="Calibri" w:cs="Calibri"/>
            <w:color w:val="3182BD"/>
            <w:sz w:val="24"/>
            <w:szCs w:val="24"/>
            <w:u w:val="single"/>
          </w:rPr>
          <w:t>visit the Conservation Planning Atlas (CPA)</w:t>
        </w:r>
      </w:hyperlink>
      <w:r>
        <w:rPr>
          <w:rFonts w:ascii="Calibri" w:eastAsia="Calibri" w:hAnsi="Calibri" w:cs="Calibri"/>
          <w:color w:val="333333"/>
          <w:sz w:val="24"/>
          <w:szCs w:val="24"/>
        </w:rPr>
        <w:t>.</w:t>
      </w:r>
    </w:p>
    <w:p w14:paraId="4872B5C5"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73B4257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Blueprint 2.2 is completely data-driven, based on ecosystem indicator models and a connectivity analysis. It prioritizes the lands and waters of the South Atlantic according to the current condition of the indicators. Better indicator condition suggests higher ecosystem integrity and higher importance for natural and cultural resources across all ecosystems collectively.</w:t>
      </w:r>
    </w:p>
    <w:p w14:paraId="610F7EA8"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1" w:name="_twazfl5dsuou" w:colFirst="0" w:colLast="0"/>
      <w:bookmarkEnd w:id="1"/>
      <w:r>
        <w:rPr>
          <w:rFonts w:ascii="Calibri" w:eastAsia="Calibri" w:hAnsi="Calibri" w:cs="Calibri"/>
          <w:color w:val="333333"/>
        </w:rPr>
        <w:t>Priority</w:t>
      </w:r>
    </w:p>
    <w:p w14:paraId="2A7AE73F" w14:textId="77777777" w:rsidR="00673AED" w:rsidRDefault="00673AED" w:rsidP="00673AED">
      <w:pPr>
        <w:pStyle w:val="Normal1"/>
      </w:pPr>
      <w:r w:rsidRPr="00363ECD">
        <w:rPr>
          <w:noProof/>
          <w:highlight w:val="yellow"/>
          <w:lang w:val="en-US"/>
        </w:rPr>
        <w:t>TODO: MAP</w:t>
      </w:r>
    </w:p>
    <w:p w14:paraId="48062B29" w14:textId="77777777" w:rsidR="00673AED" w:rsidRDefault="00673AED" w:rsidP="00673AED">
      <w:pPr>
        <w:pStyle w:val="Normal1"/>
        <w:pBdr>
          <w:top w:val="none" w:sz="0" w:space="9" w:color="auto"/>
        </w:pBdr>
        <w:shd w:val="clear" w:color="auto" w:fill="FFFFFF"/>
        <w:spacing w:line="312" w:lineRule="auto"/>
      </w:pPr>
      <w:r>
        <w:rPr>
          <w:rFonts w:ascii="Calibri" w:eastAsia="Calibri" w:hAnsi="Calibri" w:cs="Calibri"/>
          <w:color w:val="333333"/>
        </w:rPr>
        <w:t>Map of blueprint priorities in {{value:summary_unit_name}}</w:t>
      </w:r>
    </w:p>
    <w:p w14:paraId="2FB2A47A"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2" w:name="_umkkwt4fqxa" w:colFirst="0" w:colLast="0"/>
      <w:bookmarkEnd w:id="2"/>
      <w:r>
        <w:rPr>
          <w:rFonts w:ascii="Calibri" w:eastAsia="Calibri" w:hAnsi="Calibri" w:cs="Calibri"/>
          <w:color w:val="333333"/>
          <w:sz w:val="24"/>
          <w:szCs w:val="24"/>
        </w:rPr>
        <w:t>Priority categories</w:t>
      </w:r>
    </w:p>
    <w:p w14:paraId="735CBB54"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Highest priority for shared action: the most important areas for natural and cultural resources based on indicator condition. This class covers 10% of the South Atlantic geography.</w:t>
      </w:r>
    </w:p>
    <w:p w14:paraId="478B6BA5"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 priority for shared action: important areas for natural and cultural resources based on indicator condition. This class covers an additional 15% of the South Atlantic geography; together, the highest and high priority categories cover 25%.</w:t>
      </w:r>
    </w:p>
    <w:p w14:paraId="4AAD6298"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lastRenderedPageBreak/>
        <w:t>Medium priority for shared action: above-average areas for natural and cultural resources based on indicator condition, capturing potential restoration opportunities. This class covers 20% of the South Atlantic geography; together, the highest, high, and medium priority categories cover 45%.</w:t>
      </w:r>
    </w:p>
    <w:p w14:paraId="78AC5042"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Corridors: connections between large patches of highest priority areas and secured lands, optimized for efficiency and indicator condition in a least cost path analysis. This category covers an additional 5% of the South Atlantic geography; in total, the Blueprint covers 50%.</w:t>
      </w:r>
    </w:p>
    <w:p w14:paraId="058FFB87"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Inland waterbodies: lakes, reservoirs, and ponds not included in the Blueprint 2.2 priorities.</w:t>
      </w:r>
    </w:p>
    <w:p w14:paraId="7FB10DC8"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sidRPr="001D6320">
        <w:rPr>
          <w:rFonts w:ascii="Calibri" w:eastAsia="Calibri" w:hAnsi="Calibri" w:cs="Calibri"/>
          <w:noProof/>
          <w:color w:val="333333"/>
          <w:sz w:val="24"/>
          <w:szCs w:val="24"/>
          <w:highlight w:val="yellow"/>
          <w:lang w:val="en-US"/>
        </w:rPr>
        <w:t>TODO: BLUEPRINT CHART</w:t>
      </w:r>
    </w:p>
    <w:p w14:paraId="466AA42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04280E44"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0FB7EC9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each blueprint category  within the South Atlantic LCC portion of the {{value:summary_unit_name}} geography.</w:t>
      </w:r>
    </w:p>
    <w:p w14:paraId="1DFD3FCB"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p>
    <w:p w14:paraId="178512C9"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rPr>
        <w:t>{{table:priorities}}</w:t>
      </w:r>
    </w:p>
    <w:p w14:paraId="672E59CC"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7837CA76"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3" w:name="_qisommxqtwh2" w:colFirst="0" w:colLast="0"/>
      <w:bookmarkEnd w:id="3"/>
      <w:r>
        <w:rPr>
          <w:rFonts w:ascii="Calibri" w:eastAsia="Calibri" w:hAnsi="Calibri" w:cs="Calibri"/>
          <w:color w:val="333333"/>
        </w:rPr>
        <w:t>Indicators</w:t>
      </w:r>
    </w:p>
    <w:p w14:paraId="0F5F0B87"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4" w:name="_njltyqubju01" w:colFirst="0" w:colLast="0"/>
      <w:bookmarkEnd w:id="4"/>
      <w:r>
        <w:rPr>
          <w:rFonts w:ascii="Calibri" w:eastAsia="Calibri" w:hAnsi="Calibri" w:cs="Calibri"/>
          <w:color w:val="333333"/>
          <w:sz w:val="24"/>
          <w:szCs w:val="24"/>
        </w:rPr>
        <w:t>Ecosystem-specific indicators</w:t>
      </w:r>
    </w:p>
    <w:p w14:paraId="4C49FADB" w14:textId="77777777" w:rsidR="00673AED" w:rsidRDefault="00673AED" w:rsidP="00673AED">
      <w:pPr>
        <w:pStyle w:val="Normal1"/>
      </w:pPr>
      <w:r w:rsidRPr="005710BD">
        <w:rPr>
          <w:noProof/>
          <w:highlight w:val="yellow"/>
          <w:lang w:val="en-US"/>
        </w:rPr>
        <w:t>TODO: Ecosystems Chart??</w:t>
      </w:r>
    </w:p>
    <w:p w14:paraId="4D2981F8"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4C6BDBD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each ecosystem within the South Atlantic LCC portion of the {{value:summary_unit_name}} geography.</w:t>
      </w:r>
    </w:p>
    <w:p w14:paraId="60DD8B4A"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{{table:ecosystems}}</w:t>
      </w:r>
    </w:p>
    <w:p w14:paraId="2E357AF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p>
    <w:p w14:paraId="54BB0A7B"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p>
    <w:p w14:paraId="3590F5DA" w14:textId="6DA231BB" w:rsidR="002516C3"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{{INDICATORS}}</w:t>
      </w:r>
    </w:p>
    <w:p w14:paraId="2CB2F0A1" w14:textId="77777777" w:rsidR="00673AED" w:rsidRPr="005710B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highlight w:val="yellow"/>
        </w:rPr>
      </w:pPr>
      <w:bookmarkStart w:id="5" w:name="_7hn4qmarsl55" w:colFirst="0" w:colLast="0"/>
      <w:bookmarkEnd w:id="5"/>
      <w:r w:rsidRPr="005710BD">
        <w:rPr>
          <w:rFonts w:ascii="Calibri" w:eastAsia="Calibri" w:hAnsi="Calibri" w:cs="Calibri"/>
          <w:color w:val="333333"/>
          <w:highlight w:val="yellow"/>
        </w:rPr>
        <w:lastRenderedPageBreak/>
        <w:t>TODO: Threats</w:t>
      </w:r>
    </w:p>
    <w:p w14:paraId="67C62515" w14:textId="77777777" w:rsidR="00673AED" w:rsidRPr="005710B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highlight w:val="yellow"/>
        </w:rPr>
      </w:pPr>
      <w:bookmarkStart w:id="6" w:name="_vfv3vhs1u8zh" w:colFirst="0" w:colLast="0"/>
      <w:bookmarkEnd w:id="6"/>
      <w:r w:rsidRPr="005710BD">
        <w:rPr>
          <w:rFonts w:ascii="Calibri" w:eastAsia="Calibri" w:hAnsi="Calibri" w:cs="Calibri"/>
          <w:color w:val="333333"/>
          <w:sz w:val="24"/>
          <w:szCs w:val="24"/>
          <w:highlight w:val="yellow"/>
        </w:rPr>
        <w:t>Sea level rise</w:t>
      </w:r>
    </w:p>
    <w:p w14:paraId="3789733E" w14:textId="77777777" w:rsidR="00673AED" w:rsidRPr="005710B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highlight w:val="yellow"/>
        </w:rPr>
      </w:pPr>
      <w:r w:rsidRPr="005710BD">
        <w:rPr>
          <w:rFonts w:ascii="Calibri" w:eastAsia="Calibri" w:hAnsi="Calibri" w:cs="Calibri"/>
          <w:color w:val="333333"/>
          <w:sz w:val="24"/>
          <w:szCs w:val="24"/>
          <w:highlight w:val="yellow"/>
        </w:rPr>
        <w:t>Whatever charting option we come up with, appropriately captioned</w:t>
      </w:r>
    </w:p>
    <w:p w14:paraId="2F16D87B" w14:textId="77777777" w:rsidR="00673AED" w:rsidRPr="005710B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highlight w:val="yellow"/>
        </w:rPr>
      </w:pPr>
    </w:p>
    <w:p w14:paraId="1A7BC10D" w14:textId="77777777" w:rsidR="00673AED" w:rsidRPr="005710B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highlight w:val="yellow"/>
        </w:rPr>
      </w:pPr>
      <w:bookmarkStart w:id="7" w:name="_vv7otamh85pf" w:colFirst="0" w:colLast="0"/>
      <w:bookmarkEnd w:id="7"/>
      <w:r w:rsidRPr="005710BD">
        <w:rPr>
          <w:rFonts w:ascii="Calibri" w:eastAsia="Calibri" w:hAnsi="Calibri" w:cs="Calibri"/>
          <w:color w:val="333333"/>
          <w:sz w:val="24"/>
          <w:szCs w:val="24"/>
          <w:highlight w:val="yellow"/>
        </w:rPr>
        <w:t>Urban growth</w:t>
      </w:r>
    </w:p>
    <w:p w14:paraId="18A9C573"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sidRPr="005710BD">
        <w:rPr>
          <w:rFonts w:ascii="Calibri" w:eastAsia="Calibri" w:hAnsi="Calibri" w:cs="Calibri"/>
          <w:color w:val="333333"/>
          <w:sz w:val="24"/>
          <w:szCs w:val="24"/>
          <w:highlight w:val="yellow"/>
        </w:rPr>
        <w:t>Whatever charting option we come up with, appropriately captioned</w:t>
      </w:r>
    </w:p>
    <w:p w14:paraId="44088952"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8" w:name="_ca20d8dihywo" w:colFirst="0" w:colLast="0"/>
      <w:bookmarkEnd w:id="8"/>
      <w:r>
        <w:rPr>
          <w:rFonts w:ascii="Calibri" w:eastAsia="Calibri" w:hAnsi="Calibri" w:cs="Calibri"/>
          <w:color w:val="333333"/>
        </w:rPr>
        <w:t>Partners</w:t>
      </w:r>
    </w:p>
    <w:p w14:paraId="1688DFA4"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bookmarkStart w:id="9" w:name="_a1ytnl6sgu9x" w:colFirst="0" w:colLast="0"/>
      <w:bookmarkEnd w:id="9"/>
      <w:r>
        <w:rPr>
          <w:rFonts w:ascii="Calibri" w:eastAsia="Calibri" w:hAnsi="Calibri" w:cs="Calibri"/>
          <w:color w:val="333333"/>
          <w:sz w:val="24"/>
          <w:szCs w:val="24"/>
        </w:rPr>
        <w:t>{{PARTNERS}}</w:t>
      </w:r>
    </w:p>
    <w:p w14:paraId="1BF849AF"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10" w:name="_51kemobqovsy" w:colFirst="0" w:colLast="0"/>
      <w:bookmarkStart w:id="11" w:name="_GoBack"/>
      <w:bookmarkEnd w:id="10"/>
      <w:bookmarkEnd w:id="11"/>
      <w:r>
        <w:rPr>
          <w:rFonts w:ascii="Calibri" w:eastAsia="Calibri" w:hAnsi="Calibri" w:cs="Calibri"/>
          <w:color w:val="333333"/>
        </w:rPr>
        <w:t>Ownership</w:t>
      </w:r>
    </w:p>
    <w:p w14:paraId="1F2F6D68"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2" w:name="_6o8u7emblwbs" w:colFirst="0" w:colLast="0"/>
      <w:bookmarkEnd w:id="12"/>
      <w:r>
        <w:rPr>
          <w:rFonts w:ascii="Calibri" w:eastAsia="Calibri" w:hAnsi="Calibri" w:cs="Calibri"/>
          <w:color w:val="333333"/>
          <w:sz w:val="24"/>
          <w:szCs w:val="24"/>
        </w:rPr>
        <w:t>Conserved lands ownership</w:t>
      </w:r>
    </w:p>
    <w:p w14:paraId="7984F669"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TODO: ownership chart</w:t>
      </w:r>
    </w:p>
    <w:p w14:paraId="7CEE0CDB"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p>
    <w:p w14:paraId="5370315B" w14:textId="77777777" w:rsidR="00673AED" w:rsidRPr="00502DF1" w:rsidRDefault="00673AED" w:rsidP="00673AED">
      <w:pPr>
        <w:pStyle w:val="Normal1"/>
        <w:pBdr>
          <w:top w:val="none" w:sz="0" w:space="9" w:color="auto"/>
        </w:pBdr>
        <w:shd w:val="clear" w:color="auto" w:fill="FFFFFF"/>
        <w:spacing w:line="312" w:lineRule="auto"/>
        <w:rPr>
          <w:rFonts w:asciiTheme="majorHAnsi" w:eastAsia="Calibri" w:hAnsiTheme="majorHAnsi" w:cs="Calibri"/>
          <w:color w:val="333333"/>
        </w:rPr>
      </w:pPr>
      <w:r w:rsidRPr="00502DF1">
        <w:rPr>
          <w:rFonts w:asciiTheme="majorHAnsi" w:eastAsia="Calibri" w:hAnsiTheme="majorHAnsi" w:cs="Calibri"/>
          <w:color w:val="333333"/>
        </w:rPr>
        <w:t xml:space="preserve">Extent of ownership class within the South Atlantic LCC portion of the {{value:summary_unit_name}} geography.  Values derived from </w:t>
      </w:r>
      <w:hyperlink r:id="rId9">
        <w:r w:rsidRPr="00502DF1">
          <w:rPr>
            <w:rFonts w:asciiTheme="majorHAnsi" w:eastAsia="Verdana" w:hAnsiTheme="majorHAnsi" w:cs="Verdana"/>
            <w:color w:val="3182BD"/>
            <w:highlight w:val="white"/>
            <w:u w:val="single"/>
          </w:rPr>
          <w:t>Secured Lands From TNC Eastern Division - 2015 Edition</w:t>
        </w:r>
      </w:hyperlink>
      <w:r w:rsidRPr="00502DF1">
        <w:rPr>
          <w:rFonts w:asciiTheme="majorHAnsi" w:eastAsia="Verdana" w:hAnsiTheme="majorHAnsi" w:cs="Verdana"/>
          <w:color w:val="333333"/>
          <w:highlight w:val="white"/>
        </w:rPr>
        <w:t xml:space="preserve"> </w:t>
      </w:r>
    </w:p>
    <w:p w14:paraId="12225D62"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{{table:ownership}}</w:t>
      </w:r>
    </w:p>
    <w:p w14:paraId="4B652C9A"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3" w:name="_il78auds0hi7" w:colFirst="0" w:colLast="0"/>
      <w:bookmarkEnd w:id="13"/>
      <w:r>
        <w:rPr>
          <w:rFonts w:ascii="Calibri" w:eastAsia="Calibri" w:hAnsi="Calibri" w:cs="Calibri"/>
          <w:color w:val="333333"/>
          <w:sz w:val="24"/>
          <w:szCs w:val="24"/>
        </w:rPr>
        <w:t>Land protection status</w:t>
      </w:r>
    </w:p>
    <w:p w14:paraId="036CEC09" w14:textId="77777777" w:rsidR="00673AED" w:rsidRDefault="00673AED" w:rsidP="00673AED">
      <w:pPr>
        <w:pStyle w:val="Normal1"/>
      </w:pPr>
      <w:r w:rsidRPr="00502DF1">
        <w:rPr>
          <w:noProof/>
          <w:highlight w:val="yellow"/>
          <w:lang w:val="en-US"/>
        </w:rPr>
        <w:t>TODO: protection chart</w:t>
      </w:r>
    </w:p>
    <w:p w14:paraId="04A7D1D1"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3528E969"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7D8F3A9B" w14:textId="77777777" w:rsidR="00673AED" w:rsidRPr="00502DF1" w:rsidRDefault="00673AED" w:rsidP="00673AED">
      <w:pPr>
        <w:pStyle w:val="Normal1"/>
        <w:pBdr>
          <w:top w:val="none" w:sz="0" w:space="9" w:color="auto"/>
        </w:pBdr>
        <w:shd w:val="clear" w:color="auto" w:fill="FFFFFF"/>
        <w:spacing w:line="312" w:lineRule="auto"/>
        <w:rPr>
          <w:rFonts w:asciiTheme="majorHAnsi" w:eastAsia="Calibri" w:hAnsiTheme="majorHAnsi" w:cs="Calibri"/>
          <w:b/>
          <w:color w:val="333333"/>
        </w:rPr>
      </w:pPr>
      <w:r w:rsidRPr="00502DF1">
        <w:rPr>
          <w:rFonts w:asciiTheme="majorHAnsi" w:eastAsia="Calibri" w:hAnsiTheme="majorHAnsi" w:cs="Calibri"/>
          <w:color w:val="333333"/>
        </w:rPr>
        <w:t xml:space="preserve">Extent of land protection status within the South Atlantic LCC portion of the {{value:summary_unit_name}} geography.  Values derived from </w:t>
      </w:r>
      <w:hyperlink r:id="rId10">
        <w:r w:rsidRPr="00502DF1">
          <w:rPr>
            <w:rFonts w:asciiTheme="majorHAnsi" w:eastAsia="Verdana" w:hAnsiTheme="majorHAnsi" w:cs="Verdana"/>
            <w:color w:val="3182BD"/>
            <w:highlight w:val="white"/>
            <w:u w:val="single"/>
          </w:rPr>
          <w:t>Secured Lands From TNC Eastern Division - 2015 Edition</w:t>
        </w:r>
      </w:hyperlink>
      <w:r w:rsidRPr="00502DF1">
        <w:rPr>
          <w:rFonts w:asciiTheme="majorHAnsi" w:eastAsia="Verdana" w:hAnsiTheme="majorHAnsi" w:cs="Verdana"/>
          <w:color w:val="333333"/>
          <w:highlight w:val="white"/>
        </w:rPr>
        <w:t xml:space="preserve"> </w:t>
      </w:r>
    </w:p>
    <w:p w14:paraId="7079D75A" w14:textId="3A433129" w:rsidR="00673AED" w:rsidRDefault="00673AED" w:rsidP="001B3C5F">
      <w:pPr>
        <w:pStyle w:val="Normal1"/>
        <w:pBdr>
          <w:top w:val="none" w:sz="0" w:space="9" w:color="auto"/>
        </w:pBdr>
        <w:shd w:val="clear" w:color="auto" w:fill="FFFFFF"/>
        <w:spacing w:line="312" w:lineRule="auto"/>
      </w:pPr>
      <w:r>
        <w:rPr>
          <w:rFonts w:ascii="Calibri" w:eastAsia="Calibri" w:hAnsi="Calibri" w:cs="Calibri"/>
          <w:color w:val="333333"/>
          <w:sz w:val="24"/>
          <w:szCs w:val="24"/>
        </w:rPr>
        <w:t>{{table:protection}}</w:t>
      </w:r>
    </w:p>
    <w:sectPr w:rsidR="00673AE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C613ABB"/>
    <w:multiLevelType w:val="hybridMultilevel"/>
    <w:tmpl w:val="F208E36C"/>
    <w:lvl w:ilvl="0" w:tplc="8F5EAFE8">
      <w:start w:val="1"/>
      <w:numFmt w:val="bullet"/>
      <w:pStyle w:val="Hyperlin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36C01"/>
    <w:multiLevelType w:val="multilevel"/>
    <w:tmpl w:val="4D3C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D3C77DD"/>
    <w:multiLevelType w:val="multilevel"/>
    <w:tmpl w:val="7B04DF04"/>
    <w:lvl w:ilvl="0">
      <w:start w:val="1"/>
      <w:numFmt w:val="bullet"/>
      <w:lvlText w:val="●"/>
      <w:lvlJc w:val="left"/>
      <w:pPr>
        <w:ind w:left="720" w:hanging="360"/>
      </w:pPr>
      <w:rPr>
        <w:rFonts w:ascii="Verdana" w:eastAsia="Verdana" w:hAnsi="Verdana" w:cs="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3DFA"/>
    <w:rsid w:val="001173CD"/>
    <w:rsid w:val="0015074B"/>
    <w:rsid w:val="001B1BD3"/>
    <w:rsid w:val="001B3C5F"/>
    <w:rsid w:val="002516C3"/>
    <w:rsid w:val="0029639D"/>
    <w:rsid w:val="002B3E45"/>
    <w:rsid w:val="003160B9"/>
    <w:rsid w:val="00326F90"/>
    <w:rsid w:val="00365DAA"/>
    <w:rsid w:val="004E0591"/>
    <w:rsid w:val="005176A2"/>
    <w:rsid w:val="00537D13"/>
    <w:rsid w:val="0056471D"/>
    <w:rsid w:val="00673AED"/>
    <w:rsid w:val="006873A1"/>
    <w:rsid w:val="00730EE8"/>
    <w:rsid w:val="007B39E7"/>
    <w:rsid w:val="007D099B"/>
    <w:rsid w:val="0082485A"/>
    <w:rsid w:val="00944FB3"/>
    <w:rsid w:val="00AA1D8D"/>
    <w:rsid w:val="00B0194B"/>
    <w:rsid w:val="00B223C0"/>
    <w:rsid w:val="00B47730"/>
    <w:rsid w:val="00BE3A40"/>
    <w:rsid w:val="00CB0664"/>
    <w:rsid w:val="00D10738"/>
    <w:rsid w:val="00DB72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814B3B"/>
  <w14:defaultImageDpi w14:val="300"/>
  <w15:docId w15:val="{FE81D51B-C0F5-F643-BCA5-749BC9BC8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aliases w:val="BulletHyperlink"/>
    <w:basedOn w:val="Normal"/>
    <w:uiPriority w:val="99"/>
    <w:unhideWhenUsed/>
    <w:rsid w:val="00B223C0"/>
    <w:pPr>
      <w:numPr>
        <w:numId w:val="1"/>
      </w:numPr>
      <w:contextualSpacing/>
    </w:pPr>
    <w:rPr>
      <w:rFonts w:asciiTheme="majorHAnsi" w:hAnsiTheme="majorHAnsi"/>
      <w:color w:val="000000" w:themeColor="text1"/>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1">
    <w:name w:val="Normal1"/>
    <w:rsid w:val="00673AED"/>
    <w:pPr>
      <w:spacing w:after="0"/>
    </w:pPr>
    <w:rPr>
      <w:rFonts w:ascii="Arial" w:eastAsia="Arial" w:hAnsi="Arial" w:cs="Arial"/>
      <w:lang w:val="en"/>
    </w:rPr>
  </w:style>
  <w:style w:type="table" w:customStyle="1" w:styleId="SALCCstyle">
    <w:name w:val="SALCC_style"/>
    <w:basedOn w:val="TableNormal"/>
    <w:uiPriority w:val="99"/>
    <w:rsid w:val="001B3C5F"/>
    <w:pPr>
      <w:spacing w:after="0" w:line="240" w:lineRule="auto"/>
      <w:jc w:val="center"/>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jc w:val="center"/>
      </w:pPr>
      <w:rPr>
        <w:b/>
      </w:rPr>
      <w:tblPr/>
      <w:tcPr>
        <w:vAlign w:val="center"/>
      </w:tcPr>
    </w:tblStylePr>
    <w:tblStylePr w:type="firstCol">
      <w:pPr>
        <w:jc w:val="left"/>
      </w:pPr>
    </w:tblStylePr>
  </w:style>
  <w:style w:type="paragraph" w:customStyle="1" w:styleId="Heading10">
    <w:name w:val="Heading10"/>
    <w:basedOn w:val="IntenseQuote"/>
    <w:qFormat/>
    <w:rsid w:val="007D099B"/>
    <w:pPr>
      <w:pBdr>
        <w:top w:val="none" w:sz="0" w:space="9" w:color="auto"/>
      </w:pBdr>
      <w:shd w:val="clear" w:color="auto" w:fill="FFFFFF"/>
      <w:spacing w:line="312" w:lineRule="auto"/>
      <w:ind w:left="0"/>
    </w:pPr>
    <w:rPr>
      <w:rFonts w:ascii="Calibri" w:eastAsia="Calibri" w:hAnsi="Calibri" w:cs="Calibri"/>
      <w:i w:val="0"/>
      <w:color w:val="333333"/>
      <w:sz w:val="24"/>
      <w:szCs w:val="24"/>
    </w:rPr>
  </w:style>
  <w:style w:type="paragraph" w:customStyle="1" w:styleId="Heading11">
    <w:name w:val="Heading11"/>
    <w:basedOn w:val="Heading6"/>
    <w:qFormat/>
    <w:rsid w:val="00537D13"/>
    <w:pPr>
      <w:pBdr>
        <w:top w:val="none" w:sz="0" w:space="9" w:color="auto"/>
      </w:pBdr>
      <w:shd w:val="clear" w:color="auto" w:fill="FFFFFF"/>
      <w:spacing w:line="312" w:lineRule="auto"/>
    </w:pPr>
    <w:rPr>
      <w:rFonts w:ascii="Calibri" w:eastAsia="Calibri" w:hAnsi="Calibri" w:cs="Calibri"/>
      <w:color w:val="808080" w:themeColor="background1" w:themeShade="80"/>
      <w:sz w:val="24"/>
    </w:rPr>
  </w:style>
  <w:style w:type="paragraph" w:customStyle="1" w:styleId="Heading13">
    <w:name w:val="Heading13"/>
    <w:basedOn w:val="Heading2"/>
    <w:qFormat/>
    <w:rsid w:val="00B0194B"/>
    <w:pPr>
      <w:pBdr>
        <w:top w:val="none" w:sz="0" w:space="9" w:color="auto"/>
      </w:pBdr>
      <w:shd w:val="clear" w:color="auto" w:fill="FFFFFF"/>
      <w:spacing w:line="312" w:lineRule="auto"/>
    </w:pPr>
    <w:rPr>
      <w:rFonts w:ascii="Calibri" w:eastAsia="Calibri" w:hAnsi="Calibri" w:cs="Calibri"/>
      <w:color w:val="4F6228" w:themeColor="accent3" w:themeShade="80"/>
      <w:sz w:val="28"/>
    </w:rPr>
  </w:style>
  <w:style w:type="character" w:styleId="Hyperlink">
    <w:name w:val="Hyperlink"/>
    <w:aliases w:val="Hyperlink12"/>
    <w:basedOn w:val="DefaultParagraphFont"/>
    <w:uiPriority w:val="99"/>
    <w:unhideWhenUsed/>
    <w:rsid w:val="00DB726F"/>
    <w:rPr>
      <w:rFonts w:asciiTheme="majorHAnsi" w:hAnsiTheme="majorHAnsi"/>
      <w:color w:val="4F81BD" w:themeColor="accent1"/>
      <w:sz w:val="24"/>
      <w:u w:val="single"/>
    </w:rPr>
  </w:style>
  <w:style w:type="paragraph" w:customStyle="1" w:styleId="HyperlinkList">
    <w:name w:val="HyperlinkList"/>
    <w:basedOn w:val="Normal1"/>
    <w:qFormat/>
    <w:rsid w:val="00093DFA"/>
    <w:pPr>
      <w:numPr>
        <w:numId w:val="12"/>
      </w:numPr>
      <w:pBdr>
        <w:top w:val="none" w:sz="0" w:space="9" w:color="auto"/>
      </w:pBdr>
      <w:shd w:val="clear" w:color="auto" w:fill="FFFFFF"/>
      <w:spacing w:line="312" w:lineRule="auto"/>
    </w:pPr>
    <w:rPr>
      <w:rFonts w:ascii="Calibri" w:eastAsia="Calibri" w:hAnsi="Calibri" w:cs="Calibri"/>
      <w:color w:val="4F81BD" w:themeColor="accent1"/>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cc.databasin.org/" TargetMode="External"/><Relationship Id="rId3" Type="http://schemas.openxmlformats.org/officeDocument/2006/relationships/styles" Target="styles.xml"/><Relationship Id="rId7" Type="http://schemas.openxmlformats.org/officeDocument/2006/relationships/hyperlink" Target="http://southatlanticlcc.org/blueprint-user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outhatlanticlcc.org/blueprin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onservationgateway.org/ConservationByGeography/NorthAmerica/UnitedStates/edc/reportsdata/terrestrial/secured/Pages/default.aspx" TargetMode="External"/><Relationship Id="rId4" Type="http://schemas.openxmlformats.org/officeDocument/2006/relationships/settings" Target="settings.xml"/><Relationship Id="rId9" Type="http://schemas.openxmlformats.org/officeDocument/2006/relationships/hyperlink" Target="https://www.conservationgateway.org/ConservationByGeography/NorthAmerica/UnitedStates/edc/reportsdata/terrestrial/secured/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5672D-C34F-5541-A91D-05C30B41B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esti.shay@consbio.org</cp:lastModifiedBy>
  <cp:revision>19</cp:revision>
  <dcterms:created xsi:type="dcterms:W3CDTF">2013-12-23T23:15:00Z</dcterms:created>
  <dcterms:modified xsi:type="dcterms:W3CDTF">2018-07-03T01:37:00Z</dcterms:modified>
  <cp:category/>
</cp:coreProperties>
</file>