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bookmarkStart w:id="0" w:name="_GoBack"/>
      <w:bookmarkEnd w:id="0"/>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7hn4qmarsl55" w:colFirst="0" w:colLast="0"/>
      <w:bookmarkEnd w:id="5"/>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34CEC270" w14:textId="2F722E9B" w:rsidR="00C01443" w:rsidRPr="00C01443"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40601E">
        <w:rPr>
          <w:rFonts w:ascii="Calibri" w:eastAsia="Calibri" w:hAnsi="Calibri" w:cs="Calibri"/>
          <w:color w:val="333333"/>
          <w:sz w:val="24"/>
          <w:szCs w:val="24"/>
        </w:rPr>
        <w:t>table:slr</w:t>
      </w:r>
      <w:r>
        <w:rPr>
          <w:rFonts w:ascii="Calibri" w:eastAsia="Calibri" w:hAnsi="Calibri" w:cs="Calibri"/>
          <w:color w:val="333333"/>
          <w:sz w:val="24"/>
          <w:szCs w:val="24"/>
        </w:rPr>
        <w:t>}}</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18A9C573" w14:textId="012BE350" w:rsidR="00673AED"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40601E">
        <w:rPr>
          <w:rFonts w:ascii="Calibri" w:eastAsia="Calibri" w:hAnsi="Calibri" w:cs="Calibri"/>
          <w:color w:val="333333"/>
          <w:sz w:val="24"/>
          <w:szCs w:val="24"/>
        </w:rPr>
        <w:t>table:urban</w:t>
      </w:r>
      <w:r>
        <w:rPr>
          <w:rFonts w:ascii="Calibri" w:eastAsia="Calibri" w:hAnsi="Calibri" w:cs="Calibri"/>
          <w:color w:val="333333"/>
          <w:sz w:val="24"/>
          <w:szCs w:val="24"/>
        </w:rPr>
        <w:t>}}</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9B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sectPr w:rsidR="009B55C0" w:rsidRPr="009B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2234D4"/>
    <w:rsid w:val="002516C3"/>
    <w:rsid w:val="0029639D"/>
    <w:rsid w:val="002B3E45"/>
    <w:rsid w:val="003160B9"/>
    <w:rsid w:val="00326F90"/>
    <w:rsid w:val="00333911"/>
    <w:rsid w:val="00365DAA"/>
    <w:rsid w:val="0040601E"/>
    <w:rsid w:val="00414CB6"/>
    <w:rsid w:val="004B6BEC"/>
    <w:rsid w:val="004E0591"/>
    <w:rsid w:val="005176A2"/>
    <w:rsid w:val="00537D13"/>
    <w:rsid w:val="0056239A"/>
    <w:rsid w:val="0056470C"/>
    <w:rsid w:val="0056471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61C0A"/>
    <w:rsid w:val="00CB0664"/>
    <w:rsid w:val="00D10738"/>
    <w:rsid w:val="00DB726F"/>
    <w:rsid w:val="00E73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3CBFF-4F12-A342-9FBC-3FE5C19E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35</cp:revision>
  <dcterms:created xsi:type="dcterms:W3CDTF">2013-12-23T23:15:00Z</dcterms:created>
  <dcterms:modified xsi:type="dcterms:W3CDTF">2018-07-24T18:13:00Z</dcterms:modified>
  <cp:category/>
</cp:coreProperties>
</file>