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trHeight w:val="11400" w:hRule="atLeast"/>
        </w:trPr>
        <w:tc>
          <w:tcPr>
            <w:tcW w:type="dxa" w:w="9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31C" w:val="clear"/>
            <w:tcMar>
              <w:top w:type="dxa" w:w="700"/>
              <w:left w:type="dxa" w:w="600"/>
              <w:bottom w:type="dxa" w:w="500"/>
              <w:right w:type="dxa" w:w="600"/>
            </w:tcMar>
          </w:tcPr>
          <w:p>
            <w:pPr>
              <w:spacing w:after="1500"/>
            </w:pPr>
            <w:r>
              <w:rPr>
                <w:b/>
                <w:bCs/>
                <w:color w:val="24D9E8"/>
                <w:spacing w:val="60"/>
                <w:sz w:val="26"/>
                <w:szCs w:val="26"/>
              </w:rPr>
              <w:t xml:space="preserve">JR FORECAST</w:t>
            </w:r>
          </w:p>
          <w:p>
            <w:pPr>
              <w:spacing w:after="0" w:line="56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Guía de implementación</w:t>
            </w:r>
          </w:p>
          <w:p>
            <w:pPr>
              <w:spacing w:after="0" w:line="56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del manual de identidad visual</w:t>
            </w:r>
          </w:p>
          <w:p>
            <w:pPr>
              <w:spacing w:after="500" w:line="56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en software y páginas web</w:t>
            </w:r>
          </w:p>
          <w:p>
            <w:pPr>
              <w:spacing w:after="1700"/>
            </w:pPr>
            <w:r>
              <w:rPr>
                <w:color w:val="24D9E8"/>
                <w:sz w:val="32"/>
                <w:szCs w:val="32"/>
              </w:rPr>
              <w:t xml:space="preserve">Precisión Índigo × Torno Digital</w:t>
            </w:r>
          </w:p>
          <w:p>
            <w:pPr>
              <w:spacing w:after="40"/>
            </w:pPr>
            <w:r>
              <w:rPr>
                <w:color w:val="9AA2B4"/>
                <w:sz w:val="22"/>
                <w:szCs w:val="22"/>
              </w:rPr>
              <w:t xml:space="preserve">JR Mecanizados Industriales · Armenia, Quindío</w:t>
            </w:r>
          </w:p>
          <w:p>
            <w:pPr>
              <w:spacing w:after="40"/>
            </w:pPr>
            <w:r>
              <w:rPr>
                <w:color w:val="9AA2B4"/>
                <w:sz w:val="22"/>
                <w:szCs w:val="22"/>
              </w:rPr>
              <w:t xml:space="preserve">Fuente: Manual de identidad visual, versión 2.0 · 2026</w:t>
            </w:r>
          </w:p>
          <w:p>
            <w:pPr>
              <w:spacing w:after="0"/>
            </w:pPr>
            <w:r>
              <w:rPr>
                <w:color w:val="9AA2B4"/>
                <w:sz w:val="22"/>
                <w:szCs w:val="22"/>
              </w:rPr>
              <w:t xml:space="preserve">Producto: pronóstico de producción · horizonte de 24 meses</w:t>
            </w:r>
          </w:p>
        </w:tc>
      </w:tr>
    </w:tbl>
    <w:p>
      <w:pPr>
        <w:pStyle w:val="Heading1"/>
        <w:pageBreakBefore/>
      </w:pPr>
      <w:r>
        <w:t xml:space="preserve">0. Cómo leer este documento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Este documento convierte el manual de identidad visual de JR Mecanizados Industriales (versión 2.0, 2026) en instrucciones de implementación para el software de pronóstico de producción </w:t>
      </w:r>
      <w:r>
        <w:rPr>
          <w:b/>
          <w:bCs/>
          <w:color w:val="161A25"/>
          <w:sz w:val="21"/>
          <w:szCs w:val="21"/>
        </w:rPr>
        <w:t xml:space="preserve">JR Forecast</w:t>
      </w:r>
      <w:r>
        <w:rPr>
          <w:color w:val="161A25"/>
          <w:sz w:val="21"/>
          <w:szCs w:val="21"/>
        </w:rPr>
        <w:t xml:space="preserve"> y para sus páginas web. Está pensado para quien diseña, desarrolla o revisa la interfaz: cada regla indica de dónde sale, con qué rigor se puede aplicar y qué hacer cuando el manual no dice nada.</w:t>
      </w:r>
    </w:p>
    <w:p>
      <w:pPr>
        <w:pStyle w:val="Heading2"/>
        <w:keepNext/>
      </w:pPr>
      <w:r>
        <w:t xml:space="preserve">0.1 Alcance y límites de la fuente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El PDF recibido tiene </w:t>
      </w:r>
      <w:r>
        <w:rPr>
          <w:b/>
          <w:bCs/>
          <w:color w:val="161A25"/>
          <w:sz w:val="21"/>
          <w:szCs w:val="21"/>
        </w:rPr>
        <w:t xml:space="preserve">11 páginas</w:t>
      </w:r>
      <w:r>
        <w:rPr>
          <w:color w:val="161A25"/>
          <w:sz w:val="21"/>
          <w:szCs w:val="21"/>
        </w:rPr>
        <w:t xml:space="preserve">. La numeración interna de las diapositivas salta (03, 06, 07, 08, 09 y 17), así que se trata de un </w:t>
      </w:r>
      <w:r>
        <w:rPr>
          <w:b/>
          <w:bCs/>
          <w:color w:val="161A25"/>
          <w:sz w:val="21"/>
          <w:szCs w:val="21"/>
        </w:rPr>
        <w:t xml:space="preserve">extracto</w:t>
      </w:r>
      <w:r>
        <w:rPr>
          <w:color w:val="161A25"/>
          <w:sz w:val="21"/>
          <w:szCs w:val="21"/>
        </w:rPr>
        <w:t xml:space="preserve"> de un manual más largo. Faltan, por tanto, las páginas del logotipo maestro, espacio de seguridad, tamaños mínimos, iconografía, grilla, espaciado, tono de voz y estados de componentes.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Este documento </w:t>
      </w:r>
      <w:r>
        <w:rPr>
          <w:b/>
          <w:bCs/>
          <w:color w:val="161A25"/>
          <w:sz w:val="21"/>
          <w:szCs w:val="21"/>
        </w:rPr>
        <w:t xml:space="preserve">no inventa</w:t>
      </w:r>
      <w:r>
        <w:rPr>
          <w:color w:val="161A25"/>
          <w:sz w:val="21"/>
          <w:szCs w:val="21"/>
        </w:rPr>
        <w:t xml:space="preserve"> esas partes. Donde el manual calla, se marca la propuesta como tal y se construye únicamente con los colores y las tipografías que aparecen en el manual.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Los valores que el manual muestra pero no escribe (por ejemplo el Gris Acero de los gráficos) se midieron leyendo los píxeles del PDF y se identifican como tales.</w:t>
      </w:r>
    </w:p>
    <w:p>
      <w:pPr>
        <w:pStyle w:val="Heading2"/>
        <w:keepNext/>
      </w:pPr>
      <w:r>
        <w:t xml:space="preserve">0.2 Etiquetas de procedencia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rPr>
          <w:cantSplit/>
          <w:tblHeader/>
        </w:trPr>
        <w:tc>
          <w:tcPr>
            <w:tcW w:type="dxa" w:w="2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7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MANUAL </w:t>
            </w:r>
          </w:p>
        </w:tc>
        <w:tc>
          <w:tcPr>
            <w:tcW w:type="dxa" w:w="7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Dicho o mostrado de forma explícita en una página del manual (se indica la página del PDF). Es de cumplimiento obligatorio.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6870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MEDIDO </w:t>
            </w:r>
          </w:p>
        </w:tc>
        <w:tc>
          <w:tcPr>
            <w:tcW w:type="dxa" w:w="7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Valor que aparece dibujado en el manual pero sin código escrito; se obtuvo muestreando el PDF. Es fiable para uso, pero conviene que el cliente lo confirme por escrito.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24D9E8"/>
                <w:sz w:val="18"/>
                <w:szCs w:val="18"/>
              </w:rPr>
              <w:t xml:space="preserve"> PROPUESTA </w:t>
            </w:r>
          </w:p>
        </w:tc>
        <w:tc>
          <w:tcPr>
            <w:tcW w:type="dxa" w:w="7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Decisión de implementación derivada por este documento (tamaños, estados, espaciados, código). No está en el manual: debe validarla el equipo o el cliente. Nunca introduce colores ni familias tipográficas nuevas.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0.3 Contenido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1.</w:t>
      </w:r>
      <w:r>
        <w:rPr>
          <w:color w:val="161A25"/>
          <w:sz w:val="20"/>
          <w:szCs w:val="20"/>
        </w:rPr>
        <w:t xml:space="preserve"> La marca en una página y las 12 reglas de oro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2.</w:t>
      </w:r>
      <w:r>
        <w:rPr>
          <w:color w:val="161A25"/>
          <w:sz w:val="20"/>
          <w:szCs w:val="20"/>
        </w:rPr>
        <w:t xml:space="preserve"> Concepto y personalidad: Precisión Índigo × Torno Digital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3.</w:t>
      </w:r>
      <w:r>
        <w:rPr>
          <w:color w:val="161A25"/>
          <w:sz w:val="20"/>
          <w:szCs w:val="20"/>
        </w:rPr>
        <w:t xml:space="preserve"> Sistema de color completo (paleta, funcionales, modo claro y oscuro)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4.</w:t>
      </w:r>
      <w:r>
        <w:rPr>
          <w:color w:val="161A25"/>
          <w:sz w:val="20"/>
          <w:szCs w:val="20"/>
        </w:rPr>
        <w:t xml:space="preserve"> Cómo aplicar el color: proporciones, roles, contraste y prohibiciones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5.</w:t>
      </w:r>
      <w:r>
        <w:rPr>
          <w:color w:val="161A25"/>
          <w:sz w:val="20"/>
          <w:szCs w:val="20"/>
        </w:rPr>
        <w:t xml:space="preserve"> Tipografía y formato de cifras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6.</w:t>
      </w:r>
      <w:r>
        <w:rPr>
          <w:color w:val="161A25"/>
          <w:sz w:val="20"/>
          <w:szCs w:val="20"/>
        </w:rPr>
        <w:t xml:space="preserve"> El anillo, la fotografía y el control de marca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7.</w:t>
      </w:r>
      <w:r>
        <w:rPr>
          <w:color w:val="161A25"/>
          <w:sz w:val="20"/>
          <w:szCs w:val="20"/>
        </w:rPr>
        <w:t xml:space="preserve"> Visualización de datos (gráficos del pronóstico)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8.</w:t>
      </w:r>
      <w:r>
        <w:rPr>
          <w:color w:val="161A25"/>
          <w:sz w:val="20"/>
          <w:szCs w:val="20"/>
        </w:rPr>
        <w:t xml:space="preserve"> Componentes de interfaz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9.</w:t>
      </w:r>
      <w:r>
        <w:rPr>
          <w:color w:val="161A25"/>
          <w:sz w:val="20"/>
          <w:szCs w:val="20"/>
        </w:rPr>
        <w:t xml:space="preserve"> Pantallas: inicio de sesión, dashboard de 24 meses y reporte PDF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10.</w:t>
      </w:r>
      <w:r>
        <w:rPr>
          <w:color w:val="161A25"/>
          <w:sz w:val="20"/>
          <w:szCs w:val="20"/>
        </w:rPr>
        <w:t xml:space="preserve"> Implementación técnica: tokens, tema claro/oscuro, fuentes, gráficos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11.</w:t>
      </w:r>
      <w:r>
        <w:rPr>
          <w:color w:val="161A25"/>
          <w:sz w:val="20"/>
          <w:szCs w:val="20"/>
        </w:rPr>
        <w:t xml:space="preserve"> Lista de verificación de marca (QA)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12.</w:t>
      </w:r>
      <w:r>
        <w:rPr>
          <w:color w:val="161A25"/>
          <w:sz w:val="20"/>
          <w:szCs w:val="20"/>
        </w:rPr>
        <w:t xml:space="preserve"> Inconsistencias del manual, vacíos y preguntas para el cliente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b/>
          <w:bCs/>
          <w:color w:val="161A25"/>
          <w:sz w:val="20"/>
          <w:szCs w:val="20"/>
        </w:rPr>
        <w:t xml:space="preserve">Anexos:</w:t>
      </w:r>
      <w:r>
        <w:rPr>
          <w:color w:val="161A25"/>
          <w:sz w:val="20"/>
          <w:szCs w:val="20"/>
        </w:rPr>
        <w:t xml:space="preserve"> mapa de páginas del PDF y tabla de contrastes</w:t>
      </w:r>
    </w:p>
    <w:p>
      <w:pPr>
        <w:pStyle w:val="Heading1"/>
        <w:pageBreakBefore/>
      </w:pPr>
      <w:r>
        <w:t xml:space="preserve">1. La marca en una página</w:t>
      </w:r>
    </w:p>
    <w:p>
      <w:pPr>
        <w:spacing w:after="120" w:before="0" w:line="288"/>
      </w:pPr>
      <w:r>
        <w:rPr>
          <w:b/>
          <w:bCs/>
          <w:color w:val="161A25"/>
          <w:sz w:val="21"/>
          <w:szCs w:val="21"/>
        </w:rPr>
        <w:t xml:space="preserve">Quién.</w:t>
      </w:r>
      <w:r>
        <w:rPr>
          <w:color w:val="161A25"/>
          <w:sz w:val="21"/>
          <w:szCs w:val="21"/>
        </w:rPr>
        <w:t xml:space="preserve"> JR Mecanizados Industriales, Armenia (Quindío), empresa de mecanizado. </w:t>
      </w:r>
      <w:r>
        <w:rPr>
          <w:b/>
          <w:bCs/>
          <w:color w:val="161A25"/>
          <w:sz w:val="21"/>
          <w:szCs w:val="21"/>
        </w:rPr>
        <w:t xml:space="preserve">Qué producto.</w:t>
      </w:r>
      <w:r>
        <w:rPr>
          <w:color w:val="161A25"/>
          <w:sz w:val="21"/>
          <w:szCs w:val="21"/>
        </w:rPr>
        <w:t xml:space="preserve"> JR Forecast: software de pronóstico de producción para tres productos (A, B y C) con un horizonte común de 24 meses. </w:t>
      </w:r>
      <w:r>
        <w:rPr>
          <w:b/>
          <w:bCs/>
          <w:color w:val="161A25"/>
          <w:sz w:val="21"/>
          <w:szCs w:val="21"/>
        </w:rPr>
        <w:t xml:space="preserve">Qué promete la identidad.</w:t>
      </w:r>
      <w:r>
        <w:rPr>
          <w:color w:val="161A25"/>
          <w:sz w:val="21"/>
          <w:szCs w:val="21"/>
        </w:rPr>
        <w:t xml:space="preserve"> Precisión industrial con lectura inmediata: “lectura sin ruido”, “precisión visual convertida en un sistema usable” (textos del propio manual, p.7 y p.9).</w:t>
      </w:r>
    </w:p>
    <w:p>
      <w:pPr>
        <w:pStyle w:val="Heading2"/>
        <w:keepNext/>
      </w:pPr>
      <w:r>
        <w:t xml:space="preserve">1.1 Las 12 reglas de oro</w:t>
      </w:r>
    </w:p>
    <w:p>
      <w:pPr>
        <w:spacing w:after="100" w:before="0" w:line="288"/>
      </w:pPr>
      <w:r>
        <w:rPr>
          <w:color w:val="161A25"/>
          <w:sz w:val="21"/>
          <w:szCs w:val="21"/>
        </w:rPr>
        <w:t xml:space="preserve">Si el equipo solo recuerda esta lista, el resultado ya será reconocible como JR. Cada regla se desarrolla en las secciones siguientes.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72"/>
        <w:gridCol w:w="2200"/>
        <w:gridCol w:w="2200"/>
      </w:tblGrid>
      <w:tr>
        <w:trPr>
          <w:cantSplit/>
          <w:tblHeader/>
        </w:trPr>
        <w:tc>
          <w:tcPr>
            <w:tcW w:type="dxa" w:w="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0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2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 desarrolla 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La marca tiene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cuatro colores</w:t>
            </w:r>
            <w:r>
              <w:rPr>
                <w:color w:val="161A25"/>
                <w:sz w:val="17"/>
                <w:szCs w:val="17"/>
              </w:rPr>
              <w:t xml:space="preserve">: Índigo JR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#303b8f</w:t>
            </w:r>
            <w:r>
              <w:rPr>
                <w:color w:val="161A25"/>
                <w:sz w:val="17"/>
                <w:szCs w:val="17"/>
              </w:rPr>
              <w:t xml:space="preserve">, Cian Señal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#24d9e8</w:t>
            </w:r>
            <w:r>
              <w:rPr>
                <w:color w:val="161A25"/>
                <w:sz w:val="17"/>
                <w:szCs w:val="17"/>
              </w:rPr>
              <w:t xml:space="preserve">, Noche Taller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#10131c</w:t>
            </w:r>
            <w:r>
              <w:rPr>
                <w:color w:val="161A25"/>
                <w:sz w:val="17"/>
                <w:szCs w:val="17"/>
              </w:rPr>
              <w:t xml:space="preserve"> y Blanco Hueso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#f5f2ea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p.3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§3.1, §4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2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El fondo depende del modo: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claro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5"/>
                <w:szCs w:val="15"/>
                <w:shd w:fill="F5F2EA" w:val="clear"/>
              </w:rPr>
              <w:t xml:space="preserve">#f5f2ea</w:t>
            </w:r>
            <w:r>
              <w:rPr>
                <w:color w:val="161A25"/>
                <w:sz w:val="17"/>
                <w:szCs w:val="17"/>
              </w:rPr>
              <w:t xml:space="preserve">,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oscuro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5"/>
                <w:szCs w:val="15"/>
                <w:shd w:fill="F5F2EA" w:val="clear"/>
              </w:rPr>
              <w:t xml:space="preserve">#10131c</w:t>
            </w:r>
            <w:r>
              <w:rPr>
                <w:color w:val="161A25"/>
                <w:sz w:val="17"/>
                <w:szCs w:val="17"/>
              </w:rPr>
              <w:t xml:space="preserve">, con la proporción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60·30·10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p.5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§3.3, §4.1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3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En modo oscuro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se invierten los roles</w:t>
            </w:r>
            <w:r>
              <w:rPr>
                <w:color w:val="161A25"/>
                <w:sz w:val="17"/>
                <w:szCs w:val="17"/>
              </w:rPr>
              <w:t xml:space="preserve">: el cian pasa a ser Primario y el índigo, Acento.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p.5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§4.2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4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El índigo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nunca</w:t>
            </w:r>
            <w:r>
              <w:rPr>
                <w:color w:val="161A25"/>
                <w:sz w:val="17"/>
                <w:szCs w:val="17"/>
              </w:rPr>
              <w:t xml:space="preserve"> se usa solo sobre fondo oscuro (“Índigo sin contraste”).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p.2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§4.5, §6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5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Montserrat Bold</w:t>
            </w:r>
            <w:r>
              <w:rPr>
                <w:color w:val="161A25"/>
                <w:sz w:val="17"/>
                <w:szCs w:val="17"/>
              </w:rPr>
              <w:t xml:space="preserve"> para títulos, cifras clave y llamadas a la acción;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Inter Regular/Medium</w:t>
            </w:r>
            <w:r>
              <w:rPr>
                <w:color w:val="161A25"/>
                <w:sz w:val="17"/>
                <w:szCs w:val="17"/>
              </w:rPr>
              <w:t xml:space="preserve"> para cuerpo, tablas y ejes de gráficos.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p.6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6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En gráficos,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color constante por producto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p.7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7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Ejes y rejilla en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Gris Acero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p.7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8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Verde solo para mejora.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p.7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§4.4, §7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9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Cero efectos 3D.</w:t>
            </w:r>
            <w:r>
              <w:rPr>
                <w:color w:val="161A25"/>
                <w:sz w:val="17"/>
                <w:szCs w:val="17"/>
              </w:rPr>
              <w:t xml:space="preserve"> Diseño plano; sin brillos exagerados.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p.7, p.2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§6, §7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10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El anillo de marca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no se deforma, rota, recorta ni se ilumina en exceso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p.2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11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Componentes: botón primario relleno, secundario con contorno, tarjeta KPI con cifra grande en Montserrat y tabla de filas alternadas.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p.9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12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Pantallas: barra superior índigo; inicio de sesión sobre imagen metálica oscura; reporte PDF sobre Blanco Hueso con franja índigo.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p.10–11 </w:t>
            </w:r>
          </w:p>
        </w:tc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§9</w:t>
            </w:r>
          </w:p>
        </w:tc>
      </w:tr>
    </w:tbl>
    <w:p>
      <w:pPr>
        <w:pStyle w:val="Heading1"/>
        <w:pageBreakBefore/>
      </w:pPr>
      <w:r>
        <w:t xml:space="preserve">2. Concepto y personalidad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manual resume la marca en una fórmula: </w:t>
      </w:r>
      <w:r>
        <w:rPr>
          <w:b/>
          <w:bCs/>
          <w:color w:val="161A25"/>
          <w:sz w:val="21"/>
          <w:szCs w:val="21"/>
        </w:rPr>
        <w:t xml:space="preserve">“Precisión Índigo × Torno Digital”</w:t>
      </w:r>
      <w:r>
        <w:rPr>
          <w:color w:val="161A25"/>
          <w:sz w:val="21"/>
          <w:szCs w:val="21"/>
        </w:rPr>
        <w:t xml:space="preserve"> (portada, p.1). Es útil leerla como dos mitades que deben coexistir en cada pantalla: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36"/>
        <w:gridCol w:w="3836"/>
      </w:tblGrid>
      <w:tr>
        <w:trPr>
          <w:cantSplit/>
          <w:tblHeader/>
        </w:trPr>
        <w:tc>
          <w:tcPr>
            <w:tcW w:type="dxa" w:w="2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Mitad</w:t>
            </w:r>
          </w:p>
        </w:tc>
        <w:tc>
          <w:tcPr>
            <w:tcW w:type="dxa" w:w="383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en el manual</w:t>
            </w:r>
          </w:p>
        </w:tc>
        <w:tc>
          <w:tcPr>
            <w:tcW w:type="dxa" w:w="383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traduce en software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Precisión Índigo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Color institucional sobrio (Índigo JR), texto casi negro, mucho espacio, ejes finos, cifras grandes y exactas. “Dos familias. Una jerarquía inequívoca.” (p.6)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Interfaz plana, ordenada, con jerarquía tipográfica clara; pocos colores por pantalla; datos siempre con unidad (“1.248 u”) y alineados.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Torno Digital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Imaginería de maquinaria: un torno con viruta metálica en tonos azul-negro y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tres anillos concéntricos cian</w:t>
            </w:r>
            <w:r>
              <w:rPr>
                <w:color w:val="161A25"/>
                <w:sz w:val="18"/>
                <w:szCs w:val="18"/>
              </w:rPr>
              <w:t xml:space="preserve"> (portada); un mecanismo circular metálico con luz azul (inicio de sesión, p.11).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Fondos oscuros “de taller” con acento cian como señal luminosa; el anillo como motivo gráfico; fotografía industrial fría y de alto contraste.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2.1 Atributos de personalidad (deducidos del manual)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Industrial y técnica</w:t>
      </w:r>
      <w:r>
        <w:rPr>
          <w:color w:val="161A25"/>
          <w:sz w:val="21"/>
          <w:szCs w:val="21"/>
        </w:rPr>
        <w:t xml:space="preserve">: metales, anillos, cifras en unidades (“u”), horizonte en meses. Nada decorativo que no sea una pieza de “taller”.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Exacta</w:t>
      </w:r>
      <w:r>
        <w:rPr>
          <w:color w:val="161A25"/>
          <w:sz w:val="21"/>
          <w:szCs w:val="21"/>
        </w:rPr>
        <w:t xml:space="preserve">: ejes y rejilla discretos, sin efectos 3D, color constante por producto.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Señalética clara</w:t>
      </w:r>
      <w:r>
        <w:rPr>
          <w:color w:val="161A25"/>
          <w:sz w:val="21"/>
          <w:szCs w:val="21"/>
        </w:rPr>
        <w:t xml:space="preserve">: el cian funciona como luz indicadora (anillos, foco, primario en oscuro); el verde, ámbar y rojo solo comunican estado.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Sobria y corporativa</w:t>
      </w:r>
      <w:r>
        <w:rPr>
          <w:color w:val="161A25"/>
          <w:sz w:val="21"/>
          <w:szCs w:val="21"/>
        </w:rPr>
        <w:t xml:space="preserve">: Blanco Hueso y blanco como lienzo; índigo como firma institucional.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303B8F" w:sz="24"/>
              <w:bottom w:val="none" w:color="FFFFFF" w:sz="0"/>
              <w:right w:val="none" w:color="FFFFFF" w:sz="0"/>
            </w:tcBorders>
            <w:shd w:fill="EEF0F8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303B8F"/>
                <w:sz w:val="20"/>
                <w:szCs w:val="20"/>
              </w:rPr>
              <w:t xml:space="preserve">Criterio de decisión  </w:t>
            </w:r>
            <w:r>
              <w:rPr>
                <w:color w:val="161A25"/>
                <w:sz w:val="20"/>
                <w:szCs w:val="20"/>
              </w:rPr>
              <w:t xml:space="preserve">Cuando surja una duda de diseño que este documento no resuelva, pregúntese: ¿ayuda a leer el dato más rápido? ¿Usa solo colores y tipografías del manual? ¿Parece una pieza de taller bien calibrada y no una app genérica? Si alguna respuesta es “no”, no se hace.</w:t>
            </w:r>
          </w:p>
        </w:tc>
      </w:tr>
    </w:tbl>
    <w:p>
      <w:pPr>
        <w:pStyle w:val="Heading1"/>
        <w:pageBreakBefore/>
      </w:pPr>
      <w:r>
        <w:t xml:space="preserve">3. Sistema de color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manual define </w:t>
      </w:r>
      <w:r>
        <w:rPr>
          <w:b/>
          <w:bCs/>
          <w:color w:val="161A25"/>
          <w:sz w:val="21"/>
          <w:szCs w:val="21"/>
        </w:rPr>
        <w:t xml:space="preserve">tres capas</w:t>
      </w:r>
      <w:r>
        <w:rPr>
          <w:color w:val="161A25"/>
          <w:sz w:val="21"/>
          <w:szCs w:val="21"/>
        </w:rPr>
        <w:t xml:space="preserve"> de color: (1) paleta principal de marca, (2) fondos, texto y colores funcionales, y (3) la asignación de esos colores a roles en modo claro y modo oscuro. En software siempre se programa </w:t>
      </w:r>
      <w:r>
        <w:rPr>
          <w:b/>
          <w:bCs/>
          <w:color w:val="161A25"/>
          <w:sz w:val="21"/>
          <w:szCs w:val="21"/>
        </w:rPr>
        <w:t xml:space="preserve">por rol</w:t>
      </w:r>
      <w:r>
        <w:rPr>
          <w:color w:val="161A25"/>
          <w:sz w:val="21"/>
          <w:szCs w:val="21"/>
        </w:rPr>
        <w:t xml:space="preserve"> (por ejemplo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--primary</w:t>
      </w:r>
      <w:r>
        <w:rPr>
          <w:color w:val="161A25"/>
          <w:sz w:val="21"/>
          <w:szCs w:val="21"/>
        </w:rPr>
        <w:t xml:space="preserve">), nunca por el valor suelto.</w:t>
      </w:r>
    </w:p>
    <w:p>
      <w:pPr>
        <w:pStyle w:val="Heading2"/>
        <w:keepNext/>
      </w:pPr>
      <w:r>
        <w:t xml:space="preserve">3.1 Paleta principal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p.3 </w:t>
      </w:r>
      <w:r>
        <w:rPr>
          <w:color w:val="161A25"/>
          <w:sz w:val="21"/>
          <w:szCs w:val="21"/>
        </w:rPr>
        <w:t xml:space="preserve"> Los cuatro colores de marca, con nombre propio, HEX y RGB.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500"/>
        <w:gridCol w:w="5472"/>
      </w:tblGrid>
      <w:tr>
        <w:trPr>
          <w:tblHeader/>
        </w:trPr>
        <w:tc>
          <w:tcPr>
            <w:tcW w:type="dxa" w:w="125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175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/ HEX</w:t>
            </w:r>
          </w:p>
        </w:tc>
        <w:tc>
          <w:tcPr>
            <w:tcW w:type="dxa" w:w="1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54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y uso en software/web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Índigo JR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48 59 143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Color institucional.</w:t>
            </w:r>
            <w:r>
              <w:rPr>
                <w:color w:val="161A25"/>
                <w:sz w:val="18"/>
                <w:szCs w:val="18"/>
              </w:rPr>
              <w:t xml:space="preserve"> Primario en modo claro: botón primario, cifras clave, barras superiores, encabezados de reporte y Producto A en gráficos claros. Texto sobre él: blanco.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Cian Señal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36 217 232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Señal / acento luminoso.</w:t>
            </w:r>
            <w:r>
              <w:rPr>
                <w:color w:val="161A25"/>
                <w:sz w:val="18"/>
                <w:szCs w:val="18"/>
              </w:rPr>
              <w:t xml:space="preserve"> Anillos de marca, foco y estados activos; Primario en modo oscuro; Producto A en gráficos oscuros. Nunca como texto sobre fondos claros.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Noche Taller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#10131c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16 19 28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Fondo oscuro.</w:t>
            </w:r>
            <w:r>
              <w:rPr>
                <w:color w:val="161A25"/>
                <w:sz w:val="18"/>
                <w:szCs w:val="18"/>
              </w:rPr>
              <w:t xml:space="preserve"> Fondo del modo oscuro, pantallas inmersivas (inicio de sesión, portadas) y texto sobre superficies cian.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5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Blanco Hueso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#f5f2ea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245 242 234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Fondo claro.</w:t>
            </w:r>
            <w:r>
              <w:rPr>
                <w:color w:val="161A25"/>
                <w:sz w:val="18"/>
                <w:szCs w:val="18"/>
              </w:rPr>
              <w:t xml:space="preserve"> Fondo del modo claro y de los reportes impresos/PDF. Aporta calidez frente al blanco puro.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Fondos, texto y colores funcionales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p.4 </w:t>
      </w:r>
      <w:r>
        <w:rPr>
          <w:color w:val="161A25"/>
          <w:sz w:val="21"/>
          <w:szCs w:val="21"/>
        </w:rPr>
        <w:t xml:space="preserve"> Neutros para estructura y tres colores semánticos de estado.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1500"/>
        <w:gridCol w:w="5472"/>
      </w:tblGrid>
      <w:tr>
        <w:trPr>
          <w:tblHeader/>
        </w:trPr>
        <w:tc>
          <w:tcPr>
            <w:tcW w:type="dxa" w:w="125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175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/ HEX</w:t>
            </w:r>
          </w:p>
        </w:tc>
        <w:tc>
          <w:tcPr>
            <w:tcW w:type="dxa" w:w="1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RGB</w:t>
            </w:r>
          </w:p>
        </w:tc>
        <w:tc>
          <w:tcPr>
            <w:tcW w:type="dxa" w:w="54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y uso en software/web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Superficie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255 255 255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Tarjetas, tablas, paneles y campos sobre el fondo Blanco Hueso (modo claro).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61A2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Texto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#161a25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22 26 37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principal y títulos en modo claro. Casi negro azulado, no negro puro.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6870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Secundario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#687083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104 112 131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secundario, metadatos y pies. Ver §4.5: sobre Blanco Hueso queda justo bajo AA para texto pequeño.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2B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Éxito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#32b77a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50 183 122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Estado positivo y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mejora</w:t>
            </w:r>
            <w:r>
              <w:rPr>
                <w:color w:val="161A25"/>
                <w:sz w:val="18"/>
                <w:szCs w:val="18"/>
              </w:rPr>
              <w:t xml:space="preserve"> (“Verde solo para mejora”). Ejemplo en el manual: “↑ 8,4 % vs. período anterior”.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0A4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Alerta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#f0a43a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240 164 58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Requiere atención sin ser error. Ejemplo en el manual: estado “Revisar”.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DF5B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30"/>
                <w:szCs w:val="30"/>
              </w:rPr>
              <w:t xml:space="preserve"> </w:t>
            </w:r>
          </w:p>
        </w:tc>
        <w:tc>
          <w:tcPr>
            <w:tcW w:type="dxa" w:w="175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Error</w:t>
            </w:r>
          </w:p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#df5b63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223 91 99</w:t>
            </w:r>
          </w:p>
        </w:tc>
        <w:tc>
          <w:tcPr>
            <w:tcW w:type="dxa" w:w="5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Fallo, validación fallida o desviación crítica.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3.3 Modo claro y modo oscuro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p.5 </w:t>
      </w:r>
      <w:r>
        <w:rPr>
          <w:color w:val="161A25"/>
          <w:sz w:val="21"/>
          <w:szCs w:val="21"/>
        </w:rPr>
        <w:t xml:space="preserve"> El manual rotula ambas columnas como </w:t>
      </w:r>
      <w:r>
        <w:rPr>
          <w:b/>
          <w:bCs/>
          <w:color w:val="161A25"/>
          <w:sz w:val="21"/>
          <w:szCs w:val="21"/>
        </w:rPr>
        <w:t xml:space="preserve">“60·30·10”</w:t>
      </w:r>
      <w:r>
        <w:rPr>
          <w:color w:val="161A25"/>
          <w:sz w:val="21"/>
          <w:szCs w:val="21"/>
        </w:rPr>
        <w:t xml:space="preserve"> y asigna siete roles a cada modo. Esta tabla es la fuente única para los tokens semánticos de la §10.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600"/>
        <w:gridCol w:w="1600"/>
        <w:gridCol w:w="900"/>
        <w:gridCol w:w="1600"/>
        <w:gridCol w:w="1572"/>
      </w:tblGrid>
      <w:tr>
        <w:trPr>
          <w:tblHeader/>
        </w:trPr>
        <w:tc>
          <w:tcPr>
            <w:tcW w:type="dxa" w:w="2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Claro</w:t>
            </w:r>
          </w:p>
        </w:tc>
        <w:tc>
          <w:tcPr>
            <w:tcW w:type="dxa" w:w="16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 claro</w:t>
            </w:r>
          </w:p>
        </w:tc>
        <w:tc>
          <w:tcPr>
            <w:tcW w:type="dxa" w:w="16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RGB claro</w:t>
            </w:r>
          </w:p>
        </w:tc>
        <w:tc>
          <w:tcPr>
            <w:tcW w:type="dxa" w:w="9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Oscuro</w:t>
            </w:r>
          </w:p>
        </w:tc>
        <w:tc>
          <w:tcPr>
            <w:tcW w:type="dxa" w:w="16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HEX oscuro</w:t>
            </w:r>
          </w:p>
        </w:tc>
        <w:tc>
          <w:tcPr>
            <w:tcW w:type="dxa" w:w="15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RGB oscuro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Fondo</w:t>
            </w:r>
          </w:p>
        </w:tc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5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#f5f2ea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245 242 234</w:t>
            </w:r>
          </w:p>
        </w:tc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#10131c</w:t>
            </w:r>
          </w:p>
        </w:tc>
        <w:tc>
          <w:tcPr>
            <w:tcW w:type="dxa" w:w="1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16 19 28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Tarjeta</w:t>
            </w:r>
          </w:p>
        </w:tc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255 255 255</w:t>
            </w:r>
          </w:p>
        </w:tc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81D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#181d2b</w:t>
            </w:r>
          </w:p>
        </w:tc>
        <w:tc>
          <w:tcPr>
            <w:tcW w:type="dxa" w:w="1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24 29 43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61A2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#161a25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22 26 37</w:t>
            </w:r>
          </w:p>
        </w:tc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</w:p>
        </w:tc>
        <w:tc>
          <w:tcPr>
            <w:tcW w:type="dxa" w:w="1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255 255 255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Texto secundario</w:t>
            </w:r>
          </w:p>
        </w:tc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6870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#687083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104 112 131</w:t>
            </w:r>
          </w:p>
        </w:tc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9AA2B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#9aa2b4</w:t>
            </w:r>
          </w:p>
        </w:tc>
        <w:tc>
          <w:tcPr>
            <w:tcW w:type="dxa" w:w="1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154 162 180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Primario</w:t>
            </w:r>
          </w:p>
        </w:tc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48 59 143</w:t>
            </w:r>
          </w:p>
        </w:tc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</w:p>
        </w:tc>
        <w:tc>
          <w:tcPr>
            <w:tcW w:type="dxa" w:w="1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36 217 232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Acento</w:t>
            </w:r>
          </w:p>
        </w:tc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36 217 232</w:t>
            </w:r>
          </w:p>
        </w:tc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</w:p>
        </w:tc>
        <w:tc>
          <w:tcPr>
            <w:tcW w:type="dxa" w:w="1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48 59 143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Bordes</w:t>
            </w:r>
          </w:p>
        </w:tc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C9CB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#c9cbd2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201 203 210</w:t>
            </w:r>
          </w:p>
        </w:tc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6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#30364a</w:t>
            </w:r>
          </w:p>
        </w:tc>
        <w:tc>
          <w:tcPr>
            <w:tcW w:type="dxa" w:w="1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48 54 74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303B8F" w:sz="24"/>
              <w:bottom w:val="none" w:color="FFFFFF" w:sz="0"/>
              <w:right w:val="none" w:color="FFFFFF" w:sz="0"/>
            </w:tcBorders>
            <w:shd w:fill="EEF0F8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303B8F"/>
                <w:sz w:val="20"/>
                <w:szCs w:val="20"/>
              </w:rPr>
              <w:t xml:space="preserve">Punto clave 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Primario y Acento se intercambian entre modos.</w:t>
            </w:r>
            <w:r>
              <w:rPr>
                <w:color w:val="161A25"/>
                <w:sz w:val="20"/>
                <w:szCs w:val="20"/>
              </w:rPr>
              <w:t xml:space="preserve"> En claro, Primario = Índigo y Acento = Cian; en oscuro, Primario = Cian y Acento = Índigo. La razón es el contraste: el índigo sobre Noche Taller mide 1,90:1 (ilegible), mientras que el cian sobre Noche Taller mide 10,75:1. Por eso el manual prohíbe el “Índigo sin contraste” (p.2).</w:t>
            </w:r>
          </w:p>
        </w:tc>
      </w:tr>
    </w:tbl>
    <w:p>
      <w:pPr>
        <w:pStyle w:val="Heading2"/>
        <w:keepNext/>
      </w:pPr>
      <w:r>
        <w:t xml:space="preserve">3.4 Valores que el manual dibuja pero no escribe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687083" w:val="clear"/>
        </w:rPr>
        <w:t xml:space="preserve"> MEDIDO </w:t>
      </w:r>
      <w:r>
        <w:rPr>
          <w:color w:val="161A25"/>
          <w:sz w:val="21"/>
          <w:szCs w:val="21"/>
        </w:rPr>
        <w:t xml:space="preserve"> Al muestrear los píxeles del PDF aparecen colores usados en ejemplos que </w:t>
      </w:r>
      <w:r>
        <w:rPr>
          <w:b/>
          <w:bCs/>
          <w:color w:val="161A25"/>
          <w:sz w:val="21"/>
          <w:szCs w:val="21"/>
        </w:rPr>
        <w:t xml:space="preserve">no están en las tablas de paleta</w:t>
      </w:r>
      <w:r>
        <w:rPr>
          <w:color w:val="161A25"/>
          <w:sz w:val="21"/>
          <w:szCs w:val="21"/>
        </w:rPr>
        <w:t xml:space="preserve">. Se documentan para no perderlos, pero se recomienda confirmarlos con el cliente (ver §12). Ningún otro color debe añadirse al producto.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300"/>
        <w:gridCol w:w="5072"/>
      </w:tblGrid>
      <w:tr>
        <w:trPr>
          <w:cantSplit/>
          <w:tblHeader/>
        </w:trPr>
        <w:tc>
          <w:tcPr>
            <w:tcW w:type="dxa" w:w="2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Nombre (propuesto)</w:t>
            </w:r>
          </w:p>
        </w:tc>
        <w:tc>
          <w:tcPr>
            <w:tcW w:type="dxa" w:w="1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1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Dónde aparece</w:t>
            </w:r>
          </w:p>
        </w:tc>
        <w:tc>
          <w:tcPr>
            <w:tcW w:type="dxa" w:w="50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Uso recomendado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Gris Acero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8E919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7"/>
                <w:szCs w:val="17"/>
              </w:rPr>
              <w:t xml:space="preserve">#8e9196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p.7, p.9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Producto B en gráfico claro; borde del botón secundario. El manual lo nombra (“Ejes y rejilla en Gris Acero”) pero no da HEX. Para ejes y rejilla finos puede usarse más suave (se midió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#bfc0c2</w:t>
            </w:r>
            <w:r>
              <w:rPr>
                <w:color w:val="161A25"/>
                <w:sz w:val="17"/>
                <w:szCs w:val="17"/>
              </w:rPr>
              <w:t xml:space="preserve"> en la rejilla clara).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Azul brillante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4F6C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7"/>
                <w:szCs w:val="17"/>
              </w:rPr>
              <w:t xml:space="preserve">#4f6cff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p.8 (y p.2 como ejemplo incorrecto)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Solo como serie “Producto B” en gráficos oscuros.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No</w:t>
            </w:r>
            <w:r>
              <w:rPr>
                <w:color w:val="161A25"/>
                <w:sz w:val="17"/>
                <w:szCs w:val="17"/>
              </w:rPr>
              <w:t xml:space="preserve"> para anillo, botones ni UI (es el color del anillo “índigo sin contraste” de p.2).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Lima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B7F3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#b7f34a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p.8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Serie “Producto C” y cifra de crecimiento (“+18.6 %”) en gráficos oscuros. Distinto del verde Éxito.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Fondo profundo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070B1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7"/>
                <w:szCs w:val="17"/>
              </w:rPr>
              <w:t xml:space="preserve">#070b14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p.2, p.8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Fondo de las láminas oscuras del manual. En producto se usa el oficial Noche Taller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#10131c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Panel de gráfico oscuro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0D132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7"/>
                <w:szCs w:val="17"/>
              </w:rPr>
              <w:t xml:space="preserve">#0d1322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p.8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Panel del gráfico oscuro. En producto se usa la Tarjeta oscura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#181d2b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Rejilla oscura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C34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7"/>
                <w:szCs w:val="17"/>
              </w:rPr>
              <w:t xml:space="preserve">#2c3445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p.8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Equivale en la práctica al borde oscuro oficial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#30364a</w:t>
            </w:r>
            <w:r>
              <w:rPr>
                <w:color w:val="161A25"/>
                <w:sz w:val="17"/>
                <w:szCs w:val="17"/>
              </w:rPr>
              <w:t xml:space="preserve">; usar el oficial.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Rojo de anotación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F547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#ff5470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p.2</w:t>
            </w:r>
          </w:p>
        </w:tc>
        <w:tc>
          <w:tcPr>
            <w:tcW w:type="dxa" w:w="50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Solo las “X” de usos incorrectos del manual.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No</w:t>
            </w:r>
            <w:r>
              <w:rPr>
                <w:color w:val="161A25"/>
                <w:sz w:val="17"/>
                <w:szCs w:val="17"/>
              </w:rPr>
              <w:t xml:space="preserve"> es el color Error de interfaz (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#df5b63</w:t>
            </w:r>
            <w:r>
              <w:rPr>
                <w:color w:val="161A25"/>
                <w:sz w:val="17"/>
                <w:szCs w:val="17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Cómo aplicar el color</w:t>
      </w:r>
    </w:p>
    <w:p>
      <w:pPr>
        <w:pStyle w:val="Heading2"/>
        <w:keepNext/>
      </w:pPr>
      <w:r>
        <w:t xml:space="preserve">4.1 La proporción 60·30·10</w:t>
      </w:r>
    </w:p>
    <w:p>
      <w:pPr>
        <w:spacing w:after="12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p.5 </w:t>
      </w:r>
      <w:r>
        <w:rPr>
          <w:color w:val="161A25"/>
          <w:sz w:val="21"/>
          <w:szCs w:val="21"/>
        </w:rPr>
        <w:t xml:space="preserve"> El manual encabeza ambos modos con “60·30·10” pero no detalla qué colores caen en cada porcentaje. Interpretación recomendada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672"/>
      </w:tblGrid>
      <w:tr>
        <w:trPr>
          <w:cantSplit/>
          <w:tblHeader/>
        </w:trPr>
        <w:tc>
          <w:tcPr>
            <w:tcW w:type="dxa" w:w="1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Proporción</w:t>
            </w:r>
          </w:p>
        </w:tc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56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Traducción práctica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60 %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(y Tarjeta como continuación)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La mayor parte de la pantalla es lienzo: Blanco Hueso con tarjetas blancas en claro; Noche Taller con tarjetas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#181d2b</w:t>
            </w:r>
            <w:r>
              <w:rPr>
                <w:color w:val="161A25"/>
                <w:sz w:val="18"/>
                <w:szCs w:val="18"/>
              </w:rPr>
              <w:t xml:space="preserve"> en oscuro.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30 %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principal, texto secundario, bordes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La estructura legible: texto, líneas, tablas, ejes. Neutros, sin color de marca.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10 %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Primario y Acento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El color de marca es escaso y por eso funciona como señal: barra superior, botón principal, cifras clave, anillos, foco. Si más de ~10 % de la pantalla es índigo o cian, algo está mal (excepto en pantallas inmersivas como el inicio de sesión).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4.2 Tabla de roles (qué color va en qué elemento)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86"/>
        <w:gridCol w:w="3686"/>
      </w:tblGrid>
      <w:tr>
        <w:trPr>
          <w:cantSplit/>
          <w:tblHeader/>
        </w:trPr>
        <w:tc>
          <w:tcPr>
            <w:tcW w:type="dxa" w:w="26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 de interfaz</w:t>
            </w:r>
          </w:p>
        </w:tc>
        <w:tc>
          <w:tcPr>
            <w:tcW w:type="dxa" w:w="36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6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oscuro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de página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Blanco Hueso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#f5f2ea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Noche Taller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#10131c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Tarjetas, tablas, paneles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  <w:r>
              <w:rPr>
                <w:color w:val="161A25"/>
                <w:sz w:val="18"/>
                <w:szCs w:val="18"/>
              </w:rPr>
              <w:t xml:space="preserve"> + borde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#c9cbd2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Tarjeta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#181d2b</w:t>
            </w:r>
            <w:r>
              <w:rPr>
                <w:color w:val="161A25"/>
                <w:sz w:val="18"/>
                <w:szCs w:val="18"/>
              </w:rPr>
              <w:t xml:space="preserve"> + borde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#30364a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Títulos y texto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#161a25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secundario / metadatos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#687083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#9aa2b4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Botón primario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Relleno Índigo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  <w:r>
              <w:rPr>
                <w:color w:val="161A25"/>
                <w:sz w:val="18"/>
                <w:szCs w:val="18"/>
              </w:rPr>
              <w:t xml:space="preserve">, texto blanco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Relleno Cian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  <w:r>
              <w:rPr>
                <w:color w:val="161A25"/>
                <w:sz w:val="18"/>
                <w:szCs w:val="18"/>
              </w:rPr>
              <w:t xml:space="preserve">, texto Noche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#10131c</w:t>
            </w:r>
            <w:r>
              <w:rPr>
                <w:color w:val="161A25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Botón secundario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Contorno Gris Acero, texto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#161a25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Contorno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#9aa2b4</w:t>
            </w:r>
            <w:r>
              <w:rPr>
                <w:color w:val="161A25"/>
                <w:sz w:val="18"/>
                <w:szCs w:val="18"/>
              </w:rPr>
              <w:t xml:space="preserve">, texto blanco 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Cifras clave (KPI)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Cian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Barra superior / encabezado de pantalla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  <w:r>
              <w:rPr>
                <w:color w:val="161A25"/>
                <w:sz w:val="18"/>
                <w:szCs w:val="18"/>
              </w:rPr>
              <w:t xml:space="preserve"> con texto blanco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Tarjeta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#181d2b</w:t>
            </w:r>
            <w:r>
              <w:rPr>
                <w:color w:val="161A25"/>
                <w:sz w:val="18"/>
                <w:szCs w:val="18"/>
              </w:rPr>
              <w:t xml:space="preserve"> con línea cian 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18"/>
                <w:szCs w:val="18"/>
              </w:rPr>
              <w:t xml:space="preserve"> (el manual solo muestra la barra en claro)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Anillo de marca y foco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Cian solo sobre oscuro; sobre claro ver §6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Cian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Éxito / Alerta / Error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#32b77a</w:t>
            </w:r>
            <w:r>
              <w:rPr>
                <w:color w:val="161A25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#f0a43a</w:t>
            </w:r>
            <w:r>
              <w:rPr>
                <w:color w:val="161A25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#df5b63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Los mismos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4.3 Reglas de asignación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Un solo Primario por modo.</w:t>
      </w:r>
      <w:r>
        <w:rPr>
          <w:color w:val="161A25"/>
          <w:sz w:val="21"/>
          <w:szCs w:val="21"/>
        </w:rPr>
        <w:t xml:space="preserve"> No mezcle índigo y cian como relleno de dos botones principales en la misma pantalla.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El Acento acompaña, no protagoniza</w:t>
      </w:r>
      <w:r>
        <w:rPr>
          <w:color w:val="161A25"/>
          <w:sz w:val="21"/>
          <w:szCs w:val="21"/>
        </w:rPr>
        <w:t xml:space="preserve">: filetes, indicadores, foco, anillos, la barra de hover. Nunca texto largo.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Nunca use un color funcional como decoración.</w:t>
      </w:r>
      <w:r>
        <w:rPr>
          <w:color w:val="161A25"/>
          <w:sz w:val="21"/>
          <w:szCs w:val="21"/>
        </w:rPr>
        <w:t xml:space="preserve"> Verde, ámbar y rojo existen para comunicar estado; si aparecen sin significado, el usuario aprende a ignorarlos.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No introduzca colores</w:t>
      </w:r>
      <w:r>
        <w:rPr>
          <w:color w:val="161A25"/>
          <w:sz w:val="21"/>
          <w:szCs w:val="21"/>
        </w:rPr>
        <w:t xml:space="preserve">: ni tonos intermedios, ni “índigo más claro para hover”, ni degradados. El manual no muestra degradados en interfaz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La información nunca va solo en color</w:t>
      </w:r>
      <w:r>
        <w:rPr>
          <w:color w:val="161A25"/>
          <w:sz w:val="21"/>
          <w:szCs w:val="21"/>
        </w:rPr>
        <w:t xml:space="preserve">: acompañe siempre con texto, ícono o forma (ver §4.5).</w:t>
      </w:r>
    </w:p>
    <w:p>
      <w:pPr>
        <w:pStyle w:val="Heading2"/>
        <w:keepNext/>
      </w:pPr>
      <w:r>
        <w:t xml:space="preserve">4.4 Colores funcionales: semántica estricta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572"/>
      </w:tblGrid>
      <w:tr>
        <w:trPr>
          <w:cantSplit/>
          <w:tblHeader/>
        </w:trPr>
        <w:tc>
          <w:tcPr>
            <w:tcW w:type="dxa" w:w="1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</w:t>
            </w:r>
          </w:p>
        </w:tc>
        <w:tc>
          <w:tcPr>
            <w:tcW w:type="dxa" w:w="55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Ejemplos de uso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2B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Éxito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Mejora, meta cumplida, operación completada.</w:t>
            </w:r>
          </w:p>
        </w:tc>
        <w:tc>
          <w:tcPr>
            <w:tcW w:type="dxa" w:w="5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“↑ 8,4 % vs. período anterior”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p.9 </w:t>
            </w:r>
            <w:r>
              <w:rPr>
                <w:color w:val="161A25"/>
                <w:sz w:val="18"/>
                <w:szCs w:val="18"/>
              </w:rPr>
              <w:t xml:space="preserve">; estado “En meta”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p.9 </w:t>
            </w:r>
            <w:r>
              <w:rPr>
                <w:color w:val="161A25"/>
                <w:sz w:val="18"/>
                <w:szCs w:val="18"/>
              </w:rPr>
              <w:t xml:space="preserve">; confirmación al guardar o exportar.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Regla 03: “Verde solo para mejora”</w:t>
            </w:r>
            <w:r>
              <w:rPr>
                <w:color w:val="161A2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p.7 </w:t>
            </w:r>
            <w:r>
              <w:rPr>
                <w:color w:val="161A25"/>
                <w:sz w:val="18"/>
                <w:szCs w:val="18"/>
              </w:rPr>
              <w:t xml:space="preserve">. No lo use para “activo”, “seleccionado” ni para un producto.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0A4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Alerta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Requiere revisión, pero no es un fallo.</w:t>
            </w:r>
          </w:p>
        </w:tc>
        <w:tc>
          <w:tcPr>
            <w:tcW w:type="dxa" w:w="5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Estado “Revisar”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p.9 </w:t>
            </w:r>
            <w:r>
              <w:rPr>
                <w:color w:val="161A25"/>
                <w:sz w:val="18"/>
                <w:szCs w:val="18"/>
              </w:rPr>
              <w:t xml:space="preserve">; datos incompletos; pronóstico con baja confianza 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DF5B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Fallo, bloqueo o desviación crítica.</w:t>
            </w:r>
          </w:p>
        </w:tc>
        <w:tc>
          <w:tcPr>
            <w:tcW w:type="dxa" w:w="5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Credenciales inválidas en el inicio de sesión; fallo de exportación; estado fuera de meta 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18"/>
                <w:szCs w:val="18"/>
              </w:rPr>
              <w:t xml:space="preserve">. Mostrar siempre un mensaje accionable.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0A43A" w:sz="24"/>
              <w:bottom w:val="none" w:color="FFFFFF" w:sz="0"/>
              <w:right w:val="none" w:color="FFFFFF" w:sz="0"/>
            </w:tcBorders>
            <w:shd w:fill="FDF5E7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F0A43A"/>
                <w:sz w:val="20"/>
                <w:szCs w:val="20"/>
              </w:rPr>
              <w:t xml:space="preserve">Atención  </w:t>
            </w:r>
            <w:r>
              <w:rPr>
                <w:color w:val="161A25"/>
                <w:sz w:val="20"/>
                <w:szCs w:val="20"/>
              </w:rPr>
              <w:t xml:space="preserve">En el gráfico claro del propio manual (p.7), el Producto C se dibuja en verde, lo que choca con la regla “Verde solo para mejora”. El manual no resuelve la contradicción; ver §7.4 y la pregunta 1 de §12.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4.5 Contraste: lo que se puede y no se puede combinar</w:t>
      </w:r>
    </w:p>
    <w:p>
      <w:pPr>
        <w:spacing w:after="100" w:before="0" w:line="288"/>
      </w:pP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Se calculó la razón de contraste WCAG 2.x de cada pareja relevante (tabla completa en el Anexo B). Umbrales: 4,5:1 texto normal, 3:1 texto grande y elementos gráficos o límites de controles. Resultados que condicionan el diseño: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672"/>
      </w:tblGrid>
      <w:tr>
        <w:trPr>
          <w:cantSplit/>
          <w:tblHeader/>
        </w:trPr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Combinación</w:t>
            </w:r>
          </w:p>
        </w:tc>
        <w:tc>
          <w:tcPr>
            <w:tcW w:type="dxa" w:w="1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Contraste</w:t>
            </w:r>
          </w:p>
        </w:tc>
        <w:tc>
          <w:tcPr>
            <w:tcW w:type="dxa" w:w="56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Regla resultante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#161a25</w:t>
            </w:r>
            <w:r>
              <w:rPr>
                <w:color w:val="161A25"/>
                <w:sz w:val="17"/>
                <w:szCs w:val="17"/>
              </w:rPr>
              <w:t xml:space="preserve"> sobre Blanco Hueso / blanco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15,5 / 17,4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Cumple con holgura. Texto estándar.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Índigo sobre Blanco Hueso / blanco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8,7 / 9,8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Cumple. Texto, cifras y botones en índigo son seguros. Texto blanco sobre índigo: 9,8.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Cian sobre Blanco Hueso / blanco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1,54 / 1,73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Prohibido</w:t>
            </w:r>
            <w:r>
              <w:rPr>
                <w:color w:val="161A25"/>
                <w:sz w:val="17"/>
                <w:szCs w:val="17"/>
              </w:rPr>
              <w:t xml:space="preserve"> cian como texto, línea fina o ícono único sobre fondos claros. Sí vale como relleno cuando el texto encima es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#161a25</w:t>
            </w:r>
            <w:r>
              <w:rPr>
                <w:color w:val="161A25"/>
                <w:sz w:val="17"/>
                <w:szCs w:val="17"/>
              </w:rPr>
              <w:t xml:space="preserve"> (10,07).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Índigo sobre Noche / Tarjeta oscura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1,90 / 1,72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Prohibido</w:t>
            </w:r>
            <w:r>
              <w:rPr>
                <w:color w:val="161A25"/>
                <w:sz w:val="17"/>
                <w:szCs w:val="17"/>
              </w:rPr>
              <w:t xml:space="preserve"> (es el uso incorrecto “Índigo sin contraste”, p.2). En oscuro usar cian; el índigo solo como relleno de áreas con texto blanco encima (9,8).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Cian sobre Noche / Tarjeta oscura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10,75 / 9,74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Cumple. Es el Primario del modo oscuro.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Secundario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#687083</w:t>
            </w:r>
            <w:r>
              <w:rPr>
                <w:color w:val="161A25"/>
                <w:sz w:val="17"/>
                <w:szCs w:val="17"/>
              </w:rPr>
              <w:t xml:space="preserve"> sobre Blanco Hueso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4,43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Queda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por debajo de 4,5</w:t>
            </w:r>
            <w:r>
              <w:rPr>
                <w:color w:val="161A25"/>
                <w:sz w:val="17"/>
                <w:szCs w:val="17"/>
              </w:rPr>
              <w:t xml:space="preserve">. Úselo en tarjetas blancas (4,96) o en texto grande/negrita; no en notas de 12 px sobre Blanco Hueso.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Secundario oscuro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#9aa2b4</w:t>
            </w:r>
            <w:r>
              <w:rPr>
                <w:color w:val="161A25"/>
                <w:sz w:val="17"/>
                <w:szCs w:val="17"/>
              </w:rPr>
              <w:t xml:space="preserve"> sobre Noche / Tarjeta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7,25 / 6,56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Cumple.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Éxito / Alerta / Error como texto sobre blanco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2,56 / 2,08 / 3,61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No cumplen para texto pequeño. Úselos como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relleno de chip con texto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5"/>
                <w:szCs w:val="15"/>
                <w:shd w:fill="F5F2EA" w:val="clear"/>
              </w:rPr>
              <w:t xml:space="preserve">#161a25</w:t>
            </w:r>
            <w:r>
              <w:rPr>
                <w:color w:val="161A25"/>
                <w:sz w:val="17"/>
                <w:szCs w:val="17"/>
              </w:rPr>
              <w:t xml:space="preserve"> (6,78 / 8,34 / 4,81) o como ícono acompañado de texto en color Texto.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Éxito / Alerta / Error sobre Tarjeta oscura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6,55 / 8,06 / 4,65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Cumplen en oscuro.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Bordes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#c9cbd2</w:t>
            </w:r>
            <w:r>
              <w:rPr>
                <w:color w:val="161A25"/>
                <w:sz w:val="17"/>
                <w:szCs w:val="17"/>
              </w:rPr>
              <w:t xml:space="preserve"> sobre Blanco Hueso;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#30364a</w:t>
            </w:r>
            <w:r>
              <w:rPr>
                <w:color w:val="161A25"/>
                <w:sz w:val="17"/>
                <w:szCs w:val="17"/>
              </w:rPr>
              <w:t xml:space="preserve"> sobre Noche</w:t>
            </w:r>
          </w:p>
        </w:tc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1,45 / 1,55</w:t>
            </w:r>
          </w:p>
        </w:tc>
        <w:tc>
          <w:tcPr>
            <w:tcW w:type="dxa" w:w="5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Solo decorativos (separadores, bordes de tarjeta).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No</w:t>
            </w:r>
            <w:r>
              <w:rPr>
                <w:color w:val="161A25"/>
                <w:sz w:val="17"/>
                <w:szCs w:val="17"/>
              </w:rPr>
              <w:t xml:space="preserve"> usar como único borde de un campo de formulario: use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#687083</w:t>
            </w:r>
            <w:r>
              <w:rPr>
                <w:color w:val="161A25"/>
                <w:sz w:val="17"/>
                <w:szCs w:val="17"/>
              </w:rPr>
              <w:t xml:space="preserve"> (claro) 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#9aa2b4</w:t>
            </w:r>
            <w:r>
              <w:rPr>
                <w:color w:val="161A25"/>
                <w:sz w:val="17"/>
                <w:szCs w:val="17"/>
              </w:rPr>
              <w:t xml:space="preserve"> (oscuro).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0A43A" w:sz="24"/>
              <w:bottom w:val="none" w:color="FFFFFF" w:sz="0"/>
              <w:right w:val="none" w:color="FFFFFF" w:sz="0"/>
            </w:tcBorders>
            <w:shd w:fill="FDF5E7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F0A43A"/>
                <w:sz w:val="20"/>
                <w:szCs w:val="20"/>
              </w:rPr>
              <w:t xml:space="preserve">Implicación sobre el propio manual  </w:t>
            </w:r>
            <w:r>
              <w:rPr>
                <w:color w:val="161A25"/>
                <w:sz w:val="20"/>
                <w:szCs w:val="20"/>
              </w:rPr>
              <w:t xml:space="preserve">El ejemplo de tarjeta KPI de p.9 dibuja “↑ 8,4 % vs. período anterior” en verde Éxito sobre blanco (2,56:1). Para ser fiel al manual y accesible a la vez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20"/>
                <w:szCs w:val="20"/>
              </w:rPr>
              <w:t xml:space="preserve">: mantenga la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flecha</w:t>
            </w:r>
            <w:r>
              <w:rPr>
                <w:color w:val="161A25"/>
                <w:sz w:val="20"/>
                <w:szCs w:val="20"/>
              </w:rPr>
              <w:t xml:space="preserve"> y un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chip o ícono verde</w:t>
            </w:r>
            <w:r>
              <w:rPr>
                <w:color w:val="161A25"/>
                <w:sz w:val="20"/>
                <w:szCs w:val="20"/>
              </w:rPr>
              <w:t xml:space="preserve">, y escriba la cifra en Texto </w:t>
            </w:r>
            <w:r>
              <w:rPr>
                <w:rFonts w:ascii="Consolas" w:cs="Consolas" w:eastAsia="Consolas" w:hAnsi="Consolas"/>
                <w:color w:val="161A25"/>
                <w:sz w:val="18"/>
                <w:szCs w:val="18"/>
                <w:shd w:fill="F5F2EA" w:val="clear"/>
              </w:rPr>
              <w:t xml:space="preserve">#161a25</w:t>
            </w:r>
            <w:r>
              <w:rPr>
                <w:color w:val="161A25"/>
                <w:sz w:val="20"/>
                <w:szCs w:val="20"/>
              </w:rPr>
              <w:t xml:space="preserve">; o bien use el verde del manual en texto grande y negrita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siempre acompañado de la flecha y la frase</w:t>
            </w:r>
            <w:r>
              <w:rPr>
                <w:color w:val="161A25"/>
                <w:sz w:val="20"/>
                <w:szCs w:val="20"/>
              </w:rPr>
              <w:t xml:space="preserve"> (así el significado no depende del color). Decida una de las dos y aplíquela en todo el producto.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4.6 Prohibiciones de color (resumen)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Colores fuera del manual (incluye “variantes” de hover o disabled calculadas).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Cian como texto o línea fina sobre claro; índigo sobre oscuro.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Azul brillante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#4f6cff</w:t>
      </w:r>
      <w:r>
        <w:rPr>
          <w:color w:val="161A25"/>
          <w:sz w:val="21"/>
          <w:szCs w:val="21"/>
        </w:rPr>
        <w:t xml:space="preserve"> como color de interfaz (solo serie de gráfico oscuro).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Rojo de anotación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#ff5470</w:t>
      </w:r>
      <w:r>
        <w:rPr>
          <w:color w:val="161A25"/>
          <w:sz w:val="21"/>
          <w:szCs w:val="21"/>
        </w:rPr>
        <w:t xml:space="preserve"> en la UI (es de uso editorial del manual).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Verde para algo que no sea mejora/éxito; rojo para algo que no sea error.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Negro puro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#000000</w:t>
      </w:r>
      <w:r>
        <w:rPr>
          <w:color w:val="161A25"/>
          <w:sz w:val="21"/>
          <w:szCs w:val="21"/>
        </w:rPr>
        <w:t xml:space="preserve"> y blanco como fondo de página en modo claro (el fondo es Blanco Hueso; el blanco es de tarjeta).</w:t>
      </w:r>
    </w:p>
    <w:p>
      <w:pPr>
        <w:pStyle w:val="Heading1"/>
        <w:pageBreakBefore/>
      </w:pPr>
      <w:r>
        <w:t xml:space="preserve">5. Tipografía</w:t>
      </w:r>
    </w:p>
    <w:p>
      <w:pPr>
        <w:pStyle w:val="Heading2"/>
        <w:keepNext/>
      </w:pPr>
      <w:r>
        <w:t xml:space="preserve">5.1 Las dos familias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p.6 </w:t>
      </w:r>
      <w:r>
        <w:rPr>
          <w:color w:val="161A25"/>
          <w:sz w:val="21"/>
          <w:szCs w:val="21"/>
        </w:rPr>
        <w:t xml:space="preserve"> “Dos familias. Una jerarquía inequívoca.”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972"/>
      </w:tblGrid>
      <w:tr>
        <w:trPr>
          <w:cantSplit/>
          <w:tblHeader/>
        </w:trPr>
        <w:tc>
          <w:tcPr>
            <w:tcW w:type="dxa" w:w="2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Familia y peso</w:t>
            </w:r>
          </w:p>
        </w:tc>
        <w:tc>
          <w:tcPr>
            <w:tcW w:type="dxa" w:w="26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según el manual</w:t>
            </w:r>
          </w:p>
        </w:tc>
        <w:tc>
          <w:tcPr>
            <w:tcW w:type="dxa" w:w="4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en software/web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Títulos · cifras clave · llamadas a la acción</w:t>
            </w:r>
          </w:p>
        </w:tc>
        <w:tc>
          <w:tcPr>
            <w:tcW w:type="dxa" w:w="4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H1–H3, nombre de pantalla, cifras de las tarjetas KPI (“1.248”), cifra hero (“24 meses”), títulos de reporte, CTAs grandes.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Inter Regular / Medium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Cuerpo, tablas y ejes de gráficos. “Legible en interfaces densas y reportes técnicos.”</w:t>
            </w:r>
          </w:p>
        </w:tc>
        <w:tc>
          <w:tcPr>
            <w:tcW w:type="dxa" w:w="4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Párrafos, celdas de tabla, etiquetas de formulario, leyendas y ejes de gráficos, mensajes, tooltips.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303B8F" w:sz="24"/>
              <w:bottom w:val="none" w:color="FFFFFF" w:sz="0"/>
              <w:right w:val="none" w:color="FFFFFF" w:sz="0"/>
            </w:tcBorders>
            <w:shd w:fill="EEF0F8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303B8F"/>
                <w:sz w:val="20"/>
                <w:szCs w:val="20"/>
              </w:rPr>
              <w:t xml:space="preserve">Observación medida 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20"/>
                <w:szCs w:val="20"/>
              </w:rPr>
              <w:t xml:space="preserve"> Revisando las fuentes incrustadas en el PDF, además de Montserrat Bold e Inter aparecen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Open Sans</w:t>
            </w:r>
            <w:r>
              <w:rPr>
                <w:color w:val="161A25"/>
                <w:sz w:val="20"/>
                <w:szCs w:val="20"/>
              </w:rPr>
              <w:t xml:space="preserve"> (textos de apoyo de la portada y del inicio de sesión) e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IBM Plex Mono</w:t>
            </w:r>
            <w:r>
              <w:rPr>
                <w:color w:val="161A25"/>
                <w:sz w:val="20"/>
                <w:szCs w:val="20"/>
              </w:rPr>
              <w:t xml:space="preserve"> (etiquetas de sección, ejes del gráfico oscuro, códigos HEX). Como la p.6 declara solo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dos</w:t>
            </w:r>
            <w:r>
              <w:rPr>
                <w:color w:val="161A25"/>
                <w:sz w:val="20"/>
                <w:szCs w:val="20"/>
              </w:rPr>
              <w:t xml:space="preserve"> familias, se interpreta que Open Sans y IBM Plex Mono son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material de la presentación, no del sistema</w:t>
            </w:r>
            <w:r>
              <w:rPr>
                <w:color w:val="161A25"/>
                <w:sz w:val="20"/>
                <w:szCs w:val="20"/>
              </w:rPr>
              <w:t xml:space="preserve">. Recomendación: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no usarlas en el producto</w:t>
            </w:r>
            <w:r>
              <w:rPr>
                <w:color w:val="161A25"/>
                <w:sz w:val="20"/>
                <w:szCs w:val="20"/>
              </w:rPr>
              <w:t xml:space="preserve"> hasta que el cliente confirme lo contrario (§12, pregunta 4). Inter Bold aparece en encabezados de tabla, etiquetas KPI y botones de p.9; se acepta como peso de etiqueta.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5.2 Escala tipográfica propuesta</w:t>
      </w:r>
    </w:p>
    <w:p>
      <w:pPr>
        <w:spacing w:after="100" w:before="0" w:line="288"/>
      </w:pP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El manual no da tamaños. Esta escala (base 16 px, relación aproximada 1,25) respeta las proporciones visibles en las láminas: títulos muy grandes y secos, cifras todavía mayores, cuerpo discreto.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500"/>
        <w:gridCol w:w="1200"/>
        <w:gridCol w:w="2972"/>
      </w:tblGrid>
      <w:tr>
        <w:trPr>
          <w:cantSplit/>
          <w:tblHeader/>
        </w:trPr>
        <w:tc>
          <w:tcPr>
            <w:tcW w:type="dxa" w:w="2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21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Fuente / peso</w:t>
            </w:r>
          </w:p>
        </w:tc>
        <w:tc>
          <w:tcPr>
            <w:tcW w:type="dxa" w:w="1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Tamaño / interlineado</w:t>
            </w:r>
          </w:p>
        </w:tc>
        <w:tc>
          <w:tcPr>
            <w:tcW w:type="dxa" w:w="1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Tracking</w:t>
            </w:r>
          </w:p>
        </w:tc>
        <w:tc>
          <w:tcPr>
            <w:tcW w:type="dxa" w:w="2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Cifra hero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Montserrat Bold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56–72 px / 1,05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−0,01 em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Ej.: “24 meses”. Color Índigo (claro) o Cian (oscuro).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H1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Montserrat Bold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36–40 px / 1,15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−0,01 em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Una sola por pantalla. Color Texto.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H2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Montserrat Bold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28 px / 1,2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Secciones del dashboard.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H3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Montserrat Bold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20 px / 1,3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Títulos de tarjeta y de tabla.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Número KPI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Montserrat Bold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48–56 px / 1,0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−0,02 em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Índigo/Cian. Siempre con etiqueta debajo.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Etiqueta KPI / sobretítulo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Bold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12–13 px / 1,3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+0,08 a +0,12 em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MAYÚSCULAS. Ej.: “UNIDADES PROYECTADAS”.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Cuerpo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Regular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16 px / 1,5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Largo de línea ≤ 75 caracteres.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Cuerpo denso (tablas)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Regular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14 px / 1,4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Cifras con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font-variant-numeric: tabular-nums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Encabezado de tabla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Bold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14 px / 1,3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 Texto, sin relleno.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Etiqueta de botón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Bold (en app) / Montserrat Bold (CTA grande)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14–16 px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Frase normal, no mayúsculas (“Generar pronóstico”). Ver §12, pregunta 6.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Ejes y leyenda de gráficos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Regular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12–13 px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Texto/Secundario; ejes con unidad “u”.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Metadatos / pie</w:t>
            </w:r>
          </w:p>
        </w:tc>
        <w:tc>
          <w:tcPr>
            <w:tcW w:type="dxa" w:w="2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Regular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12–13 px / 1,4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0</w:t>
            </w:r>
          </w:p>
        </w:tc>
        <w:tc>
          <w:tcPr>
            <w:tcW w:type="dxa" w:w="2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Secundario; ojo con el contraste sobre Blanco Hueso.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5.3 Reglas de uso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Jerarquía inequívoca</w:t>
      </w:r>
      <w:r>
        <w:rPr>
          <w:color w:val="161A25"/>
          <w:sz w:val="21"/>
          <w:szCs w:val="21"/>
        </w:rPr>
        <w:t xml:space="preserve">: en cada vista debe poder señalarse un solo elemento de mayor jerarquía (normalmente el título o la cifra clave).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Montserrat solo en Bold</w:t>
      </w:r>
      <w:r>
        <w:rPr>
          <w:color w:val="161A25"/>
          <w:sz w:val="21"/>
          <w:szCs w:val="21"/>
        </w:rPr>
        <w:t xml:space="preserve"> y solo para titulares, cifras y CTA. No la use para párrafos ni celdas.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Inter para todo lo que se lee de corrido</w:t>
      </w:r>
      <w:r>
        <w:rPr>
          <w:color w:val="161A25"/>
          <w:sz w:val="21"/>
          <w:szCs w:val="21"/>
        </w:rPr>
        <w:t xml:space="preserve"> o se compara en columnas.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Mayúsculas con tracking</w:t>
      </w:r>
      <w:r>
        <w:rPr>
          <w:color w:val="161A25"/>
          <w:sz w:val="21"/>
          <w:szCs w:val="21"/>
        </w:rPr>
        <w:t xml:space="preserve"> únicamente en etiquetas cortas (KPI, columnas de menú, sobretítulos), nunca en frases largas. </w:t>
      </w:r>
      <w:r>
        <w:rPr>
          <w:b/>
          <w:bCs/>
          <w:color w:val="FFFFFF"/>
          <w:sz w:val="14"/>
          <w:szCs w:val="14"/>
          <w:shd w:fill="303B8F" w:val="clear"/>
        </w:rPr>
        <w:t xml:space="preserve"> MANUAL · p.9, p.10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Sin cursivas decorativas, sin sombras de texto, sin contornos de texto.</w:t>
      </w:r>
      <w:r>
        <w:rPr>
          <w:color w:val="161A25"/>
          <w:sz w:val="21"/>
          <w:szCs w:val="21"/>
        </w:rPr>
        <w:t xml:space="preserve"> (Coherente con “cero efectos 3D”.)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Cifras de tablas </w:t>
      </w:r>
      <w:r>
        <w:rPr>
          <w:b/>
          <w:bCs/>
          <w:color w:val="161A25"/>
          <w:sz w:val="21"/>
          <w:szCs w:val="21"/>
        </w:rPr>
        <w:t xml:space="preserve">alineadas a la derecha</w:t>
      </w:r>
      <w:r>
        <w:rPr>
          <w:color w:val="161A25"/>
          <w:sz w:val="21"/>
          <w:szCs w:val="21"/>
        </w:rPr>
        <w:t xml:space="preserve"> y con cifras tabulares; texto alineado a la izquierda.</w:t>
      </w:r>
    </w:p>
    <w:p>
      <w:pPr>
        <w:pStyle w:val="Heading2"/>
        <w:keepNext/>
      </w:pPr>
      <w:r>
        <w:t xml:space="preserve">5.4 Formato de cifras, unidades y fechas</w:t>
      </w:r>
    </w:p>
    <w:p>
      <w:pPr>
        <w:spacing w:after="12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p.9 </w:t>
      </w:r>
      <w:r>
        <w:rPr>
          <w:color w:val="161A25"/>
          <w:sz w:val="21"/>
          <w:szCs w:val="21"/>
        </w:rPr>
        <w:t xml:space="preserve"> La tarjeta KPI y la tabla del manual usan el formato colombiano: </w:t>
      </w:r>
      <w:r>
        <w:rPr>
          <w:b/>
          <w:bCs/>
          <w:color w:val="161A25"/>
          <w:sz w:val="21"/>
          <w:szCs w:val="21"/>
        </w:rPr>
        <w:t xml:space="preserve">punto para miles, coma para decimales</w:t>
      </w:r>
      <w:r>
        <w:rPr>
          <w:color w:val="161A25"/>
          <w:sz w:val="21"/>
          <w:szCs w:val="21"/>
        </w:rPr>
        <w:t xml:space="preserve"> (“1.248 u”, “8,4 %”). En cambio, la lámina oscura de p.8 escribe “+18.6%” con punto decimal. Se recomienda unificar todo a </w:t>
      </w:r>
      <w:r>
        <w:rPr>
          <w:b/>
          <w:bCs/>
          <w:color w:val="161A25"/>
          <w:sz w:val="21"/>
          <w:szCs w:val="21"/>
        </w:rPr>
        <w:t xml:space="preserve">es-CO</w:t>
      </w:r>
      <w:r>
        <w:rPr>
          <w:color w:val="161A25"/>
          <w:sz w:val="21"/>
          <w:szCs w:val="21"/>
        </w:rPr>
        <w:t xml:space="preserve">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Miles con punto y decimales con coma: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1.248 u</w:t>
      </w:r>
      <w:r>
        <w:rPr>
          <w:color w:val="161A2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1.093 u</w:t>
      </w:r>
      <w:r>
        <w:rPr>
          <w:color w:val="161A2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8,4 %</w:t>
      </w:r>
      <w:r>
        <w:rPr>
          <w:color w:val="161A25"/>
          <w:sz w:val="21"/>
          <w:szCs w:val="21"/>
        </w:rPr>
        <w:t xml:space="preserve">. En JavaScript: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new Intl.NumberFormat("es-CO")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Unidad “u” (unidades) separada por espacio, también en los ejes del gráfico (“0 u … 140 u”) </w:t>
      </w:r>
      <w:r>
        <w:rPr>
          <w:b/>
          <w:bCs/>
          <w:color w:val="FFFFFF"/>
          <w:sz w:val="14"/>
          <w:szCs w:val="14"/>
          <w:shd w:fill="303B8F" w:val="clear"/>
        </w:rPr>
        <w:t xml:space="preserve"> MANUAL · p.7 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Variaciones con signo y flecha: “↑ 8,4 % vs. período anterior” </w:t>
      </w:r>
      <w:r>
        <w:rPr>
          <w:b/>
          <w:bCs/>
          <w:color w:val="FFFFFF"/>
          <w:sz w:val="14"/>
          <w:szCs w:val="14"/>
          <w:shd w:fill="303B8F" w:val="clear"/>
        </w:rPr>
        <w:t xml:space="preserve"> MANUAL · p.9 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Meses abreviados en español, con año: “Ene 2026”, “Feb 2026” </w:t>
      </w:r>
      <w:r>
        <w:rPr>
          <w:b/>
          <w:bCs/>
          <w:color w:val="FFFFFF"/>
          <w:sz w:val="14"/>
          <w:szCs w:val="14"/>
          <w:shd w:fill="303B8F" w:val="clear"/>
        </w:rPr>
        <w:t xml:space="preserve"> MANUAL · p.9 </w:t>
      </w:r>
      <w:r>
        <w:rPr>
          <w:color w:val="161A25"/>
          <w:sz w:val="21"/>
          <w:szCs w:val="21"/>
        </w:rPr>
        <w:t xml:space="preserve">; fecha de reporte “18 feb 2026” </w:t>
      </w:r>
      <w:r>
        <w:rPr>
          <w:b/>
          <w:bCs/>
          <w:color w:val="FFFFFF"/>
          <w:sz w:val="14"/>
          <w:szCs w:val="14"/>
          <w:shd w:fill="303B8F" w:val="clear"/>
        </w:rPr>
        <w:t xml:space="preserve"> MANUAL · p.11 </w:t>
      </w:r>
      <w:r>
        <w:rPr>
          <w:color w:val="161A25"/>
          <w:sz w:val="21"/>
          <w:szCs w:val="21"/>
        </w:rPr>
        <w:t xml:space="preserve">. Hay una pequeña inconsistencia de mayúscula en el mes (“Ene” frente a “feb”): elija una convención y úsela en todo el producto (§12).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Horizonte siempre explícito: “Horizonte 24 meses” </w:t>
      </w:r>
      <w:r>
        <w:rPr>
          <w:b/>
          <w:bCs/>
          <w:color w:val="FFFFFF"/>
          <w:sz w:val="14"/>
          <w:szCs w:val="14"/>
          <w:shd w:fill="303B8F" w:val="clear"/>
        </w:rPr>
        <w:t xml:space="preserve"> MANUAL · p.11 </w:t>
      </w:r>
      <w:r>
        <w:rPr>
          <w:color w:val="161A25"/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5.5 Carga y respaldo de fuentes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Montserrat e Inter son fuentes de código abierto (licencia SIL OFL): pueden alojarse en el propio servidor. Prefiera </w:t>
      </w:r>
      <w:r>
        <w:rPr>
          <w:b/>
          <w:bCs/>
          <w:color w:val="161A25"/>
          <w:sz w:val="21"/>
          <w:szCs w:val="21"/>
        </w:rPr>
        <w:t xml:space="preserve">alojarlas localmente</w:t>
      </w:r>
      <w:r>
        <w:rPr>
          <w:color w:val="161A25"/>
          <w:sz w:val="21"/>
          <w:szCs w:val="21"/>
        </w:rPr>
        <w:t xml:space="preserve"> (por ejemplo con paquetes Fontsource) o servirlas desde Google Fonts; verifique la versión vigente al instalarlas.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Cargue solo los pesos necesarios: Montserrat 700; Inter 400, 500 y 700. Use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font-display: swap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Pila de respaldo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 Montserrat →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"Montserrat", "Segoe UI", Arial, sans-serif</w:t>
      </w:r>
      <w:r>
        <w:rPr>
          <w:color w:val="161A25"/>
          <w:sz w:val="21"/>
          <w:szCs w:val="21"/>
        </w:rPr>
        <w:t xml:space="preserve">; Inter →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"Inter", system-ui, -apple-system, "Segoe UI", Arial, sans-serif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En el generador de PDF, </w:t>
      </w:r>
      <w:r>
        <w:rPr>
          <w:b/>
          <w:bCs/>
          <w:color w:val="161A25"/>
          <w:sz w:val="21"/>
          <w:szCs w:val="21"/>
        </w:rPr>
        <w:t xml:space="preserve">incruste</w:t>
      </w:r>
      <w:r>
        <w:rPr>
          <w:color w:val="161A25"/>
          <w:sz w:val="21"/>
          <w:szCs w:val="21"/>
        </w:rPr>
        <w:t xml:space="preserve"> ambas fuentes para que el reporte sea idéntico en cualquier equipo.</w:t>
      </w:r>
    </w:p>
    <w:p>
      <w:pPr>
        <w:pStyle w:val="Heading1"/>
        <w:pageBreakBefore/>
      </w:pPr>
      <w:r>
        <w:t xml:space="preserve">6. El anillo, la fotografía y el control de marca</w:t>
      </w:r>
    </w:p>
    <w:p>
      <w:pPr>
        <w:pStyle w:val="Heading2"/>
        <w:keepNext/>
      </w:pPr>
      <w:r>
        <w:t xml:space="preserve">6.1 Qué muestra el manual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Portada (p.1):</w:t>
      </w:r>
      <w:r>
        <w:rPr>
          <w:color w:val="161A25"/>
          <w:sz w:val="21"/>
          <w:szCs w:val="21"/>
        </w:rPr>
        <w:t xml:space="preserve"> tres anillos concéntricos cian de trazo uniforme sobre una fotografía oscura de un torno con viruta metálica.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Control de marca, usos incorrectos (p.2, sección “03”):</w:t>
      </w:r>
      <w:r>
        <w:rPr>
          <w:color w:val="161A25"/>
          <w:sz w:val="21"/>
          <w:szCs w:val="21"/>
        </w:rPr>
        <w:t xml:space="preserve"> un anillo cian de trazo grueso sobre fichas azul-noche, con cinco errores marcados con una X.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Inicio de sesión (p.11):</w:t>
      </w:r>
      <w:r>
        <w:rPr>
          <w:color w:val="161A25"/>
          <w:sz w:val="21"/>
          <w:szCs w:val="21"/>
        </w:rPr>
        <w:t xml:space="preserve"> fotografía de un mecanismo circular metálico con luz azul-cian en el centro (eco directo del anillo).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0A43A" w:sz="24"/>
              <w:bottom w:val="none" w:color="FFFFFF" w:sz="0"/>
              <w:right w:val="none" w:color="FFFFFF" w:sz="0"/>
            </w:tcBorders>
            <w:shd w:fill="FDF5E7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F0A43A"/>
                <w:sz w:val="20"/>
                <w:szCs w:val="20"/>
              </w:rPr>
              <w:t xml:space="preserve">Vacío importante  </w:t>
            </w:r>
            <w:r>
              <w:rPr>
                <w:color w:val="161A25"/>
                <w:sz w:val="20"/>
                <w:szCs w:val="20"/>
              </w:rPr>
              <w:t xml:space="preserve">El PDF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no incluye</w:t>
            </w:r>
            <w:r>
              <w:rPr>
                <w:color w:val="161A25"/>
                <w:sz w:val="20"/>
                <w:szCs w:val="20"/>
              </w:rPr>
              <w:t xml:space="preserve"> el archivo maestro del logotipo, sus versiones (positiva/negativa), el espacio de seguridad ni el tamaño mínimo (las láminas 01–02 del manual, previas a “03 Control de marca”, no están en el extracto).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Solicite los vectores originales (SVG/AI/PDF)</w:t>
            </w:r>
            <w:r>
              <w:rPr>
                <w:color w:val="161A25"/>
                <w:sz w:val="20"/>
                <w:szCs w:val="20"/>
              </w:rPr>
              <w:t xml:space="preserve"> y no redibuje el anillo a mano.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6.2 Los cinco usos incorrectos y cómo evitarlos en código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p.2 </w:t>
      </w:r>
      <w:r>
        <w:rPr>
          <w:color w:val="161A25"/>
          <w:sz w:val="21"/>
          <w:szCs w:val="21"/>
        </w:rPr>
        <w:t xml:space="preserve"> Cada error del manual tiene una traducción directa a reglas de desarrollo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972"/>
      </w:tblGrid>
      <w:tr>
        <w:trPr>
          <w:cantSplit/>
          <w:tblHeader/>
        </w:trPr>
        <w:tc>
          <w:tcPr>
            <w:tcW w:type="dxa" w:w="19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 del manual</w:t>
            </w:r>
          </w:p>
        </w:tc>
        <w:tc>
          <w:tcPr>
            <w:tcW w:type="dxa" w:w="31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significa</w:t>
            </w:r>
          </w:p>
        </w:tc>
        <w:tc>
          <w:tcPr>
            <w:tcW w:type="dxa" w:w="4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Regla de implementación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Índigo sin contraste</w:t>
            </w:r>
          </w:p>
        </w:tc>
        <w:tc>
          <w:tcPr>
            <w:tcW w:type="dxa" w:w="3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Dibujar el anillo en un azul/índigo sobre fondo oscuro; se pierde.</w:t>
            </w:r>
          </w:p>
        </w:tc>
        <w:tc>
          <w:tcPr>
            <w:tcW w:type="dxa" w:w="4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Sobre fondos oscuros el anillo es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siempre Cian Señal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5"/>
                <w:szCs w:val="15"/>
                <w:shd w:fill="F5F2EA" w:val="clear"/>
              </w:rPr>
              <w:t xml:space="preserve">#24d9e8</w:t>
            </w:r>
            <w:r>
              <w:rPr>
                <w:color w:val="161A25"/>
                <w:sz w:val="17"/>
                <w:szCs w:val="17"/>
              </w:rPr>
              <w:t xml:space="preserve">. No exponga el color del anillo como parámetro libre. Sobre fondos claros (no ilustrados en el extracto) el cian mide 1,54:1: use la versión de marca para claro que entregue el cliente (§12, pregunta 7).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Brillo exagerado</w:t>
            </w:r>
          </w:p>
        </w:tc>
        <w:tc>
          <w:tcPr>
            <w:tcW w:type="dxa" w:w="3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Resplandor/neón sobre el anillo.</w:t>
            </w:r>
          </w:p>
        </w:tc>
        <w:tc>
          <w:tcPr>
            <w:tcW w:type="dxa" w:w="4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Nada de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filter: drop-shadow()</w:t>
            </w:r>
            <w:r>
              <w:rPr>
                <w:color w:val="161A25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blur()</w:t>
            </w:r>
            <w:r>
              <w:rPr>
                <w:color w:val="161A25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box-shadow</w:t>
            </w:r>
            <w:r>
              <w:rPr>
                <w:color w:val="161A25"/>
                <w:sz w:val="17"/>
                <w:szCs w:val="17"/>
              </w:rPr>
              <w:t xml:space="preserve"> ni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text-shadow</w:t>
            </w:r>
            <w:r>
              <w:rPr>
                <w:color w:val="161A25"/>
                <w:sz w:val="17"/>
                <w:szCs w:val="17"/>
              </w:rPr>
              <w:t xml:space="preserve"> sobre el anillo; sin animaciones de “pulso luminoso”. El cian se muestra plano y nítido.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Deformación</w:t>
            </w:r>
          </w:p>
        </w:tc>
        <w:tc>
          <w:tcPr>
            <w:tcW w:type="dxa" w:w="3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Estirar el anillo hasta volverlo elipse.</w:t>
            </w:r>
          </w:p>
        </w:tc>
        <w:tc>
          <w:tcPr>
            <w:tcW w:type="dxa" w:w="4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Contenedor siempre 1:1 (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aspect-ratio: 1 / 1</w:t>
            </w:r>
            <w:r>
              <w:rPr>
                <w:color w:val="161A25"/>
                <w:sz w:val="17"/>
                <w:szCs w:val="17"/>
              </w:rPr>
              <w:t xml:space="preserve">); SVG con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viewBox</w:t>
            </w:r>
            <w:r>
              <w:rPr>
                <w:color w:val="161A25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preserveAspectRatio="xMidYMid meet"</w:t>
            </w:r>
            <w:r>
              <w:rPr>
                <w:color w:val="161A25"/>
                <w:sz w:val="17"/>
                <w:szCs w:val="17"/>
              </w:rPr>
              <w:t xml:space="preserve">; prohibido escalar con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scaleX</w:t>
            </w:r>
            <w:r>
              <w:rPr>
                <w:color w:val="161A25"/>
                <w:sz w:val="17"/>
                <w:szCs w:val="17"/>
              </w:rPr>
              <w:t xml:space="preserve"> ≠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scaleY</w:t>
            </w:r>
            <w:r>
              <w:rPr>
                <w:color w:val="161A25"/>
                <w:sz w:val="17"/>
                <w:szCs w:val="17"/>
              </w:rPr>
              <w:t xml:space="preserve"> y usar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object-fit: fill</w:t>
            </w:r>
            <w:r>
              <w:rPr>
                <w:color w:val="161A25"/>
                <w:sz w:val="17"/>
                <w:szCs w:val="17"/>
              </w:rPr>
              <w:t xml:space="preserve"> en el anillo.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Rotación</w:t>
            </w:r>
          </w:p>
        </w:tc>
        <w:tc>
          <w:tcPr>
            <w:tcW w:type="dxa" w:w="3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Girar el anillo/símbolo respecto a su orientación maestra.</w:t>
            </w:r>
          </w:p>
        </w:tc>
        <w:tc>
          <w:tcPr>
            <w:tcW w:type="dxa" w:w="4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Sin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transform: rotate()</w:t>
            </w:r>
            <w:r>
              <w:rPr>
                <w:color w:val="161A25"/>
                <w:sz w:val="17"/>
                <w:szCs w:val="17"/>
              </w:rPr>
              <w:t xml:space="preserve"> ni animaciones de giro sobre el símbolo.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No use el anillo como “spinner”</w:t>
            </w:r>
            <w:r>
              <w:rPr>
                <w:color w:val="161A25"/>
                <w:sz w:val="17"/>
                <w:szCs w:val="17"/>
              </w:rPr>
              <w:t xml:space="preserve"> de carga; para cargas use una barra lineal cian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Anillo recortado</w:t>
            </w:r>
          </w:p>
        </w:tc>
        <w:tc>
          <w:tcPr>
            <w:tcW w:type="dxa" w:w="31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Cortar parte del anillo contra un borde o contenedor.</w:t>
            </w:r>
          </w:p>
        </w:tc>
        <w:tc>
          <w:tcPr>
            <w:tcW w:type="dxa" w:w="4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El anillo debe verse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completo</w:t>
            </w:r>
            <w:r>
              <w:rPr>
                <w:color w:val="161A25"/>
                <w:sz w:val="17"/>
                <w:szCs w:val="17"/>
              </w:rPr>
              <w:t xml:space="preserve">: sin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overflow: hidden</w:t>
            </w:r>
            <w:r>
              <w:rPr>
                <w:color w:val="161A25"/>
                <w:sz w:val="17"/>
                <w:szCs w:val="17"/>
              </w:rPr>
              <w:t xml:space="preserve"> que lo corte, con margen interior suficiente en favicon, avatar e iconos de aplicación. (En la portada los anillos se ven enteros dentro de su panel.)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6.3 Dónde usar el anillo en el producto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Inicio de sesión y portada:</w:t>
      </w:r>
      <w:r>
        <w:rPr>
          <w:color w:val="161A25"/>
          <w:sz w:val="21"/>
          <w:szCs w:val="21"/>
        </w:rPr>
        <w:t xml:space="preserve"> como motivo principal sobre fondo oscuro (uno o tres anillos concéntricos, como la portada).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Favicon e ícono de aplicación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b/>
          <w:bCs/>
          <w:color w:val="161A25"/>
          <w:sz w:val="21"/>
          <w:szCs w:val="21"/>
        </w:rPr>
        <w:t xml:space="preserve">:</w:t>
      </w:r>
      <w:r>
        <w:rPr>
          <w:color w:val="161A25"/>
          <w:sz w:val="21"/>
          <w:szCs w:val="21"/>
        </w:rPr>
        <w:t xml:space="preserve"> anillo cian completo centrado sobre Noche Taller, con margen interior para que nunca se recorte.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Estados vacíos y pantalla de bienvenida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b/>
          <w:bCs/>
          <w:color w:val="161A25"/>
          <w:sz w:val="21"/>
          <w:szCs w:val="21"/>
        </w:rPr>
        <w:t xml:space="preserve">:</w:t>
      </w:r>
      <w:r>
        <w:rPr>
          <w:color w:val="161A25"/>
          <w:sz w:val="21"/>
          <w:szCs w:val="21"/>
        </w:rPr>
        <w:t xml:space="preserve"> anillos concéntricos tenues sobre fondo oscuro; en modo claro, solo con la versión de marca para claro.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No</w:t>
      </w:r>
      <w:r>
        <w:rPr>
          <w:color w:val="161A25"/>
          <w:sz w:val="21"/>
          <w:szCs w:val="21"/>
        </w:rPr>
        <w:t xml:space="preserve"> repetir el anillo como patrón de relleno en pantallas de datos: distrae de la “lectura sin ruido”.</w:t>
      </w:r>
    </w:p>
    <w:p>
      <w:pPr>
        <w:pStyle w:val="Heading2"/>
        <w:keepNext/>
      </w:pPr>
      <w:r>
        <w:t xml:space="preserve">6.4 Fotografía</w:t>
      </w:r>
    </w:p>
    <w:p>
      <w:pPr>
        <w:spacing w:after="120" w:before="0" w:line="288"/>
      </w:pPr>
      <w:r>
        <w:rPr>
          <w:b/>
          <w:bCs/>
          <w:color w:val="FFFFFF"/>
          <w:sz w:val="14"/>
          <w:szCs w:val="14"/>
          <w:shd w:fill="687083" w:val="clear"/>
        </w:rPr>
        <w:t xml:space="preserve"> MEDIDO </w:t>
      </w:r>
      <w:r>
        <w:rPr>
          <w:color w:val="161A25"/>
          <w:sz w:val="21"/>
          <w:szCs w:val="21"/>
        </w:rPr>
        <w:t xml:space="preserve"> Las dos fotografías del manual comparten un tratamiento que debe preservarse al elegir imágenes nuevas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Temática</w:t>
      </w:r>
      <w:r>
        <w:rPr>
          <w:color w:val="161A25"/>
          <w:sz w:val="21"/>
          <w:szCs w:val="21"/>
        </w:rPr>
        <w:t xml:space="preserve">: mecanizado y maquinaria de precisión (torno, piezas cilíndricas, viruta, mecanismos circulares). Sin fotos genéricas de oficina o personas sonriendo.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Tono</w:t>
      </w:r>
      <w:r>
        <w:rPr>
          <w:color w:val="161A25"/>
          <w:sz w:val="21"/>
          <w:szCs w:val="21"/>
        </w:rPr>
        <w:t xml:space="preserve">: azules profundos y casi negro con acentos metálicos; luz fría que dialoga con el Cian Señal.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Composición</w:t>
      </w:r>
      <w:r>
        <w:rPr>
          <w:color w:val="161A25"/>
          <w:sz w:val="21"/>
          <w:szCs w:val="21"/>
        </w:rPr>
        <w:t xml:space="preserve">: una zona oscura y tranquila para colocar texto o formulario; el sujeto en el lado opuesto (como la portada).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Legibilidad</w:t>
      </w:r>
      <w:r>
        <w:rPr>
          <w:color w:val="161A25"/>
          <w:sz w:val="21"/>
          <w:szCs w:val="21"/>
        </w:rPr>
        <w:t xml:space="preserve">: si el texto cae sobre zonas con brillos (como los anillos metálicos del login), añada una capa de Noche Taller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#10131c</w:t>
      </w:r>
      <w:r>
        <w:rPr>
          <w:color w:val="161A25"/>
          <w:sz w:val="21"/>
          <w:szCs w:val="21"/>
        </w:rPr>
        <w:t xml:space="preserve"> para asegurar contraste ≥ 4,5:1.</w:t>
      </w:r>
    </w:p>
    <w:p>
      <w:pPr>
        <w:pStyle w:val="Heading1"/>
        <w:pageBreakBefore/>
      </w:pPr>
      <w:r>
        <w:t xml:space="preserve">7. Visualización de datos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producto es un </w:t>
      </w:r>
      <w:r>
        <w:rPr>
          <w:b/>
          <w:bCs/>
          <w:color w:val="161A25"/>
          <w:sz w:val="21"/>
          <w:szCs w:val="21"/>
        </w:rPr>
        <w:t xml:space="preserve">pronóstico de producción</w:t>
      </w:r>
      <w:r>
        <w:rPr>
          <w:color w:val="161A25"/>
          <w:sz w:val="21"/>
          <w:szCs w:val="21"/>
        </w:rPr>
        <w:t xml:space="preserve">: el gráfico de líneas de tres productos sobre 24 meses es su pieza central. El manual le dedica dos láminas (p.7 en claro y p.8 en oscuro) y cuatro reglas explícitas.</w:t>
      </w:r>
    </w:p>
    <w:p>
      <w:pPr>
        <w:pStyle w:val="Heading2"/>
        <w:keepNext/>
      </w:pPr>
      <w:r>
        <w:t xml:space="preserve">7.1 Las cuatro reglas del manual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772"/>
      </w:tblGrid>
      <w:tr>
        <w:trPr>
          <w:cantSplit/>
          <w:tblHeader/>
        </w:trPr>
        <w:tc>
          <w:tcPr>
            <w:tcW w:type="dxa" w:w="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p.7 </w:t>
            </w:r>
          </w:p>
        </w:tc>
        <w:tc>
          <w:tcPr>
            <w:tcW w:type="dxa" w:w="67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aplicarla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Color constante por producto</w:t>
            </w:r>
          </w:p>
        </w:tc>
        <w:tc>
          <w:tcPr>
            <w:tcW w:type="dxa" w:w="6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Cada producto tiene un color asignado (por modo) y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lo conserva</w:t>
            </w:r>
            <w:r>
              <w:rPr>
                <w:color w:val="161A25"/>
                <w:sz w:val="18"/>
                <w:szCs w:val="18"/>
              </w:rPr>
              <w:t xml:space="preserve"> en gráficos, leyendas, tablas, chips y reportes. El color no depende del orden de las series ni de los filtros activos: defina un mapa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{A, B, C}</w:t>
            </w:r>
            <w:r>
              <w:rPr>
                <w:color w:val="161A25"/>
                <w:sz w:val="18"/>
                <w:szCs w:val="18"/>
              </w:rPr>
              <w:t xml:space="preserve"> único.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Ejes y rejilla en Gris Acero</w:t>
            </w:r>
          </w:p>
        </w:tc>
        <w:tc>
          <w:tcPr>
            <w:tcW w:type="dxa" w:w="6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Líneas finas de 1 px;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solo rejilla horizontal</w:t>
            </w:r>
            <w:r>
              <w:rPr>
                <w:color w:val="161A25"/>
                <w:sz w:val="18"/>
                <w:szCs w:val="18"/>
              </w:rPr>
              <w:t xml:space="preserve">; línea base y línea superior algo más marcadas; sin marcas (ticks) ni rejilla vertical. Etiquetas de eje en Inter Regular 12–13 px.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Verde solo para mejora</w:t>
            </w:r>
          </w:p>
        </w:tc>
        <w:tc>
          <w:tcPr>
            <w:tcW w:type="dxa" w:w="6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El verde Éxito no identifica productos ni categorías: indica variación positiva/meta cumplida (ver conflicto en §7.4).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Cero efectos 3D</w:t>
            </w:r>
          </w:p>
        </w:tc>
        <w:tc>
          <w:tcPr>
            <w:tcW w:type="dxa" w:w="6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Nada de barras o tortas en perspectiva, sombras, biseles, reflejos o relleno degradado. Marcas planas, trazos sólidos.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7.2 Especificación del gráfico en modo claro (p.7)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rPr>
          <w:cantSplit/>
          <w:tblHeader/>
        </w:trPr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 (leída del manual)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Plano, sin tarjeta ni borde (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#f5f6f8</w:t>
            </w:r>
            <w:r>
              <w:rPr>
                <w:color w:val="161A25"/>
                <w:sz w:val="18"/>
                <w:szCs w:val="18"/>
              </w:rPr>
              <w:t xml:space="preserve"> en la lámina; en producto, sobre Fondo/Tarjeta del tema).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 de la sección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Montserrat Bold, color Texto; subtítulo en Inter, color gris: “Tres productos · un horizonte común de 24 meses · lectura sin ruido.”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Series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Líneas continuas de 2–3 px con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marcadores circulares rellenos</w:t>
            </w:r>
            <w:r>
              <w:rPr>
                <w:color w:val="161A25"/>
                <w:sz w:val="18"/>
                <w:szCs w:val="18"/>
              </w:rPr>
              <w:t xml:space="preserve"> del mismo color que la línea, sin borde blanco. Producto A Índigo; Producto B Gris Acero; Producto C verde.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Leyenda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Arriba y centrada, en una fila: punto de color + “Producto A / B / C”, Inter 13–14 px.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Eje Y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Desde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0 u</w:t>
            </w:r>
            <w:r>
              <w:rPr>
                <w:color w:val="161A25"/>
                <w:sz w:val="18"/>
                <w:szCs w:val="18"/>
              </w:rPr>
              <w:t xml:space="preserve"> hasta 140 u, pasos de 20; etiquetas con unidad “u”, alineadas a la derecha junto a la rejilla.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Eje X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Meses abreviados cada dos meses: Ene, Mar, May, Jul, Sep, Nov, “Ene +1”, … “Nov +1” (24 meses en 12 etiquetas).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Rejilla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Solo horizontal, Gris Acero fino; línea superior (techo) ligeramente más visible.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7.3 Especificación del gráfico en modo oscuro (p.8)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rPr>
          <w:cantSplit/>
          <w:tblHeader/>
        </w:trPr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 (leída del manual)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Composición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Titular grande a la izquierda (“24 meses. Tres productos. Una lectura inmediata.”), cifra destacada abajo a la izquierda y gráfico en panel a la derecha.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Panel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Tarjeta oscura con borde de 1 px; título “Producción prevista” centrado y pequeño; leyenda centrada.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Series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Producto A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Cian Señal</w:t>
            </w:r>
            <w:r>
              <w:rPr>
                <w:color w:val="161A25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  <w:r>
              <w:rPr>
                <w:color w:val="161A25"/>
                <w:sz w:val="18"/>
                <w:szCs w:val="18"/>
              </w:rPr>
              <w:t xml:space="preserve">; Producto B azul brillante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#4f6cff</w:t>
            </w:r>
            <w:r>
              <w:rPr>
                <w:color w:val="161A2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8"/>
                <w:szCs w:val="18"/>
              </w:rPr>
              <w:t xml:space="preserve">; Producto C lima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#b7f34a</w:t>
            </w:r>
            <w:r>
              <w:rPr>
                <w:color w:val="161A2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8"/>
                <w:szCs w:val="18"/>
              </w:rPr>
              <w:t xml:space="preserve">. Mismos marcadores circulares.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Eje Y / X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De 0 u a 100 u (pasos de 20); eje X con M1, M3, M5, M7, M9, M12, M15, M18, M21, M24. Rejilla horizontal tenue (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#30364a</w:t>
            </w:r>
            <w:r>
              <w:rPr>
                <w:color w:val="161A25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Cifra destacada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“+18.6 %” (se recomienda “+18,6 %”) en Montserrat Bold grande, color lima; debajo, etiqueta MAYÚSCULAS “CRECIMIENTO PROYECTADO” en gris claro (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#9aa2b4</w:t>
            </w:r>
            <w:r>
              <w:rPr>
                <w:color w:val="161A25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Tipografía de ejes</w:t>
            </w:r>
          </w:p>
        </w:tc>
        <w:tc>
          <w:tcPr>
            <w:tcW w:type="dxa" w:w="6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El manual dibuja ejes y títulos en IBM Plex Mono; la regla escrita (p.6) manda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Inter</w:t>
            </w:r>
            <w:r>
              <w:rPr>
                <w:color w:val="161A25"/>
                <w:sz w:val="18"/>
                <w:szCs w:val="18"/>
              </w:rPr>
              <w:t xml:space="preserve"> para ejes de gráficos. Use Inter (§12, pregunta 4).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Colores por producto en cada modo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872"/>
      </w:tblGrid>
      <w:tr>
        <w:trPr>
          <w:cantSplit/>
          <w:tblHeader/>
        </w:trPr>
        <w:tc>
          <w:tcPr>
            <w:tcW w:type="dxa" w:w="1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Serie</w:t>
            </w:r>
          </w:p>
        </w:tc>
        <w:tc>
          <w:tcPr>
            <w:tcW w:type="dxa" w:w="2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2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oscuro</w:t>
            </w:r>
          </w:p>
        </w:tc>
        <w:tc>
          <w:tcPr>
            <w:tcW w:type="dxa" w:w="28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Producto A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8"/>
                <w:szCs w:val="18"/>
              </w:rPr>
              <w:t xml:space="preserve">Índigo JR  #303b8f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Cian Señal  #24d9e8</w:t>
            </w:r>
          </w:p>
        </w:tc>
        <w:tc>
          <w:tcPr>
            <w:tcW w:type="dxa" w:w="28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Siempre el protagonista (primer color de marca de cada modo).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Producto B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8E919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8"/>
                <w:szCs w:val="18"/>
              </w:rPr>
              <w:t xml:space="preserve">Gris Acero  #8e9196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4F6C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FFFFFF"/>
                <w:sz w:val="18"/>
                <w:szCs w:val="18"/>
              </w:rPr>
              <w:t xml:space="preserve">Azul brillante  #4f6cff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</w:p>
        </w:tc>
        <w:tc>
          <w:tcPr>
            <w:tcW w:type="dxa" w:w="28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Neutro en claro; azul vivo en oscuro.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Producto C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2B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Éxito  #32b77a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B7F3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Lima  #b7f34a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</w:p>
        </w:tc>
        <w:tc>
          <w:tcPr>
            <w:tcW w:type="dxa" w:w="28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En claro coincide con el color semántico de “mejora”.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0A43A" w:sz="24"/>
              <w:bottom w:val="none" w:color="FFFFFF" w:sz="0"/>
              <w:right w:val="none" w:color="FFFFFF" w:sz="0"/>
            </w:tcBorders>
            <w:shd w:fill="FDF5E7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F0A43A"/>
                <w:sz w:val="20"/>
                <w:szCs w:val="20"/>
              </w:rPr>
              <w:t xml:space="preserve">Conflicto del manual y recomendación  </w:t>
            </w:r>
            <w:r>
              <w:rPr>
                <w:color w:val="161A25"/>
                <w:sz w:val="20"/>
                <w:szCs w:val="20"/>
              </w:rPr>
              <w:t xml:space="preserve">Las reglas 01 y 03 chocan: el manual pinta el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Producto C en verde</w:t>
            </w:r>
            <w:r>
              <w:rPr>
                <w:color w:val="161A25"/>
                <w:sz w:val="20"/>
                <w:szCs w:val="20"/>
              </w:rPr>
              <w:t xml:space="preserve"> (claro, p.7) y a la vez reserva el verde para “mejora”. Un usuario puede leer “Producto C” como “mejorando”. Recomendación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respete el manual</w:t>
            </w:r>
            <w:r>
              <w:rPr>
                <w:color w:val="161A25"/>
                <w:sz w:val="20"/>
                <w:szCs w:val="20"/>
              </w:rPr>
              <w:t xml:space="preserve"> (C en verde en claro) pero (a) nunca muestre en la misma pantalla un delta/estado verde junto a una serie verde sin etiqueta clara y (b) identifique cada serie también con </w:t>
            </w:r>
            <w:r>
              <w:rPr>
                <w:b/>
                <w:bCs/>
                <w:color w:val="161A25"/>
                <w:sz w:val="20"/>
                <w:szCs w:val="20"/>
              </w:rPr>
              <w:t xml:space="preserve">etiqueta directa al final de la línea</w:t>
            </w:r>
            <w:r>
              <w:rPr>
                <w:color w:val="161A25"/>
                <w:sz w:val="20"/>
                <w:szCs w:val="20"/>
              </w:rPr>
              <w:t xml:space="preserve">. Si el cliente prefiere eliminar el conflicto, la única salida sin colores nuevos es cambiar C por Cian con contorno de 2 px en Noche (solo en oscuro) o pedir un cuarto color de serie.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7.5 Reglas adicionales para gráficos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Eje Y siempre desde 0</w:t>
      </w:r>
      <w:r>
        <w:rPr>
          <w:color w:val="161A25"/>
          <w:sz w:val="21"/>
          <w:szCs w:val="21"/>
        </w:rPr>
        <w:t xml:space="preserve"> (así están ambos gráficos del manual): el pronóstico no debe exagerar variaciones con ejes truncados.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Un solo tipo base: líneas</w:t>
      </w:r>
      <w:r>
        <w:rPr>
          <w:color w:val="161A25"/>
          <w:sz w:val="21"/>
          <w:szCs w:val="21"/>
        </w:rPr>
        <w:t xml:space="preserve"> para series temporales. Si se agregan barras (p. ej. comparativo mensual) deben ser planas, sin 3D, con el color del producto.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Accesibilidad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b/>
          <w:bCs/>
          <w:color w:val="161A25"/>
          <w:sz w:val="21"/>
          <w:szCs w:val="21"/>
        </w:rPr>
        <w:t xml:space="preserve">:</w:t>
      </w:r>
      <w:r>
        <w:rPr>
          <w:color w:val="161A25"/>
          <w:sz w:val="21"/>
          <w:szCs w:val="21"/>
        </w:rPr>
        <w:t xml:space="preserve"> etiqueta directa en el extremo de cada línea, tooltip con valor y unidad al pasar el cursor/foco y una </w:t>
      </w:r>
      <w:r>
        <w:rPr>
          <w:b/>
          <w:bCs/>
          <w:color w:val="161A25"/>
          <w:sz w:val="21"/>
          <w:szCs w:val="21"/>
        </w:rPr>
        <w:t xml:space="preserve">vista de tabla alternativa</w:t>
      </w:r>
      <w:r>
        <w:rPr>
          <w:color w:val="161A25"/>
          <w:sz w:val="21"/>
          <w:szCs w:val="21"/>
        </w:rPr>
        <w:t xml:space="preserve"> (el componente de tabla de §8.4 ya existe). No dependa solo del color para distinguir series.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Cambio de tema</w:t>
      </w:r>
      <w:r>
        <w:rPr>
          <w:color w:val="161A25"/>
          <w:sz w:val="21"/>
          <w:szCs w:val="21"/>
        </w:rPr>
        <w:t xml:space="preserve"> ⇒ el gráfico se vuelve a pintar con la paleta del nuevo modo (A/B/C cambian de color; la regla 01 se cumple dentro de cada modo).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Exportación</w:t>
      </w:r>
      <w:r>
        <w:rPr>
          <w:color w:val="161A25"/>
          <w:sz w:val="21"/>
          <w:szCs w:val="21"/>
        </w:rPr>
        <w:t xml:space="preserve">: los gráficos del reporte PDF usan siempre la paleta del modo claro sobre Blanco Hueso.</w:t>
      </w:r>
    </w:p>
    <w:p>
      <w:pPr>
        <w:pStyle w:val="Heading2"/>
        <w:keepNext/>
      </w:pPr>
      <w:r>
        <w:t xml:space="preserve">7.6 Configuración de ejemplo (Chart.js)</w:t>
      </w:r>
    </w:p>
    <w:p>
      <w:pPr>
        <w:spacing w:after="60" w:before="0" w:line="288"/>
      </w:pP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Esquema mínimo para aplicar las reglas con una librería habitual. Los valores salen de las secciones anteriores; adapte la sintaxis a la librería elegida (ECharts, Recharts, etc.).</w:t>
      </w:r>
    </w:p>
    <w:p>
      <w:pPr>
        <w:pBdr>
          <w:left w:val="single" w:color="303B8F" w:sz="18" w:space="8"/>
        </w:pBdr>
        <w:shd w:fill="F5F2EA" w:val="clear"/>
        <w:spacing w:after="0" w:before="8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const PALETTE =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light: { A: '#303b8f', B: '#8e9196', C: '#32b77a', grid: '#8e9196', text: '#161a25', muted: '#687083'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dark:  { A: '#24d9e8', B: '#4f6cff', C: '#b7f34a', grid: '#30364a', text: '#ffffff', muted: '#9aa2b4'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function chartOptions(mode)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const p = PALETTE[mode];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return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responsive: true, maintainAspectRatio: false,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elements: { line: { borderWidth: 2.5, tension: 0 }, point: { radius: 3.5 }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plugins: { legend: { position: 'top', labels: { usePointStyle: true, color: p.text,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         font: { family: 'Inter', size: 13 } } }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scales: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x: { grid: { display: false }, border: { color: p.grid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    ticks: { color: p.muted, font: { family: 'Inter', size: 12 } }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y: { beginAtZero: true, border: { display: false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    grid: { color: p.grid, lineWidth: 1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    ticks: { color: p.muted, font: { family: 'Inter', size: 12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             callback: (v) =&gt; v.toLocaleString('es-CO') + ' u' }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},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};</w:t>
      </w:r>
    </w:p>
    <w:p>
      <w:pPr>
        <w:pBdr>
          <w:left w:val="single" w:color="303B8F" w:sz="18" w:space="8"/>
        </w:pBdr>
        <w:shd w:fill="F5F2EA" w:val="clear"/>
        <w:spacing w:after="16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8. Componentes de interfaz</w:t>
      </w:r>
    </w:p>
    <w:p>
      <w:pPr>
        <w:spacing w:after="12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p.9 </w:t>
      </w:r>
      <w:r>
        <w:rPr>
          <w:color w:val="161A25"/>
          <w:sz w:val="21"/>
          <w:szCs w:val="21"/>
        </w:rPr>
        <w:t xml:space="preserve"> La lámina “Componentes de interfaz — Precisión visual convertida en un sistema usable” define cuatro piezas: botón primario, botón secundario, tarjeta KPI y tabla. El resto de componentes (formularios, navegación, mensajes) no figuran en el extracto y se derivan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usando solo la paleta y las tipografías del manual.</w:t>
      </w:r>
    </w:p>
    <w:p>
      <w:pPr>
        <w:pStyle w:val="Heading2"/>
        <w:keepNext/>
      </w:pPr>
      <w:r>
        <w:t xml:space="preserve">8.1 Rasgos comunes (leídos de la lámina)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Esquinas rectas</w:t>
      </w:r>
      <w:r>
        <w:rPr>
          <w:color w:val="161A25"/>
          <w:sz w:val="21"/>
          <w:szCs w:val="21"/>
        </w:rPr>
        <w:t xml:space="preserve"> (radio 0) en botones, tarjetas, tablas y las maquetas de pantalla. Mantenga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border-radius: 0</w:t>
      </w:r>
      <w:r>
        <w:rPr>
          <w:color w:val="161A25"/>
          <w:sz w:val="21"/>
          <w:szCs w:val="21"/>
        </w:rPr>
        <w:t xml:space="preserve"> en todo el producto </w:t>
      </w:r>
      <w:r>
        <w:rPr>
          <w:b/>
          <w:bCs/>
          <w:color w:val="FFFFFF"/>
          <w:sz w:val="14"/>
          <w:szCs w:val="14"/>
          <w:shd w:fill="687083" w:val="clear"/>
        </w:rPr>
        <w:t xml:space="preserve"> MEDIDO 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Sin sombras ni relieves</w:t>
      </w:r>
      <w:r>
        <w:rPr>
          <w:color w:val="161A25"/>
          <w:sz w:val="21"/>
          <w:szCs w:val="21"/>
        </w:rPr>
        <w:t xml:space="preserve">: la separación entre superficies se logra con color de fondo (blanco sobre Blanco Hueso) y un borde de 1 px (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#c9cbd2</w:t>
      </w:r>
      <w:r>
        <w:rPr>
          <w:color w:val="161A2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Mucho aire interior</w:t>
      </w:r>
      <w:r>
        <w:rPr>
          <w:color w:val="161A25"/>
          <w:sz w:val="21"/>
          <w:szCs w:val="21"/>
        </w:rPr>
        <w:t xml:space="preserve">: la tarjeta KPI y las filas de tabla son generosas. Base de espaciado de 8 px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(8, 16, 24, 32, 48).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Sin ornamento</w:t>
      </w:r>
      <w:r>
        <w:rPr>
          <w:color w:val="161A25"/>
          <w:sz w:val="21"/>
          <w:szCs w:val="21"/>
        </w:rPr>
        <w:t xml:space="preserve">: ni íconos de relleno ni ilustraciones en los componentes de datos.</w:t>
      </w:r>
    </w:p>
    <w:p>
      <w:pPr>
        <w:pStyle w:val="Heading2"/>
        <w:keepNext/>
      </w:pPr>
      <w:r>
        <w:t xml:space="preserve">8.2 Botones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6"/>
        <w:gridCol w:w="3886"/>
      </w:tblGrid>
      <w:tr>
        <w:trPr>
          <w:cantSplit/>
          <w:tblHeader/>
        </w:trPr>
        <w:tc>
          <w:tcPr>
            <w:tcW w:type="dxa" w:w="2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Propiedad</w:t>
            </w:r>
          </w:p>
        </w:tc>
        <w:tc>
          <w:tcPr>
            <w:tcW w:type="dxa" w:w="38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Primario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p.9 </w:t>
            </w:r>
          </w:p>
        </w:tc>
        <w:tc>
          <w:tcPr>
            <w:tcW w:type="dxa" w:w="38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Secundario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p.9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del ejemplo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“Generar pronóstico”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“Exportar reporte”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Relleno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Transparente/blanco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Contorno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Ninguno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Gris Acero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#8e9196</w:t>
            </w:r>
            <w:r>
              <w:rPr>
                <w:color w:val="161A25"/>
                <w:sz w:val="18"/>
                <w:szCs w:val="18"/>
              </w:rPr>
              <w:t xml:space="preserve">, 2 px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Blanco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  <w:r>
              <w:rPr>
                <w:color w:val="161A25"/>
                <w:sz w:val="18"/>
                <w:szCs w:val="18"/>
              </w:rPr>
              <w:t xml:space="preserve">, negrita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#161a25</w:t>
            </w:r>
            <w:r>
              <w:rPr>
                <w:color w:val="161A25"/>
                <w:sz w:val="18"/>
                <w:szCs w:val="18"/>
              </w:rPr>
              <w:t xml:space="preserve">, negrita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Esquinas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Rectas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Rectas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Alto / padding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Alto mínimo 48 px; padding horizontal 24–32 px; objetivo táctil ≥ 44 × 44 px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Igual al primario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Modo oscuro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Relleno Cian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  <w:r>
              <w:rPr>
                <w:color w:val="161A25"/>
                <w:sz w:val="18"/>
                <w:szCs w:val="18"/>
              </w:rPr>
              <w:t xml:space="preserve">, texto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#10131c</w:t>
            </w:r>
          </w:p>
        </w:tc>
        <w:tc>
          <w:tcPr>
            <w:tcW w:type="dxa" w:w="38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Contorno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#9aa2b4</w:t>
            </w:r>
            <w:r>
              <w:rPr>
                <w:color w:val="161A25"/>
                <w:sz w:val="18"/>
                <w:szCs w:val="18"/>
              </w:rPr>
              <w:t xml:space="preserve">, texto blanco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Estados (propuesta, sin colores nuevos)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6"/>
        <w:gridCol w:w="4086"/>
      </w:tblGrid>
      <w:tr>
        <w:trPr>
          <w:cantSplit/>
          <w:tblHeader/>
        </w:trPr>
        <w:tc>
          <w:tcPr>
            <w:tcW w:type="dxa" w:w="18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40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Primario</w:t>
            </w:r>
          </w:p>
        </w:tc>
        <w:tc>
          <w:tcPr>
            <w:tcW w:type="dxa" w:w="40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Secundario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Reposo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Como arriba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Como arriba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Hover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Barra inferior de 3 px en el color Acento (Cian en claro; Índigo en oscuro); el relleno no cambia.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Borde pasa a Texto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#161a25</w:t>
            </w:r>
            <w:r>
              <w:rPr>
                <w:color w:val="161A25"/>
                <w:sz w:val="17"/>
                <w:szCs w:val="17"/>
              </w:rPr>
              <w:t xml:space="preserve"> (claro) o blanco (oscuro).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Foco por teclado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Contorno de 2 px en Texto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#161a25</w:t>
            </w:r>
            <w:r>
              <w:rPr>
                <w:color w:val="161A25"/>
                <w:sz w:val="17"/>
                <w:szCs w:val="17"/>
              </w:rPr>
              <w:t xml:space="preserve"> (claro) o Cian (oscuro), con separación de 2 px. Siempre visible.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Igual.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Pulsado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Barra inferior de 3 px y desplazamiento 0 (sin “hundimiento” 3D).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Igual.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Deshabilitado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Relleno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#c9cbd2</w:t>
            </w:r>
            <w:r>
              <w:rPr>
                <w:color w:val="161A25"/>
                <w:sz w:val="17"/>
                <w:szCs w:val="17"/>
              </w:rPr>
              <w:t xml:space="preserve">, texto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#687083</w:t>
            </w:r>
            <w:r>
              <w:rPr>
                <w:color w:val="161A25"/>
                <w:sz w:val="17"/>
                <w:szCs w:val="17"/>
              </w:rPr>
              <w:t xml:space="preserve">; sin hover;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aria-disabled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Borde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#c9cbd2</w:t>
            </w:r>
            <w:r>
              <w:rPr>
                <w:color w:val="161A25"/>
                <w:sz w:val="17"/>
                <w:szCs w:val="17"/>
              </w:rPr>
              <w:t xml:space="preserve">, texto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#687083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Cargando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Etiqueta cambia a “Generando…” y una barra lineal cian de 3 px en el borde inferior; no usar el anillo como spinner (§6.2).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Igual.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Una sola acción primaria por vista</w:t>
      </w:r>
      <w:r>
        <w:rPr>
          <w:color w:val="161A25"/>
          <w:sz w:val="21"/>
          <w:szCs w:val="21"/>
        </w:rPr>
        <w:t xml:space="preserve"> (p. ej. “Generar pronóstico”); lo demás es secundario.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Etiquetas en </w:t>
      </w:r>
      <w:r>
        <w:rPr>
          <w:b/>
          <w:bCs/>
          <w:color w:val="161A25"/>
          <w:sz w:val="21"/>
          <w:szCs w:val="21"/>
        </w:rPr>
        <w:t xml:space="preserve">verbo + objeto</w:t>
      </w:r>
      <w:r>
        <w:rPr>
          <w:color w:val="161A25"/>
          <w:sz w:val="21"/>
          <w:szCs w:val="21"/>
        </w:rPr>
        <w:t xml:space="preserve">, en frase normal: “Generar pronóstico”, “Exportar reporte”.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En el manual los dos botones se muestran pegados; en producto sepárelos 12–16 px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8.3 Tarjeta KPI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p.9 </w:t>
      </w:r>
      <w:r>
        <w:rPr>
          <w:color w:val="161A25"/>
          <w:sz w:val="21"/>
          <w:szCs w:val="21"/>
        </w:rPr>
        <w:t xml:space="preserve"> Ejemplo: </w:t>
      </w:r>
      <w:r>
        <w:rPr>
          <w:b/>
          <w:bCs/>
          <w:color w:val="161A25"/>
          <w:sz w:val="21"/>
          <w:szCs w:val="21"/>
        </w:rPr>
        <w:t xml:space="preserve">1.248 · UNIDADES PROYECTADAS · ↑ 8,4 % vs. período anterior</w:t>
      </w:r>
      <w:r>
        <w:rPr>
          <w:color w:val="161A25"/>
          <w:sz w:val="21"/>
          <w:szCs w:val="21"/>
        </w:rPr>
        <w:t xml:space="preserve">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36"/>
        <w:gridCol w:w="3836"/>
      </w:tblGrid>
      <w:tr>
        <w:trPr>
          <w:cantSplit/>
          <w:tblHeader/>
        </w:trPr>
        <w:tc>
          <w:tcPr>
            <w:tcW w:type="dxa" w:w="2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 (de arriba a abajo)</w:t>
            </w:r>
          </w:p>
        </w:tc>
        <w:tc>
          <w:tcPr>
            <w:tcW w:type="dxa" w:w="383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Estilo en modo claro</w:t>
            </w:r>
          </w:p>
        </w:tc>
        <w:tc>
          <w:tcPr>
            <w:tcW w:type="dxa" w:w="383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Estilo en modo oscuro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Contenedor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  <w:r>
              <w:rPr>
                <w:color w:val="161A25"/>
                <w:sz w:val="18"/>
                <w:szCs w:val="18"/>
              </w:rPr>
              <w:t xml:space="preserve">, borde 1 px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#c9cbd2</w:t>
            </w:r>
            <w:r>
              <w:rPr>
                <w:color w:val="161A25"/>
                <w:sz w:val="18"/>
                <w:szCs w:val="18"/>
              </w:rPr>
              <w:t xml:space="preserve">, esquinas rectas, padding 32 px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#181d2b</w:t>
            </w:r>
            <w:r>
              <w:rPr>
                <w:color w:val="161A25"/>
                <w:sz w:val="18"/>
                <w:szCs w:val="18"/>
              </w:rPr>
              <w:t xml:space="preserve">, borde 1 px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#30364a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Cifra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Montserrat Bold 48–56 px, Índigo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  <w:r>
              <w:rPr>
                <w:color w:val="161A25"/>
                <w:sz w:val="18"/>
                <w:szCs w:val="18"/>
              </w:rPr>
              <w:t xml:space="preserve">, interlineado 1,0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Montserrat Bold, Cian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Etiqueta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Inter Bold 12–13 px, MAYÚSCULAS, tracking +0,1 em, Índigo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Inter Bold, MAYÚSCULAS,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#9aa2b4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Variación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“↑ 8,4 % vs. período anterior”; flecha y texto en Éxito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#32b77a</w:t>
            </w:r>
            <w:r>
              <w:rPr>
                <w:color w:val="161A25"/>
                <w:sz w:val="18"/>
                <w:szCs w:val="18"/>
              </w:rPr>
              <w:t xml:space="preserve"> según el manual (ver §4.5 sobre contraste)</w:t>
            </w:r>
          </w:p>
        </w:tc>
        <w:tc>
          <w:tcPr>
            <w:tcW w:type="dxa" w:w="383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Éxito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#32b77a</w:t>
            </w:r>
            <w:r>
              <w:rPr>
                <w:color w:val="161A25"/>
                <w:sz w:val="18"/>
                <w:szCs w:val="18"/>
              </w:rPr>
              <w:t xml:space="preserve"> (6,55:1 sobre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#181d2b</w:t>
            </w:r>
            <w:r>
              <w:rPr>
                <w:color w:val="161A25"/>
                <w:sz w:val="18"/>
                <w:szCs w:val="18"/>
              </w:rPr>
              <w:t xml:space="preserve">: cumple)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La variación es </w:t>
      </w:r>
      <w:r>
        <w:rPr>
          <w:b/>
          <w:bCs/>
          <w:color w:val="161A25"/>
          <w:sz w:val="21"/>
          <w:szCs w:val="21"/>
        </w:rPr>
        <w:t xml:space="preserve">verde y con ↑ solo si mejora</w:t>
      </w:r>
      <w:r>
        <w:rPr>
          <w:color w:val="161A25"/>
          <w:sz w:val="21"/>
          <w:szCs w:val="21"/>
        </w:rPr>
        <w:t xml:space="preserve">. Si empeora, use ↓ y Error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#df5b63</w:t>
      </w:r>
      <w:r>
        <w:rPr>
          <w:color w:val="161A25"/>
          <w:sz w:val="21"/>
          <w:szCs w:val="21"/>
        </w:rPr>
        <w:t xml:space="preserve"> (o Texto neutro); nunca verde.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Si la variación es neutra o no hay base de comparación, escriba “Sin período anterior” en Secundario.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Cifra y unidad siempre juntas: la cifra “1.248” va acompañada de la etiqueta “UNIDADES PROYECTADAS”.</w:t>
      </w:r>
    </w:p>
    <w:p>
      <w:pPr>
        <w:pStyle w:val="Heading2"/>
        <w:keepNext/>
      </w:pPr>
      <w:r>
        <w:t xml:space="preserve">8.4 Tabla de datos</w:t>
      </w:r>
    </w:p>
    <w:p>
      <w:pPr>
        <w:spacing w:after="10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p.9 </w:t>
      </w:r>
      <w:r>
        <w:rPr>
          <w:color w:val="161A25"/>
          <w:sz w:val="21"/>
          <w:szCs w:val="21"/>
        </w:rPr>
        <w:t xml:space="preserve"> Columnas del ejemplo: </w:t>
      </w:r>
      <w:r>
        <w:rPr>
          <w:b/>
          <w:bCs/>
          <w:color w:val="161A25"/>
          <w:sz w:val="21"/>
          <w:szCs w:val="21"/>
        </w:rPr>
        <w:t xml:space="preserve">Producto · Mes · Pronóstico · Estado</w:t>
      </w:r>
      <w:r>
        <w:rPr>
          <w:color w:val="161A25"/>
          <w:sz w:val="21"/>
          <w:szCs w:val="21"/>
        </w:rPr>
        <w:t xml:space="preserve">. Filas: “Eje A · Ene 2026 · 1.248 u · En meta”, “Eje B · Feb 2026 · 1.176 u · En meta”, “Eje C · Mar 2026 · 1.093 u · Revisar”.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72"/>
      </w:tblGrid>
      <w:tr>
        <w:trPr>
          <w:cantSplit/>
          <w:tblHeader/>
        </w:trPr>
        <w:tc>
          <w:tcPr>
            <w:tcW w:type="dxa" w:w="2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2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Encabezado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Inter Bold 14 px, color Texto,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sin relleno</w:t>
            </w:r>
            <w:r>
              <w:rPr>
                <w:color w:val="161A25"/>
                <w:sz w:val="18"/>
                <w:szCs w:val="18"/>
              </w:rPr>
              <w:t xml:space="preserve">; línea inferior de 1 px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#c9cbd2</w:t>
            </w:r>
            <w:r>
              <w:rPr>
                <w:color w:val="161A25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Filas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Alternadas</w:t>
            </w:r>
            <w:r>
              <w:rPr>
                <w:color w:val="161A25"/>
                <w:sz w:val="18"/>
                <w:szCs w:val="18"/>
              </w:rPr>
              <w:t xml:space="preserve">: blanco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  <w:r>
              <w:rPr>
                <w:color w:val="161A25"/>
                <w:sz w:val="18"/>
                <w:szCs w:val="18"/>
              </w:rPr>
              <w:t xml:space="preserve"> y Fondo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#f5f2ea</w:t>
            </w:r>
            <w:r>
              <w:rPr>
                <w:color w:val="161A25"/>
                <w:sz w:val="18"/>
                <w:szCs w:val="18"/>
              </w:rPr>
              <w:t xml:space="preserve"> (en la lámina: blanco, fondo, blanco). Sin líneas verticales. Alto 56–64 px.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Alineación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a la izquierda;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cifras a la derecha</w:t>
            </w:r>
            <w:r>
              <w:rPr>
                <w:color w:val="161A25"/>
                <w:sz w:val="18"/>
                <w:szCs w:val="18"/>
              </w:rPr>
              <w:t xml:space="preserve"> con cifras tabulares y unidad (“1.248 u”). La lámina las muestra desalineadas; no replique ese defecto.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Columna Estado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Chip con relleno funcional y texto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#161a25</w:t>
            </w:r>
            <w:r>
              <w:rPr>
                <w:color w:val="161A25"/>
                <w:sz w:val="18"/>
                <w:szCs w:val="18"/>
              </w:rPr>
              <w:t xml:space="preserve">, más ícono: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En meta</w:t>
            </w:r>
            <w:r>
              <w:rPr>
                <w:color w:val="161A25"/>
                <w:sz w:val="18"/>
                <w:szCs w:val="18"/>
              </w:rPr>
              <w:t xml:space="preserve"> = Éxito (✓);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Revisar</w:t>
            </w:r>
            <w:r>
              <w:rPr>
                <w:color w:val="161A25"/>
                <w:sz w:val="18"/>
                <w:szCs w:val="18"/>
              </w:rPr>
              <w:t xml:space="preserve"> = Alerta (!);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Fuera de meta</w:t>
            </w:r>
            <w:r>
              <w:rPr>
                <w:color w:val="161A25"/>
                <w:sz w:val="18"/>
                <w:szCs w:val="18"/>
              </w:rPr>
              <w:t xml:space="preserve"> = Error (×)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  <w:r>
              <w:rPr>
                <w:color w:val="161A25"/>
                <w:sz w:val="18"/>
                <w:szCs w:val="18"/>
              </w:rPr>
              <w:t xml:space="preserve">. Los dos primeros textos son del manual; el tercero es propuesta.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Identificador de fila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El manual usa “Eje A/B/C” en la tabla y “Producto A/B/C” en los gráficos; use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“Producto”</w:t>
            </w:r>
            <w:r>
              <w:rPr>
                <w:color w:val="161A25"/>
                <w:sz w:val="18"/>
                <w:szCs w:val="18"/>
              </w:rPr>
              <w:t xml:space="preserve"> en todo (la columna ya se llama “Producto”) y confirme con el cliente (§12).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Ordenamiento y densidad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Encabezado clicable con flecha ↑/↓ en Texto; densidad compacta (40–48 px) disponible para reportes largos.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Móvil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Pase a tarjetas apiladas (cada fila = una tarjeta) o permita desplazamiento horizontal con la primera columna fija.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8.5 Formularios, navegación y mensajes</w:t>
      </w:r>
    </w:p>
    <w:p>
      <w:pPr>
        <w:spacing w:after="80" w:before="0" w:line="288"/>
      </w:pPr>
      <w:r>
        <w:rPr>
          <w:color w:val="161A25"/>
          <w:sz w:val="21"/>
          <w:szCs w:val="21"/>
        </w:rPr>
        <w:t xml:space="preserve">El manual solo muestra el formulario de inicio de sesión (campos “Correo corporativo” y “Contraseña”, botón “INGRESAR”). Para el resto, extienda así: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2"/>
      </w:tblGrid>
      <w:tr>
        <w:trPr>
          <w:cantSplit/>
          <w:tblHeader/>
        </w:trPr>
        <w:tc>
          <w:tcPr>
            <w:tcW w:type="dxa" w:w="2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76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Especificación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Campos de texto</w:t>
            </w:r>
          </w:p>
        </w:tc>
        <w:tc>
          <w:tcPr>
            <w:tcW w:type="dxa" w:w="7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Etiqueta visible arriba (Inter Medium 14 px). Campo con fondo Superficie/Tarjeta y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borde 1–2 px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5"/>
                <w:szCs w:val="15"/>
                <w:shd w:fill="F5F2EA" w:val="clear"/>
              </w:rPr>
              <w:t xml:space="preserve">#687083</w:t>
            </w:r>
            <w:r>
              <w:rPr>
                <w:color w:val="161A25"/>
                <w:sz w:val="17"/>
                <w:szCs w:val="17"/>
              </w:rPr>
              <w:t xml:space="preserve"> (claro) o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#9aa2b4</w:t>
            </w:r>
            <w:r>
              <w:rPr>
                <w:color w:val="161A25"/>
                <w:sz w:val="17"/>
                <w:szCs w:val="17"/>
              </w:rPr>
              <w:t xml:space="preserve"> (oscuro), esquinas rectas; foco: borde de 2 px en Texto (claro) o Cian (oscuro). En el inicio de sesión sobre foto, campos “subrayados” de 1 px en blanco como en la maqueta (p.11)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</w:t>
            </w:r>
            <w:r>
              <w:rPr>
                <w:color w:val="161A25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Mensajes de error de campo</w:t>
            </w:r>
          </w:p>
        </w:tc>
        <w:tc>
          <w:tcPr>
            <w:tcW w:type="dxa" w:w="7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Icono ! + texto Inter 13 px; color Error sobre oscuro (4,65:1) y 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Texto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5"/>
                <w:szCs w:val="15"/>
                <w:shd w:fill="F5F2EA" w:val="clear"/>
              </w:rPr>
              <w:t xml:space="preserve">#161a25</w:t>
            </w:r>
            <w:r>
              <w:rPr>
                <w:b/>
                <w:bCs/>
                <w:color w:val="161A25"/>
                <w:sz w:val="17"/>
                <w:szCs w:val="17"/>
              </w:rPr>
              <w:t xml:space="preserve"> con ícono Error</w:t>
            </w:r>
            <w:r>
              <w:rPr>
                <w:color w:val="161A25"/>
                <w:sz w:val="17"/>
                <w:szCs w:val="17"/>
              </w:rPr>
              <w:t xml:space="preserve"> sobre claro (Error sobre blanco mide 3,61:1).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Barra superior</w:t>
            </w:r>
          </w:p>
        </w:tc>
        <w:tc>
          <w:tcPr>
            <w:tcW w:type="dxa" w:w="7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Alto 56–64 px, Índigo con texto blanco (claro)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p.10 </w:t>
            </w:r>
            <w:r>
              <w:rPr>
                <w:color w:val="161A25"/>
                <w:sz w:val="17"/>
                <w:szCs w:val="17"/>
              </w:rPr>
              <w:t xml:space="preserve">; nombre del producto “JR Forecast” a la izquierda; acciones de usuario y selector de tema a la derecha.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Navegación lateral / pestañas</w:t>
            </w:r>
          </w:p>
        </w:tc>
        <w:tc>
          <w:tcPr>
            <w:tcW w:type="dxa" w:w="7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Texto Inter Medium; elemento activo con filete inferior de 3 px en Cian (oscuro) o Índigo (claro). Sin pastillas redondeadas.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Notificaciones</w:t>
            </w:r>
          </w:p>
        </w:tc>
        <w:tc>
          <w:tcPr>
            <w:tcW w:type="dxa" w:w="7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Bloque plano con borde izquierdo de 4 px del color funcional y texto en Texto. Sin sombra, sin animación de rebote.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Estados vacíos</w:t>
            </w:r>
          </w:p>
        </w:tc>
        <w:tc>
          <w:tcPr>
            <w:tcW w:type="dxa" w:w="7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Mensaje breve en Inter + una acción primaria (“Generar pronóstico”). Opcionalmente anillos concéntricos tenues solo en oscuro (§6.3).</w:t>
            </w:r>
          </w:p>
        </w:tc>
      </w:tr>
    </w:tbl>
    <w:p>
      <w:pPr>
        <w:pStyle w:val="Heading1"/>
        <w:pageBreakBefore/>
      </w:pPr>
      <w:r>
        <w:t xml:space="preserve">9. Pantallas</w:t>
      </w:r>
    </w:p>
    <w:p>
      <w:pPr>
        <w:spacing w:after="12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p.10 </w:t>
      </w:r>
      <w:r>
        <w:rPr>
          <w:color w:val="161A25"/>
          <w:sz w:val="21"/>
          <w:szCs w:val="21"/>
        </w:rPr>
        <w:t xml:space="preserve"> La lámina “Aplicaciones” declara: “La identidad se mantiene estable de pantalla a reporte” y muestra tres maquetas con la misma estructura: </w:t>
      </w:r>
      <w:r>
        <w:rPr>
          <w:b/>
          <w:bCs/>
          <w:color w:val="161A25"/>
          <w:sz w:val="21"/>
          <w:szCs w:val="21"/>
        </w:rPr>
        <w:t xml:space="preserve">barra índigo superior + lienzo blanco + zona de contenido gris suave</w:t>
      </w:r>
      <w:r>
        <w:rPr>
          <w:color w:val="161A25"/>
          <w:sz w:val="21"/>
          <w:szCs w:val="21"/>
        </w:rPr>
        <w:t xml:space="preserve">. Esa continuidad es la regla: un usuario debe reconocer JR Forecast igual en el login, el dashboard y el PDF.</w:t>
      </w:r>
    </w:p>
    <w:p>
      <w:pPr>
        <w:pStyle w:val="Heading2"/>
        <w:keepNext/>
      </w:pPr>
      <w:r>
        <w:t xml:space="preserve">9.1 Inicio de sesión</w:t>
      </w:r>
    </w:p>
    <w:p>
      <w:pPr>
        <w:spacing w:after="6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p.10, p.11 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Fondo inmersivo</w:t>
      </w:r>
      <w:r>
        <w:rPr>
          <w:color w:val="161A25"/>
          <w:sz w:val="21"/>
          <w:szCs w:val="21"/>
        </w:rPr>
        <w:t xml:space="preserve">: fotografía oscura de un mecanismo circular metálico con luz azul-cian al centro. Contenido a la izquierda del círculo central; la imagen ocupa todo el panel.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Texto del formulario (de la maqueta):</w:t>
      </w:r>
      <w:r>
        <w:rPr>
          <w:color w:val="161A25"/>
          <w:sz w:val="21"/>
          <w:szCs w:val="21"/>
        </w:rPr>
        <w:t xml:space="preserve"> “JR Forecast” · campo “Correo corporativo” · campo “Contraseña” · botón/acción “INGRESAR” (mayúsculas).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Estilo de campos</w:t>
      </w:r>
      <w:r>
        <w:rPr>
          <w:color w:val="161A25"/>
          <w:sz w:val="21"/>
          <w:szCs w:val="21"/>
        </w:rPr>
        <w:t xml:space="preserve">: línea inferior blanca de 1 px, etiqueta blanca. Texto blanco sobre fondo oscuro. Si el texto cae sobre brillos, añadir velo Noche (§6.4).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Botón “INGRESAR”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 relleno Cian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#24d9e8</w:t>
      </w:r>
      <w:r>
        <w:rPr>
          <w:color w:val="161A25"/>
          <w:sz w:val="21"/>
          <w:szCs w:val="21"/>
        </w:rPr>
        <w:t xml:space="preserve">, texto Noche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#10131c</w:t>
      </w:r>
      <w:r>
        <w:rPr>
          <w:color w:val="161A25"/>
          <w:sz w:val="21"/>
          <w:szCs w:val="21"/>
        </w:rPr>
        <w:t xml:space="preserve"> en Inter Bold, ancho completo del formulario (cumple 10,75:1).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Errores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 mensaje bajo el campo en Error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#df5b63</w:t>
      </w:r>
      <w:r>
        <w:rPr>
          <w:color w:val="161A25"/>
          <w:sz w:val="21"/>
          <w:szCs w:val="21"/>
        </w:rPr>
        <w:t xml:space="preserve"> con ícono; no sacudir el formulario ni usar animaciones llamativas.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Seguridad visible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 no revele si el correo existe (“Correo o contraseña incorrectos”); permita mostrar/ocultar contraseña con un control accesible.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Móvil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 la foto pasa a banda superior o fondo recortado; el formulario ocupa el ancho con márgenes de 24 px. El anillo/mecanismo nunca se recorta (§6.2).</w:t>
      </w:r>
    </w:p>
    <w:p>
      <w:pPr>
        <w:pStyle w:val="Heading2"/>
        <w:keepNext/>
      </w:pPr>
      <w:r>
        <w:t xml:space="preserve">9.2 Dashboard de 24 meses</w:t>
      </w:r>
    </w:p>
    <w:p>
      <w:pPr>
        <w:spacing w:after="6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p.10 </w:t>
      </w:r>
      <w:r>
        <w:rPr>
          <w:color w:val="161A25"/>
          <w:sz w:val="21"/>
          <w:szCs w:val="21"/>
        </w:rPr>
        <w:t xml:space="preserve"> Barra superior índigo y lienzo con un gran bloque de contenido. A partir de ello y de las láminas de gráficos y componentes, la estructura recomendada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es: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272"/>
      </w:tblGrid>
      <w:tr>
        <w:trPr>
          <w:cantSplit/>
          <w:tblHeader/>
        </w:trPr>
        <w:tc>
          <w:tcPr>
            <w:tcW w:type="dxa" w:w="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62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Barra superior</w:t>
            </w:r>
            <w:r>
              <w:rPr>
                <w:color w:val="161A25"/>
                <w:sz w:val="18"/>
                <w:szCs w:val="18"/>
              </w:rPr>
              <w:t xml:space="preserve"> (índigo)</w:t>
            </w:r>
          </w:p>
        </w:tc>
        <w:tc>
          <w:tcPr>
            <w:tcW w:type="dxa" w:w="6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Nombre “JR Forecast”, selector de producto/tema, usuario. Alto 56–64 px. Texto blanco.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Encabezado de página</w:t>
            </w:r>
          </w:p>
        </w:tc>
        <w:tc>
          <w:tcPr>
            <w:tcW w:type="dxa" w:w="6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H1 (Montserrat Bold) “Pronóstico de producción” + subtítulo en Inter: “Tres productos · horizonte de 24 meses”. A la derecha, acciones: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Generar pronóstico</w:t>
            </w:r>
            <w:r>
              <w:rPr>
                <w:color w:val="161A25"/>
                <w:sz w:val="18"/>
                <w:szCs w:val="18"/>
              </w:rPr>
              <w:t xml:space="preserve"> (primario) y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Exportar reporte</w:t>
            </w:r>
            <w:r>
              <w:rPr>
                <w:color w:val="161A25"/>
                <w:sz w:val="18"/>
                <w:szCs w:val="18"/>
              </w:rPr>
              <w:t xml:space="preserve"> (secundario) </w:t>
            </w:r>
            <w:r>
              <w:rPr>
                <w:b/>
                <w:bCs/>
                <w:color w:val="FFFFFF"/>
                <w:sz w:val="14"/>
                <w:szCs w:val="14"/>
                <w:shd w:fill="303B8F" w:val="clear"/>
              </w:rPr>
              <w:t xml:space="preserve"> MANUAL · p.9 </w:t>
            </w:r>
            <w:r>
              <w:rPr>
                <w:color w:val="161A25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Fila de tarjetas KPI</w:t>
            </w:r>
          </w:p>
        </w:tc>
        <w:tc>
          <w:tcPr>
            <w:tcW w:type="dxa" w:w="6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Una tarjeta por indicador (p. ej. unidades proyectadas, variación vs. período anterior, productos en meta). Cifra Montserrat en Índigo.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Gráfico de 24 meses</w:t>
            </w:r>
          </w:p>
        </w:tc>
        <w:tc>
          <w:tcPr>
            <w:tcW w:type="dxa" w:w="6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Gráfico de líneas A/B/C según §7, ocupando el ancho principal. Leyenda arriba.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Tabla de detalle</w:t>
            </w:r>
          </w:p>
        </w:tc>
        <w:tc>
          <w:tcPr>
            <w:tcW w:type="dxa" w:w="6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Producto · Mes · Pronóstico · Estado (§8.4), bajo el gráfico, con zebra.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Orden de lectura de </w:t>
      </w:r>
      <w:r>
        <w:rPr>
          <w:b/>
          <w:bCs/>
          <w:color w:val="161A25"/>
          <w:sz w:val="21"/>
          <w:szCs w:val="21"/>
        </w:rPr>
        <w:t xml:space="preserve">arriba abajo: resumen → tendencia → detalle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Cuadrícula de 12 columnas, ancho máximo ~1440 px, márgenes de 24–32 px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El fondo es Blanco Hueso; </w:t>
      </w:r>
      <w:r>
        <w:rPr>
          <w:b/>
          <w:bCs/>
          <w:color w:val="161A25"/>
          <w:sz w:val="21"/>
          <w:szCs w:val="21"/>
        </w:rPr>
        <w:t xml:space="preserve">todo lo que contiene datos va en tarjetas blancas</w:t>
      </w:r>
      <w:r>
        <w:rPr>
          <w:color w:val="161A25"/>
          <w:sz w:val="21"/>
          <w:szCs w:val="21"/>
        </w:rPr>
        <w:t xml:space="preserve"> (la maqueta p.10 muestra el lienzo blanco con la zona gris para contenido).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Estados obligatorios: carga (esqueleto plano en Bordes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#c9cbd2</w:t>
      </w:r>
      <w:r>
        <w:rPr>
          <w:color w:val="161A25"/>
          <w:sz w:val="21"/>
          <w:szCs w:val="21"/>
        </w:rPr>
        <w:t xml:space="preserve">), vacío, error y “datos desactualizados” (Alerta).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Selector de tema claro/oscuro persistente (§10.3). En oscuro, la pantalla reproduce el estilo de p.8.</w:t>
      </w:r>
    </w:p>
    <w:p>
      <w:pPr>
        <w:pStyle w:val="Heading2"/>
        <w:keepNext/>
      </w:pPr>
      <w:r>
        <w:t xml:space="preserve">9.3 Reporte PDF</w:t>
      </w:r>
    </w:p>
    <w:p>
      <w:pPr>
        <w:spacing w:after="60" w:before="0" w:line="288"/>
      </w:pPr>
      <w:r>
        <w:rPr>
          <w:b/>
          <w:bCs/>
          <w:color w:val="FFFFFF"/>
          <w:sz w:val="14"/>
          <w:szCs w:val="14"/>
          <w:shd w:fill="303B8F" w:val="clear"/>
        </w:rPr>
        <w:t xml:space="preserve"> MANUAL · p.10, p.11 </w:t>
      </w:r>
      <w:r>
        <w:rPr>
          <w:color w:val="161A25"/>
          <w:sz w:val="21"/>
          <w:szCs w:val="21"/>
        </w:rPr>
        <w:t xml:space="preserve"> El reporte es la tercera cara de la misma identidad. La lámina p.11 da el diseño más completo: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72"/>
      </w:tblGrid>
      <w:tr>
        <w:trPr>
          <w:cantSplit/>
          <w:tblHeader/>
        </w:trPr>
        <w:tc>
          <w:tcPr>
            <w:tcW w:type="dxa" w:w="2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2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Hoja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Blanco Hueso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6"/>
                <w:szCs w:val="16"/>
                <w:shd w:fill="F5F2EA" w:val="clear"/>
              </w:rPr>
              <w:t xml:space="preserve">#f5f2ea</w:t>
            </w:r>
            <w:r>
              <w:rPr>
                <w:color w:val="161A25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Franja superior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Franja de Índigo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  <w:r>
              <w:rPr>
                <w:color w:val="161A25"/>
                <w:sz w:val="18"/>
                <w:szCs w:val="18"/>
              </w:rPr>
              <w:t xml:space="preserve"> de ancho completo y alto reducido (p.11). La maqueta de p.10 muestra una banda más gruesa: ver §12, pregunta 8.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“REPORTE DE PRONÓSTICO” en Montserrat Bold, MAYÚSCULAS, color Texto; segunda línea “Producto A · Horizonte 24 meses”, también Montserrat Bold.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Cuerpo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Gráfico (paleta de modo claro, §7) y tabla del producto, en Inter. Cifras en es-CO con unidad “u”.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Pie / metadatos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Abajo a la izquierda, en Secundario: “Generado 18 feb 2026 · JR Mecanizados Industriales · Armenia, Quindío”.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Técnica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  <w:tc>
          <w:tcPr>
            <w:tcW w:type="dxa" w:w="72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Incrustar Montserrat e Inter; márgenes de 20–25 mm; confirmar formato de página (Carta o A4) con el cliente; ofrecer versión “ahorro de tinta” sin fondo Blanco Hueso solo si el cliente lo aprueba.</w:t>
            </w:r>
          </w:p>
        </w:tc>
      </w:tr>
    </w:tbl>
    <w:p>
      <w:pPr>
        <w:pStyle w:val="Heading1"/>
        <w:pageBreakBefore/>
      </w:pPr>
      <w:r>
        <w:t xml:space="preserve">10. Implementación técnica</w:t>
      </w:r>
    </w:p>
    <w:p>
      <w:pPr>
        <w:spacing w:after="120" w:before="0" w:line="288"/>
      </w:pP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Esta sección traduce el manual a código. Es una base: adáptela al framework del proyecto (React, Vue, Angular, aplicación de escritorio, etc.). El principio es </w:t>
      </w:r>
      <w:r>
        <w:rPr>
          <w:b/>
          <w:bCs/>
          <w:color w:val="161A25"/>
          <w:sz w:val="21"/>
          <w:szCs w:val="21"/>
        </w:rPr>
        <w:t xml:space="preserve">una única fuente de verdad</w:t>
      </w:r>
      <w:r>
        <w:rPr>
          <w:color w:val="161A25"/>
          <w:sz w:val="21"/>
          <w:szCs w:val="21"/>
        </w:rPr>
        <w:t xml:space="preserve"> (tokens) de la que salgan CSS, gráficos y PDF.</w:t>
      </w:r>
    </w:p>
    <w:p>
      <w:pPr>
        <w:pStyle w:val="Heading2"/>
        <w:keepNext/>
      </w:pPr>
      <w:r>
        <w:t xml:space="preserve">10.1 Tokens de color (CSS)</w:t>
      </w:r>
    </w:p>
    <w:p>
      <w:pPr>
        <w:pBdr>
          <w:left w:val="single" w:color="303B8F" w:sz="18" w:space="8"/>
        </w:pBdr>
        <w:shd w:fill="F5F2EA" w:val="clear"/>
        <w:spacing w:after="0" w:before="8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/* tokens.css  - valores EXACTOS del manual (p.3, p.4, p.5)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:root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/* paleta de marca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--jr-indigo: #303b8f;  --jr-cyan: #24d9e8;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--jr-night:  #10131c;  --jr-bone: #f5f2ea;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/* funcionales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--jr-success: #32b77a; --jr-warning: #f0a43a; --jr-error: #df5b63;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/* medidos (confirmar con el cliente)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--jr-steel: #8e9196;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/* tema claro (por defecto)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:root, [data-theme='light']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color-scheme: light;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--bg: #f5f2ea;      --card: #ffffff;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--fg: #161a25;      --fg-muted: #687083;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--primary: #303b8f; --on-primary: #ffffff;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--accent: #24d9e8;  --border: #c9cbd2;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--input-border: #687083;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--focus: #161a25;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/* tema oscuro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[data-theme='dark']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color-scheme: dark;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--bg: #10131c;      --card: #181d2b;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--fg: #ffffff;      --fg-muted: #9aa2b4;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--primary: #24d9e8; --on-primary: #10131c;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--accent: #303b8f;  --border: #30364a;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--input-border: #9aa2b4;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--focus: #24d9e8;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/* respetar la preferencia del sistema si el usuario no eligió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@media (prefers-color-scheme: dark)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:root:not([data-theme])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color-scheme: dark;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--bg: #10131c; --card: #181d2b; --fg: #ffffff; --fg-muted: #9aa2b4;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--primary: #24d9e8; --on-primary: #10131c; --accent: #303b8f;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--border: #30364a; --input-border: #9aa2b4; --focus: #24d9e8;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}</w:t>
      </w:r>
    </w:p>
    <w:p>
      <w:pPr>
        <w:pBdr>
          <w:left w:val="single" w:color="303B8F" w:sz="18" w:space="8"/>
        </w:pBdr>
        <w:shd w:fill="F5F2EA" w:val="clear"/>
        <w:spacing w:after="16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</w:t>
      </w:r>
    </w:p>
    <w:p>
      <w:pPr>
        <w:pStyle w:val="Heading2"/>
        <w:keepNext/>
      </w:pPr>
      <w:r>
        <w:t xml:space="preserve">10.2 Tipografía y componentes base (CSS)</w:t>
      </w:r>
    </w:p>
    <w:p>
      <w:pPr>
        <w:pBdr>
          <w:left w:val="single" w:color="303B8F" w:sz="18" w:space="8"/>
        </w:pBdr>
        <w:shd w:fill="F5F2EA" w:val="clear"/>
        <w:spacing w:after="0" w:before="8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:root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--font-display: 'Montserrat', 'Segoe UI', Arial, sans-serif; /* solo 700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--font-body: 'Inter', system-ui, -apple-system, 'Segoe UI', Arial, sans-serif;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body { margin: 0; background: var(--bg); color: var(--fg);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font: 400 16px/1.5 var(--font-body);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h1, h2, h3, .kpi__value, .cta-xl { font-family: var(--font-display); font-weight: 700;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h1 { font-size: 2.25rem; line-height: 1.15; letter-spacing: -0.01em;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* { border-radius: 0; }              /* esquinas rectas (p.9)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.btn { min-height: 48px; padding: 0 28px; font: 700 15px var(--font-body);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border: 2px solid transparent; cursor: pointer;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.btn--primary { background: var(--primary); color: var(--on-primary);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.btn--primary:hover { box-shadow: inset 0 -3px 0 var(--accent); }  /* sin colores nuevos */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.btn--secondary { background: transparent; color: var(--fg); border-color: var(--jr-steel);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.btn:focus-visible { outline: 2px solid var(--focus); outline-offset: 2px;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.kpi { background: var(--card); border: 1px solid var(--border); padding: 32px;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.kpi__value { font-size: 3.25rem; line-height: 1; color: var(--primary);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.kpi__label { margin-top: 12px; font: 700 12px var(--font-body);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       letter-spacing: .1em; text-transform: uppercase; color: var(--primary);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.tbl { width: 100%; border-collapse: collapse; background: var(--card);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.tbl th { text-align: left; font: 700 14px var(--font-body); padding: 16px 20px;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        border-bottom: 1px solid var(--border);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.tbl td { padding: 18px 20px; font-variant-numeric: tabular-nums; }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.tbl tr:nth-child(even) td { background: var(--bg); }          /* zebra del manual */</w:t>
      </w:r>
    </w:p>
    <w:p>
      <w:pPr>
        <w:pBdr>
          <w:left w:val="single" w:color="303B8F" w:sz="18" w:space="8"/>
        </w:pBdr>
        <w:shd w:fill="F5F2EA" w:val="clear"/>
        <w:spacing w:after="16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.tbl td.num, .tbl th.num { text-align: right; }</w:t>
      </w:r>
    </w:p>
    <w:p>
      <w:pPr>
        <w:pStyle w:val="Heading2"/>
        <w:keepNext/>
      </w:pPr>
      <w:r>
        <w:t xml:space="preserve">10.3 Cambio de tema sin parpadeo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Guarde la elección del usuario (claro/oscuro/sistema) y aplíquela </w:t>
      </w:r>
      <w:r>
        <w:rPr>
          <w:b/>
          <w:bCs/>
          <w:color w:val="161A25"/>
          <w:sz w:val="21"/>
          <w:szCs w:val="21"/>
        </w:rPr>
        <w:t xml:space="preserve">antes de pintar</w:t>
      </w:r>
      <w:r>
        <w:rPr>
          <w:color w:val="161A25"/>
          <w:sz w:val="21"/>
          <w:szCs w:val="21"/>
        </w:rPr>
        <w:t xml:space="preserve"> con un pequeño script en el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&lt;head&gt;</w:t>
      </w:r>
      <w:r>
        <w:rPr>
          <w:color w:val="161A25"/>
          <w:sz w:val="21"/>
          <w:szCs w:val="21"/>
        </w:rPr>
        <w:t xml:space="preserve"> que establezca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data-theme</w:t>
      </w:r>
      <w:r>
        <w:rPr>
          <w:color w:val="161A25"/>
          <w:sz w:val="21"/>
          <w:szCs w:val="21"/>
        </w:rPr>
        <w:t xml:space="preserve"> en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&lt;html&gt;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Todo color debe leerse desde variables CSS; los gráficos y el generador de PDF leen la misma paleta (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PALETTE</w:t>
      </w:r>
      <w:r>
        <w:rPr>
          <w:color w:val="161A25"/>
          <w:sz w:val="21"/>
          <w:szCs w:val="21"/>
        </w:rPr>
        <w:t xml:space="preserve"> de §7.6).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Al cambiar de tema, vuelva a renderizar los gráficos (la serie A pasa de Índigo a Cian).</w:t>
      </w:r>
    </w:p>
    <w:p>
      <w:pPr>
        <w:pStyle w:val="Heading2"/>
        <w:keepNext/>
      </w:pPr>
      <w:r>
        <w:t xml:space="preserve">10.4 Si usa Tailwind CSS</w:t>
      </w:r>
    </w:p>
    <w:p>
      <w:pPr>
        <w:spacing w:after="60" w:before="0" w:line="288"/>
      </w:pPr>
      <w:r>
        <w:rPr>
          <w:color w:val="161A25"/>
          <w:sz w:val="21"/>
          <w:szCs w:val="21"/>
        </w:rPr>
        <w:t xml:space="preserve">Con Tailwind v4 los tokens se declaran en el propio CSS (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@theme</w:t>
      </w:r>
      <w:r>
        <w:rPr>
          <w:color w:val="161A25"/>
          <w:sz w:val="21"/>
          <w:szCs w:val="21"/>
        </w:rPr>
        <w:t xml:space="preserve">), sin archivo de configuración JavaScript. Ejemplo mínimo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:</w:t>
      </w:r>
    </w:p>
    <w:p>
      <w:pPr>
        <w:pBdr>
          <w:left w:val="single" w:color="303B8F" w:sz="18" w:space="8"/>
        </w:pBdr>
        <w:shd w:fill="F5F2EA" w:val="clear"/>
        <w:spacing w:after="0" w:before="8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@import 'tailwindcss';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@theme {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--color-jr-indigo: #303b8f;  --color-jr-cyan: #24d9e8;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--color-jr-night: #10131c;   --color-jr-bone: #f5f2ea;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--color-jr-success: #32b77a; --color-jr-warning: #f0a43a; --color-jr-error: #df5b63;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--font-display: 'Montserrat', sans-serif;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--font-sans: 'Inter', system-ui, sans-serif;</w:t>
      </w:r>
    </w:p>
    <w:p>
      <w:pPr>
        <w:pBdr>
          <w:left w:val="single" w:color="303B8F" w:sz="18" w:space="8"/>
        </w:pBdr>
        <w:shd w:fill="F5F2EA" w:val="clear"/>
        <w:spacing w:after="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  --radius-*: initial;  /* sin radios: esquinas rectas */</w:t>
      </w:r>
    </w:p>
    <w:p>
      <w:pPr>
        <w:pBdr>
          <w:left w:val="single" w:color="303B8F" w:sz="18" w:space="8"/>
        </w:pBdr>
        <w:shd w:fill="F5F2EA" w:val="clear"/>
        <w:spacing w:after="160" w:before="0" w:line="240"/>
        <w:ind w:left="200"/>
      </w:pPr>
      <w:r>
        <w:rPr>
          <w:rFonts w:ascii="Consolas" w:cs="Consolas" w:eastAsia="Consolas" w:hAnsi="Consolas"/>
          <w:color w:val="161A25"/>
          <w:sz w:val="16"/>
          <w:szCs w:val="16"/>
        </w:rPr>
        <w:t xml:space="preserve">}</w:t>
      </w:r>
    </w:p>
    <w:p>
      <w:pPr>
        <w:spacing w:after="120" w:before="0" w:line="288"/>
      </w:pPr>
      <w:r>
        <w:rPr>
          <w:color w:val="687083"/>
          <w:sz w:val="19"/>
          <w:szCs w:val="19"/>
        </w:rPr>
        <w:t xml:space="preserve">Verifique siempre la sintaxis contra la documentación de la versión instalada.</w:t>
      </w:r>
    </w:p>
    <w:p>
      <w:pPr>
        <w:pStyle w:val="Heading2"/>
        <w:keepNext/>
      </w:pPr>
      <w:r>
        <w:t xml:space="preserve">10.5 Estructura recomendada de archivos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72"/>
      </w:tblGrid>
      <w:tr>
        <w:trPr>
          <w:cantSplit/>
          <w:tblHeader/>
        </w:trPr>
        <w:tc>
          <w:tcPr>
            <w:tcW w:type="dxa" w:w="3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Archivo / carpeta</w:t>
            </w:r>
          </w:p>
        </w:tc>
        <w:tc>
          <w:tcPr>
            <w:tcW w:type="dxa" w:w="66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design/tokens.json</w:t>
            </w:r>
          </w:p>
        </w:tc>
        <w:tc>
          <w:tcPr>
            <w:tcW w:type="dxa" w:w="6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Fuente única de verdad: colores por rol y modo, tipografías, espaciado. De aquí se generan CSS, paleta de gráficos y estilos del PDF.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styles/tokens.css</w:t>
            </w:r>
          </w:p>
        </w:tc>
        <w:tc>
          <w:tcPr>
            <w:tcW w:type="dxa" w:w="6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Variables de §10.1 (generadas o escritas a mano).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styles/base.css</w:t>
            </w:r>
          </w:p>
        </w:tc>
        <w:tc>
          <w:tcPr>
            <w:tcW w:type="dxa" w:w="6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Reset, tipografía y reglas globales (esquinas rectas).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components/</w:t>
            </w:r>
          </w:p>
        </w:tc>
        <w:tc>
          <w:tcPr>
            <w:tcW w:type="dxa" w:w="6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Button, KpiCard, DataTable, StatusChip, TextField, TopBar, ThemeToggle.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charts/theme.ts</w:t>
            </w:r>
          </w:p>
        </w:tc>
        <w:tc>
          <w:tcPr>
            <w:tcW w:type="dxa" w:w="6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PALETTE</w:t>
            </w:r>
            <w:r>
              <w:rPr>
                <w:color w:val="161A25"/>
                <w:sz w:val="17"/>
                <w:szCs w:val="17"/>
              </w:rPr>
              <w:t xml:space="preserve"> y opciones de gráfico por modo (§7.6).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brand/</w:t>
            </w:r>
          </w:p>
        </w:tc>
        <w:tc>
          <w:tcPr>
            <w:tcW w:type="dxa" w:w="6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Vectores oficiales del anillo y logotipo entregados por el cliente (no editarlos).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reports/</w:t>
            </w:r>
          </w:p>
        </w:tc>
        <w:tc>
          <w:tcPr>
            <w:tcW w:type="dxa" w:w="66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Plantilla del PDF (Blanco Hueso, franja índigo, fuentes incrustadas).</w:t>
            </w:r>
          </w:p>
        </w:tc>
      </w:tr>
    </w:tbl>
    <w:p>
      <w:pPr>
        <w:pStyle w:val="Heading1"/>
        <w:pageBreakBefore/>
      </w:pPr>
      <w:r>
        <w:t xml:space="preserve">11. Lista de verificación de marca (QA)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Úsela antes de cada entrega. “Verificación” indica cómo comprobarlo; los puntos marcados </w:t>
      </w:r>
      <w:r>
        <w:rPr>
          <w:b/>
          <w:bCs/>
          <w:color w:val="24D9E8"/>
          <w:sz w:val="14"/>
          <w:szCs w:val="14"/>
          <w:shd w:fill="10131C" w:val="clear"/>
        </w:rPr>
        <w:t xml:space="preserve"> PROPUESTA </w:t>
      </w:r>
      <w:r>
        <w:rPr>
          <w:color w:val="161A25"/>
          <w:sz w:val="21"/>
          <w:szCs w:val="21"/>
        </w:rPr>
        <w:t xml:space="preserve"> dependen de decisiones aún por confirmar.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72"/>
        <w:gridCol w:w="2700"/>
        <w:gridCol w:w="1400"/>
      </w:tblGrid>
      <w:tr>
        <w:trPr>
          <w:cantSplit/>
          <w:tblHeader/>
        </w:trPr>
        <w:tc>
          <w:tcPr>
            <w:tcW w:type="dxa" w:w="1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45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27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  <w:tc>
          <w:tcPr>
            <w:tcW w:type="dxa" w:w="1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Todos los colores de la UI salen de los tokens de §10.1; no hay HEX sueltos ni colores nuevos.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Buscar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</w:t>
            </w:r>
            <w:r>
              <w:rPr>
                <w:color w:val="161A25"/>
                <w:sz w:val="16"/>
                <w:szCs w:val="16"/>
              </w:rPr>
              <w:t xml:space="preserve"> en el CSS; inspector de color.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p.3–5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Fondo de página: claro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#f5f2ea</w:t>
            </w:r>
            <w:r>
              <w:rPr>
                <w:color w:val="161A25"/>
                <w:sz w:val="16"/>
                <w:szCs w:val="16"/>
              </w:rPr>
              <w:t xml:space="preserve"> / oscuro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#10131c</w:t>
            </w:r>
            <w:r>
              <w:rPr>
                <w:color w:val="161A25"/>
                <w:sz w:val="16"/>
                <w:szCs w:val="16"/>
              </w:rPr>
              <w:t xml:space="preserve">; tarjetas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  <w:r>
              <w:rPr>
                <w:color w:val="161A25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Inspección visual y de estilos.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Primario/Acento se invierten en oscuro (cian primario).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Alternar tema y comparar.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No hay índigo sobre fondos oscuros ni cian como texto/línea fina sobre claro.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Revisión + herramienta de contraste.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p.2 / §4.5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Verde solo en mejora/éxito; rojo solo en error; ámbar solo en alerta.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Revisar cada uso de funcionales.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p.4, p.7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Proporción aproximada 60·30·10: el color de marca es una minoría de la pantalla.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Revisión visual de cada vista.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Tipografía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Solo Montserrat Bold (títulos, cifras, CTA) e Inter (resto); sin Open Sans ni mono.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Panel de fuentes del navegador.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Tipografía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Fuentes cargadas correctamente y con respaldo; PDF con fuentes incrustadas.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Desconectar fuentes y recargar; propiedades del PDF.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Cifras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Formato es-CO (1.248 u; 8,4 %); unidad en ejes; horizonte explícito.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Revisar datos de ejemplo y reales.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p.7, p.9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Anillo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Completo, 1:1, sin rotar, sin brillo, en cian sobre oscuro.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Inspección en todos los tamaños (favicon incluido).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Gráficos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 constante por producto; mismo A/B/C en gráfico, leyenda, tabla y PDF.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Aplicar filtros y reordenar series.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Gráficos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Ejes y rejilla finos en Gris Acero; solo rejilla horizontal; eje Y desde 0 u.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Inspección.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Gráficos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Sin 3D, sombras, degradados ni biseles.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Inspección.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Gráficos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Serie identificable sin depender solo del color (etiqueta/tooltip/tabla).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Simulador de daltonismo.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§7.5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Componentes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Botón primario relleno; secundario con contorno; una acción primaria por vista.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Revisión por pantalla.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Componentes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KPI: cifra Montserrat en primario, etiqueta en mayúsculas, variación con flecha.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Comparar con §8.3.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Componentes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Tabla con zebra, cifras a la derecha y estado con texto + ícono.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Comparar con §8.4.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Componentes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Esquinas rectas y sin sombras en todo el producto.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Buscar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border-radius</w:t>
            </w:r>
            <w:r>
              <w:rPr>
                <w:color w:val="161A25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box-shadow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Accesibilidad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≥ 4,5:1; texto grande y gráficos ≥ 3:1; bordes de campos ≥ 3:1.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Medidor de contraste (Anexo B).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§4.5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Accesibilidad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Foco por teclado visible en todos los controles.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Navegar con Tab.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§8.2 </w:t>
            </w:r>
            <w:r>
              <w:rPr>
                <w:b/>
                <w:bCs/>
                <w:color w:val="24D9E8"/>
                <w:sz w:val="14"/>
                <w:szCs w:val="14"/>
                <w:shd w:fill="10131C" w:val="clear"/>
              </w:rPr>
              <w:t xml:space="preserve"> PROPUESTA 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Pantallas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Barra superior índigo; login sobre imagen oscura; PDF sobre Blanco Hueso con franja índigo.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Comparar con p.10–11.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p.10–11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Pantallas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Login: “Correo corporativo”, “Contraseña”, “INGRESAR”; errores claros.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Prueba funcional.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p.11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PDF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Título “REPORTE DE PRONÓSTICO / Producto A · Horizonte 24 meses”; pie con fecha, empresa y ciudad.</w:t>
            </w:r>
          </w:p>
        </w:tc>
        <w:tc>
          <w:tcPr>
            <w:tcW w:type="dxa" w:w="27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Generar y revisar.</w:t>
            </w:r>
          </w:p>
        </w:tc>
        <w:tc>
          <w:tcPr>
            <w:tcW w:type="dxa" w:w="1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p.11</w:t>
            </w:r>
          </w:p>
        </w:tc>
      </w:tr>
    </w:tbl>
    <w:p>
      <w:pPr>
        <w:pStyle w:val="Heading1"/>
        <w:pageBreakBefore/>
      </w:pPr>
      <w:r>
        <w:t xml:space="preserve">12. Inconsistencias del manual, vacíos y preguntas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Al leer el manual con rigor aparecen diferencias entre láminas y partes ausentes. Ninguna impide empezar, pero conviene cerrarlas con el cliente. La columna “Decisión por defecto” es lo que este documento asume mientras tanto.</w:t>
      </w:r>
    </w:p>
    <w:p>
      <w:pPr>
        <w:pStyle w:val="Heading2"/>
        <w:keepNext/>
      </w:pPr>
      <w:r>
        <w:t xml:space="preserve">12.1 Inconsistencias detectadas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172"/>
        <w:gridCol w:w="3800"/>
      </w:tblGrid>
      <w:tr>
        <w:trPr>
          <w:cantSplit/>
          <w:tblHeader/>
        </w:trPr>
        <w:tc>
          <w:tcPr>
            <w:tcW w:type="dxa" w:w="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6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Hallazgo</w:t>
            </w:r>
          </w:p>
        </w:tc>
        <w:tc>
          <w:tcPr>
            <w:tcW w:type="dxa" w:w="31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  <w:tc>
          <w:tcPr>
            <w:tcW w:type="dxa" w:w="38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Decisión por defecto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Índigo con dos valores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Paleta p.3, p.5 y p.11: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#303b8f</w:t>
            </w:r>
            <w:r>
              <w:rPr>
                <w:color w:val="161A25"/>
                <w:sz w:val="16"/>
                <w:szCs w:val="16"/>
              </w:rPr>
              <w:t xml:space="preserve">. Láminas p.6, p.7, p.9, p.10 (muestreadas): ≈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#2f2a8c</w:t>
            </w:r>
            <w:r>
              <w:rPr>
                <w:color w:val="161A25"/>
                <w:sz w:val="16"/>
                <w:szCs w:val="16"/>
              </w:rPr>
              <w:t xml:space="preserve"> (más violeta)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Usar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4"/>
                <w:szCs w:val="14"/>
                <w:shd w:fill="F5F2EA" w:val="clear"/>
              </w:rPr>
              <w:t xml:space="preserve">#303b8f</w:t>
            </w:r>
            <w:r>
              <w:rPr>
                <w:color w:val="161A25"/>
                <w:sz w:val="16"/>
                <w:szCs w:val="16"/>
              </w:rPr>
              <w:t xml:space="preserve">, el valor escrito en la paleta.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Fondo claro con dos valores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#f5f2ea</w:t>
            </w:r>
            <w:r>
              <w:rPr>
                <w:color w:val="161A25"/>
                <w:sz w:val="16"/>
                <w:szCs w:val="16"/>
              </w:rPr>
              <w:t xml:space="preserve"> (paleta, portada, reporte) frente a ≈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#f5f6f8</w:t>
            </w:r>
            <w:r>
              <w:rPr>
                <w:color w:val="161A25"/>
                <w:sz w:val="16"/>
                <w:szCs w:val="16"/>
              </w:rPr>
              <w:t xml:space="preserve"> (gris frío de p.6, 7, 9, 10)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Usar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4"/>
                <w:szCs w:val="14"/>
                <w:shd w:fill="F5F2EA" w:val="clear"/>
              </w:rPr>
              <w:t xml:space="preserve">#f5f2ea</w:t>
            </w:r>
            <w:r>
              <w:rPr>
                <w:color w:val="161A25"/>
                <w:sz w:val="16"/>
                <w:szCs w:val="16"/>
              </w:rPr>
              <w:t xml:space="preserve"> (Blanco Hueso).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Fondo oscuro con dos valores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#10131c</w:t>
            </w:r>
            <w:r>
              <w:rPr>
                <w:color w:val="161A25"/>
                <w:sz w:val="16"/>
                <w:szCs w:val="16"/>
              </w:rPr>
              <w:t xml:space="preserve"> (paleta p.3/p.5) frente a ≈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#070b14</w:t>
            </w:r>
            <w:r>
              <w:rPr>
                <w:color w:val="161A25"/>
                <w:sz w:val="16"/>
                <w:szCs w:val="16"/>
              </w:rPr>
              <w:t xml:space="preserve"> (p.2, p.8) y panel ≈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#0d1322</w:t>
            </w:r>
            <w:r>
              <w:rPr>
                <w:color w:val="161A2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Usar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4"/>
                <w:szCs w:val="14"/>
                <w:shd w:fill="F5F2EA" w:val="clear"/>
              </w:rPr>
              <w:t xml:space="preserve">#10131c</w:t>
            </w:r>
            <w:r>
              <w:rPr>
                <w:color w:val="161A25"/>
                <w:sz w:val="16"/>
                <w:szCs w:val="16"/>
              </w:rPr>
              <w:t xml:space="preserve"> y Tarjeta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Verde con dos valores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Éxito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#32b77a</w:t>
            </w:r>
            <w:r>
              <w:rPr>
                <w:color w:val="161A25"/>
                <w:sz w:val="16"/>
                <w:szCs w:val="16"/>
              </w:rPr>
              <w:t xml:space="preserve"> (p.4) frente a ≈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#2bb673</w:t>
            </w:r>
            <w:r>
              <w:rPr>
                <w:color w:val="161A25"/>
                <w:sz w:val="16"/>
                <w:szCs w:val="16"/>
              </w:rPr>
              <w:t xml:space="preserve"> en el gráfico (p.7)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Usar </w:t>
            </w:r>
            <w:r>
              <w:rPr>
                <w:rFonts w:ascii="Consolas" w:cs="Consolas" w:eastAsia="Consolas" w:hAnsi="Consolas"/>
                <w:b/>
                <w:bCs/>
                <w:color w:val="161A25"/>
                <w:sz w:val="14"/>
                <w:szCs w:val="14"/>
                <w:shd w:fill="F5F2EA" w:val="clear"/>
              </w:rPr>
              <w:t xml:space="preserve">#32b77a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Gris Acero sin código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 nombra (p.7) pero no figura en las paletas; medido ≈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#8e9196</w:t>
            </w:r>
            <w:r>
              <w:rPr>
                <w:color w:val="161A2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Usar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#8e9196</w:t>
            </w:r>
            <w:r>
              <w:rPr>
                <w:color w:val="161A25"/>
                <w:sz w:val="16"/>
                <w:szCs w:val="16"/>
              </w:rPr>
              <w:t xml:space="preserve"> y pedir confirmación.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Colores de series del modo oscuro fuera de paleta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Azul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#4f6cff</w:t>
            </w:r>
            <w:r>
              <w:rPr>
                <w:color w:val="161A25"/>
                <w:sz w:val="16"/>
                <w:szCs w:val="16"/>
              </w:rPr>
              <w:t xml:space="preserve"> y lima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#b7f34a</w:t>
            </w:r>
            <w:r>
              <w:rPr>
                <w:color w:val="161A25"/>
                <w:sz w:val="16"/>
                <w:szCs w:val="16"/>
              </w:rPr>
              <w:t xml:space="preserve"> (p.8)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6"/>
                <w:szCs w:val="16"/>
              </w:rPr>
              <w:t xml:space="preserve">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Usarlos </w:t>
            </w:r>
            <w:r>
              <w:rPr>
                <w:b/>
                <w:bCs/>
                <w:color w:val="161A25"/>
                <w:sz w:val="16"/>
                <w:szCs w:val="16"/>
              </w:rPr>
              <w:t xml:space="preserve">solo</w:t>
            </w:r>
            <w:r>
              <w:rPr>
                <w:color w:val="161A25"/>
                <w:sz w:val="16"/>
                <w:szCs w:val="16"/>
              </w:rPr>
              <w:t xml:space="preserve"> en gráficos oscuros.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Verde como serie vs. “Verde solo para mejora”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Producto C en verde en p.7 contradice la regla 03 (p.7).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Seguir el manual y mitigar con etiquetas directas (§7.4).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Más de dos familias en la presentación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Open Sans e IBM Plex Mono incrustadas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  <w:r>
              <w:rPr>
                <w:color w:val="161A25"/>
                <w:sz w:val="16"/>
                <w:szCs w:val="16"/>
              </w:rPr>
              <w:t xml:space="preserve">; la p.6 dice “Dos familias”.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Solo Montserrat e Inter en el producto.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Fuente de botones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p.6: llamadas a la acción en Montserrat Bold; los botones de p.9 se ven en Inter Bold.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Inter Bold en botones de app; Montserrat Bold en CTA grandes.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Formato numérico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“1.248” y “8,4 %” (p.9) frente a “+18.6%” (p.8).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Formato </w:t>
            </w:r>
            <w:r>
              <w:rPr>
                <w:b/>
                <w:bCs/>
                <w:color w:val="161A25"/>
                <w:sz w:val="16"/>
                <w:szCs w:val="16"/>
              </w:rPr>
              <w:t xml:space="preserve">es-CO</w:t>
            </w:r>
            <w:r>
              <w:rPr>
                <w:color w:val="161A25"/>
                <w:sz w:val="16"/>
                <w:szCs w:val="16"/>
              </w:rPr>
              <w:t xml:space="preserve"> en todo.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Eje X distinto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Meses (“Ene … Nov +1”, p.7) frente a “M1 … M24” (p.8).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Meses con año si hay fechas reales; M1–M24 si el horizonte es relativo.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“Eje A/B/C” vs. “Producto A/B/C”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Tabla de p.9 usa “Eje”; gráficos usan “Producto”.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Usar “Producto”.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13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Franja del reporte PDF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Banda gruesa en p.10; franja fina en p.11.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Franja fina de p.11.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14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Maqueta de tabla desalineada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Los encabezados y celdas de p.9 no coinciden en columnas.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Alinear (§8.4).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15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Contraste de algunos pares del propio manual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Secundario sobre Blanco Hueso 4,43; funcionales como texto sobre blanco 2,1–3,6; cian sobre claro 1,5.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Aplicar las reglas de §4.5.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16</w:t>
            </w:r>
          </w:p>
        </w:tc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Mes con mayúscula y minúscula</w:t>
            </w:r>
          </w:p>
        </w:tc>
        <w:tc>
          <w:tcPr>
            <w:tcW w:type="dxa" w:w="3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“Ene 2026” (p.9) frente a “18 feb 2026” (p.11).</w:t>
            </w:r>
          </w:p>
        </w:tc>
        <w:tc>
          <w:tcPr>
            <w:tcW w:type="dxa" w:w="3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Elegir una convención (se sugiere minúscula en fechas corridas, mayúscula inicial en etiquetas).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12.2 Lo que el extracto no contiene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Archivo maestro del logotipo, versiones para claro/oscuro, espacio de seguridad y tamaño mínimo.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Iconografía (estilo y grosor de trazo), ilustraciones y reglas para imágenes de usuarios.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Grilla, espaciado, radios (solo se infiere radio 0), sombras (se infiere ninguna), tamaños tipográficos.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Estados de componentes (hover, foco, deshabilitado, error), formularios, navegación, notificaciones.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161A25"/>
          <w:sz w:val="21"/>
          <w:szCs w:val="21"/>
        </w:rPr>
        <w:t xml:space="preserve">Animación y movimiento, tono de voz y microtextos, ejemplos de uso en móvil/responsivo.</w:t>
      </w:r>
    </w:p>
    <w:p>
      <w:pPr>
        <w:pStyle w:val="Heading2"/>
        <w:keepNext/>
      </w:pPr>
      <w:r>
        <w:t xml:space="preserve">12.3 Preguntas para el cliente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¿El Producto C debe seguir en verde en modo claro aunque “verde solo para mejora”? ¿O se asigna otro color de serie?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¿Confirman los valores medidos: Gris Acero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#8e9196</w:t>
      </w:r>
      <w:r>
        <w:rPr>
          <w:color w:val="161A25"/>
          <w:sz w:val="21"/>
          <w:szCs w:val="21"/>
        </w:rPr>
        <w:t xml:space="preserve">, azul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#4f6cff</w:t>
      </w:r>
      <w:r>
        <w:rPr>
          <w:color w:val="161A25"/>
          <w:sz w:val="21"/>
          <w:szCs w:val="21"/>
        </w:rPr>
        <w:t xml:space="preserve"> y lima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#b7f34a</w:t>
      </w:r>
      <w:r>
        <w:rPr>
          <w:color w:val="161A25"/>
          <w:sz w:val="21"/>
          <w:szCs w:val="21"/>
        </w:rPr>
        <w:t xml:space="preserve">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¿Cuál es el valor definitivo del índigo, del fondo claro y del fondo oscuro (hay dos versiones en láminas distintas)?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¿Open Sans e IBM Plex Mono forman parte del sistema o solo de la presentación? (Este documento asume que no.)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¿Pueden entregar los archivos vectoriales del logotipo y las láminas faltantes del manual (01–02, 04–05, 10–16)?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¿Los botones de la aplicación van en Inter Bold o en Montserrat Bold?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¿Existe una versión del anillo/logotipo para fondos claros y qué color usa?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¿La franja del reporte PDF es fina (p.11) o gruesa (p.10)? ¿Formato Carta o A4?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61A25"/>
          <w:sz w:val="21"/>
          <w:szCs w:val="21"/>
        </w:rPr>
        <w:t xml:space="preserve">¿Aprueban la propuesta de modo oscuro para la barra superior (Tarjeta oscura con filete cian) y de estados de componentes (§8)?</w:t>
      </w:r>
    </w:p>
    <w:p>
      <w:pPr>
        <w:pStyle w:val="Heading1"/>
        <w:pageBreakBefore/>
      </w:pPr>
      <w:r>
        <w:t xml:space="preserve">Anexo A. Mapa de páginas del PDF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400"/>
        <w:gridCol w:w="4172"/>
      </w:tblGrid>
      <w:tr>
        <w:trPr>
          <w:cantSplit/>
          <w:tblHeader/>
        </w:trPr>
        <w:tc>
          <w:tcPr>
            <w:tcW w:type="dxa" w:w="9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Página PDF</w:t>
            </w:r>
          </w:p>
        </w:tc>
        <w:tc>
          <w:tcPr>
            <w:tcW w:type="dxa" w:w="1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Numeración interna</w:t>
            </w:r>
          </w:p>
        </w:tc>
        <w:tc>
          <w:tcPr>
            <w:tcW w:type="dxa" w:w="3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41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 usa en este documento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Portada: “Manual de identidad visual · Precisión Índigo × Torno Digital · JR Mecanizados Industriales, Armenia, Quindío · Versión 2.0 · 2026”; fotografía de torno con tres anillos cian.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§1, §2, §6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03 / Control de marca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Usos incorrectos del anillo: índigo sin contraste, brillo exagerado, deformación, rotación, anillo recortado.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§4.5, §6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07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Paleta principal: Índigo JR, Cian Señal, Noche Taller, Blanco Hueso (HEX y RGB).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§3.1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08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Fondos, texto y colores funcionales: Superficie, Texto, Secundario, Éxito, Alerta, Error.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§3.2, §4.4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09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Modo claro y modo oscuro, 60·30·10 (siete roles).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§3.3, §4.1–4.2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Tipografía: Montserrat Bold e Inter Regular/Medium.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Visualización de datos (claro): cuatro reglas y gráfico de 3 productos / 24 meses.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06 / Visualización de datos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Visualización en modo oscuro: “24 meses. Tres productos. Una lectura inmediata.”, +18.6 %.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Componentes de interfaz: botones, tarjeta KPI, tabla.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Aplicaciones: inicio de sesión, dashboard 24 meses, reporte PDF (maquetas).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17</w:t>
            </w:r>
          </w:p>
        </w:tc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Inicio de sesión y reporte PDF (diseño detallado).</w:t>
            </w:r>
          </w:p>
        </w:tc>
        <w:tc>
          <w:tcPr>
            <w:tcW w:type="dxa" w:w="41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§9.1, §9.3</w:t>
            </w:r>
          </w:p>
        </w:tc>
      </w:tr>
    </w:tbl>
    <w:p>
      <w:pPr>
        <w:pStyle w:val="Heading1"/>
        <w:pageBreakBefore/>
      </w:pPr>
      <w:r>
        <w:t xml:space="preserve">Anexo B. Tabla de contrastes (WCAG 2.x)</w:t>
      </w:r>
    </w:p>
    <w:p>
      <w:pPr>
        <w:spacing w:after="120" w:before="0" w:line="288"/>
      </w:pPr>
      <w:r>
        <w:rPr>
          <w:color w:val="687083"/>
          <w:sz w:val="19"/>
          <w:szCs w:val="19"/>
        </w:rPr>
        <w:t xml:space="preserve">Razón de contraste calculada con la fórmula de luminancia relativa WCAG 2.x a partir de los HEX del manual. ✔ = cumple el umbral para texto normal (4,5:1); “3:1” = cumple solo para texto grande o elementos gráficos; ✘ = no cumple.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1200"/>
        <w:gridCol w:w="1972"/>
      </w:tblGrid>
      <w:tr>
        <w:trPr>
          <w:cantSplit/>
          <w:tblHeader/>
        </w:trPr>
        <w:tc>
          <w:tcPr>
            <w:tcW w:type="dxa" w:w="3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Primer plano</w:t>
            </w:r>
          </w:p>
        </w:tc>
        <w:tc>
          <w:tcPr>
            <w:tcW w:type="dxa" w:w="3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Fondo</w:t>
            </w:r>
          </w:p>
        </w:tc>
        <w:tc>
          <w:tcPr>
            <w:tcW w:type="dxa" w:w="1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Razón</w:t>
            </w:r>
          </w:p>
        </w:tc>
        <w:tc>
          <w:tcPr>
            <w:tcW w:type="dxa" w:w="1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#161a25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Hueso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#f5f2ea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15,53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#161a25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17,38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Secundario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#687083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Hueso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#f5f2ea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4,43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3:1 (casi 4,5)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Secundario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#687083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4,96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#303b8f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Hueso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#f5f2ea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8,74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#303b8f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9,78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#303b8f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9,78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Cian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#24d9e8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Hueso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#f5f2ea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1,54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Cian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#24d9e8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1,73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#161a25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Cian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#24d9e8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10,07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Éxito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#32b77a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2,56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Alerta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#f0a43a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2,08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Error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#df5b63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Superficie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3,61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3:1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#161a25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Éxito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#32b77a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6,78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#161a25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Alerta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#f0a43a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8,34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Texto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#161a25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Error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#df5b63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4,81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Bordes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#c9cbd2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Hueso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#f5f2ea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1,45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 (decorativo)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Noche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#10131c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18,55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Blanco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#ffffff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oscura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16,81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Secundario oscuro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#9aa2b4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Noche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#10131c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7,25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Secundario oscuro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#9aa2b4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oscura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6,56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Cian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#24d9e8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Noche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#10131c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10,75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Cian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#24d9e8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oscura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9,74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#303b8f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Noche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#10131c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1,90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Índigo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#303b8f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oscura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1,72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Bordes oscuro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#30364a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Noche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#10131c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1,55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✘ (decorativo)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Éxito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#32b77a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oscura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6,55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Alerta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#f0a43a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oscura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8,06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Error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#df5b63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Tarjeta oscura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#181d2b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4,65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Gris Acero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#8e9196</w:t>
            </w:r>
            <w:r>
              <w:rPr>
                <w:color w:val="161A2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Fondo gráfico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#f5f6f8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2,92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3:1 (líneas)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Azul brillante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#4f6cff</w:t>
            </w:r>
            <w:r>
              <w:rPr>
                <w:color w:val="161A2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Panel oscuro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#0d1322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4,34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3:1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Lima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#b7f34a</w:t>
            </w:r>
            <w:r>
              <w:rPr>
                <w:color w:val="161A25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4"/>
                <w:szCs w:val="14"/>
                <w:shd w:fill="687083" w:val="clear"/>
              </w:rPr>
              <w:t xml:space="preserve"> MEDIDO </w:t>
            </w:r>
          </w:p>
        </w:tc>
        <w:tc>
          <w:tcPr>
            <w:tcW w:type="dxa" w:w="3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Panel oscuro </w:t>
            </w:r>
            <w:r>
              <w:rPr>
                <w:rFonts w:ascii="Consolas" w:cs="Consolas" w:eastAsia="Consolas" w:hAnsi="Consolas"/>
                <w:color w:val="161A25"/>
                <w:sz w:val="14"/>
                <w:szCs w:val="14"/>
                <w:shd w:fill="F5F2EA" w:val="clear"/>
              </w:rPr>
              <w:t xml:space="preserve">#0d1322</w:t>
            </w:r>
          </w:p>
        </w:tc>
        <w:tc>
          <w:tcPr>
            <w:tcW w:type="dxa" w:w="1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14,06</w:t>
            </w:r>
          </w:p>
        </w:tc>
        <w:tc>
          <w:tcPr>
            <w:tcW w:type="dxa" w:w="1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18"/>
              <w:left w:type="dxa" w:w="110"/>
              <w:bottom w:type="dxa" w:w="18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6"/>
                <w:szCs w:val="16"/>
              </w:rPr>
              <w:t xml:space="preserve">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50" w:right="1134" w:bottom="11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87083"/>
        <w:sz w:val="16"/>
        <w:szCs w:val="16"/>
      </w:rPr>
      <w:t xml:space="preserve">Basada en el Manual de identidad visual v2.0 (2026) · JR Mecanizados Industriales · Página </w:t>
    </w:r>
    <w:r>
      <w:rPr>
        <w:color w:val="6870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BD2" w:sz="4" w:space="4"/>
      </w:pBdr>
    </w:pPr>
    <w:r>
      <w:rPr>
        <w:b/>
        <w:bCs/>
        <w:color w:val="303B8F"/>
        <w:spacing w:val="40"/>
        <w:sz w:val="16"/>
        <w:szCs w:val="16"/>
      </w:rPr>
      <w:t xml:space="preserve">JR FORECAST</w:t>
    </w:r>
    <w:r>
      <w:rPr>
        <w:color w:val="687083"/>
        <w:sz w:val="16"/>
        <w:szCs w:val="16"/>
      </w:rPr>
      <w:t xml:space="preserve">   ·   Guía de implementación de identidad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303B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A2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D9E8" w:sz="12" w:space="6"/>
      </w:pBdr>
      <w:spacing w:after="200" w:before="120"/>
      <w:outlineLvl w:val="0"/>
    </w:pPr>
    <w:rPr>
      <w:rFonts w:ascii="Arial" w:cs="Arial" w:eastAsia="Arial" w:hAnsi="Arial"/>
      <w:b/>
      <w:bCs/>
      <w:color w:val="303B8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61A2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03B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JR Forecast — Guía de implementación del manual de identidad visual</dc:title>
  <dc:creator>Claude</dc:creator>
  <dc:description>Guía para aplicar el manual de identidad visual v2.0 (2026) de JR Mecanizados Industriales en software y web</dc:description>
  <cp:lastModifiedBy>Un-named</cp:lastModifiedBy>
  <cp:revision>1</cp:revision>
  <dcterms:created xsi:type="dcterms:W3CDTF">2026-10-22T23:31:53.231Z</dcterms:created>
  <dcterms:modified xsi:type="dcterms:W3CDTF">2026-10-22T23:31:53.232Z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