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rPr>
          <w:trHeight w:val="9800" w:hRule="atLeast"/>
        </w:trPr>
        <w:tc>
          <w:tcPr>
            <w:tcW w:type="dxa" w:w="9972"/>
            <w:tcBorders>
              <w:top w:val="none" w:color="FFFFFF" w:sz="0"/>
              <w:left w:val="none" w:color="FFFFFF" w:sz="0"/>
              <w:bottom w:val="none" w:color="FFFFFF" w:sz="0"/>
              <w:right w:val="none" w:color="FFFFFF" w:sz="0"/>
            </w:tcBorders>
            <w:shd w:fill="10131C" w:val="clear"/>
            <w:tcMar>
              <w:top w:type="dxa" w:w="700"/>
              <w:left w:type="dxa" w:w="600"/>
              <w:bottom w:type="dxa" w:w="500"/>
              <w:right w:type="dxa" w:w="600"/>
            </w:tcMar>
          </w:tcPr>
          <w:p>
            <w:pPr>
              <w:spacing w:after="1200"/>
            </w:pPr>
            <w:r>
              <w:rPr>
                <w:b/>
                <w:bCs/>
                <w:color w:val="24D9E8"/>
                <w:spacing w:val="60"/>
                <w:sz w:val="40"/>
                <w:szCs w:val="40"/>
              </w:rPr>
              <w:t xml:space="preserve">JR</w:t>
            </w:r>
          </w:p>
          <w:p>
            <w:pPr>
              <w:spacing w:after="0" w:line="640"/>
            </w:pPr>
            <w:r>
              <w:rPr>
                <w:b/>
                <w:bCs/>
                <w:color w:val="FFFFFF"/>
                <w:sz w:val="56"/>
                <w:szCs w:val="56"/>
              </w:rPr>
              <w:t xml:space="preserve">Pronósticos de producción</w:t>
            </w:r>
          </w:p>
          <w:p>
            <w:pPr>
              <w:spacing w:after="0" w:line="560"/>
            </w:pPr>
            <w:r>
              <w:rPr>
                <w:b/>
                <w:bCs/>
                <w:color w:val="FFFFFF"/>
                <w:sz w:val="44"/>
                <w:szCs w:val="44"/>
              </w:rPr>
              <w:t xml:space="preserve">Caracterización de la demanda y</w:t>
            </w:r>
          </w:p>
          <w:p>
            <w:pPr>
              <w:spacing w:after="400" w:line="560"/>
            </w:pPr>
            <w:r>
              <w:rPr>
                <w:b/>
                <w:bCs/>
                <w:color w:val="FFFFFF"/>
                <w:sz w:val="44"/>
                <w:szCs w:val="44"/>
              </w:rPr>
              <w:t xml:space="preserve">criterios de aceptación del pronóstico</w:t>
            </w:r>
          </w:p>
          <w:p>
            <w:pPr>
              <w:spacing w:after="1300"/>
            </w:pPr>
            <w:r>
              <w:rPr>
                <w:color w:val="24D9E8"/>
                <w:sz w:val="30"/>
                <w:szCs w:val="30"/>
              </w:rPr>
              <w:t xml:space="preserve">Mico Clutch Hierro · Mico Clutch Bronce</w:t>
            </w:r>
          </w:p>
          <w:p>
            <w:pPr>
              <w:spacing w:after="40"/>
            </w:pPr>
            <w:r>
              <w:rPr>
                <w:color w:val="9AA2B4"/>
                <w:sz w:val="22"/>
                <w:szCs w:val="22"/>
              </w:rPr>
              <w:t xml:space="preserve">JR Mecanizados Industriales · Armenia, Quindío</w:t>
            </w:r>
          </w:p>
          <w:p>
            <w:pPr>
              <w:spacing w:after="40"/>
            </w:pPr>
            <w:r>
              <w:rPr>
                <w:color w:val="9AA2B4"/>
                <w:sz w:val="22"/>
                <w:szCs w:val="22"/>
              </w:rPr>
              <w:t xml:space="preserve">Datos: ventas mensuales ene-2024 a sep-2026 (33 meses), libro “Pronósticos JR Mecanizados”</w:t>
            </w:r>
          </w:p>
          <w:p>
            <w:pPr>
              <w:spacing w:after="0"/>
            </w:pPr>
            <w:r>
              <w:rPr>
                <w:color w:val="9AA2B4"/>
                <w:sz w:val="22"/>
                <w:szCs w:val="22"/>
              </w:rPr>
              <w:t xml:space="preserve">Parte 1: nivel, tendencia, estacionalidad y horizonte · Parte 2: criterios, PMS, PMP, MAD y MAPE</w:t>
            </w:r>
          </w:p>
        </w:tc>
      </w:tr>
    </w:tbl>
    <w:p>
      <w:pPr>
        <w:pStyle w:val="Heading1"/>
        <w:pageBreakBefore/>
      </w:pPr>
      <w:r>
        <w:t xml:space="preserve">Cómo leer este documento</w:t>
      </w:r>
    </w:p>
    <w:p>
      <w:pPr>
        <w:spacing w:after="120" w:before="0" w:line="288"/>
      </w:pPr>
      <w:r>
        <w:rPr>
          <w:color w:val="161A25"/>
          <w:sz w:val="21"/>
          <w:szCs w:val="21"/>
        </w:rPr>
        <w:t xml:space="preserve">Este documento hace dos cosas con los datos reales del libro de Excel </w:t>
      </w:r>
      <w:r>
        <w:rPr>
          <w:b/>
          <w:bCs/>
          <w:color w:val="161A25"/>
          <w:sz w:val="21"/>
          <w:szCs w:val="21"/>
        </w:rPr>
        <w:t xml:space="preserve">“Pronósticos JR Mecanizados”</w:t>
      </w:r>
      <w:r>
        <w:rPr>
          <w:color w:val="161A25"/>
          <w:sz w:val="21"/>
          <w:szCs w:val="21"/>
        </w:rPr>
        <w:t xml:space="preserve">: (1) caracteriza la demanda de dos productos (nivel, tendencia, estacionalidad y horizonte) y (2) define cuándo un pronóstico es aceptable, calcula los pronósticos esperados con promedio móvil simple y ponderado, y explica qué dicen el MAD y el MAPE en cada caso.</w:t>
      </w:r>
    </w:p>
    <w:p>
      <w:pPr>
        <w:spacing w:after="120" w:before="0" w:line="288"/>
      </w:pPr>
      <w:r>
        <w:rPr>
          <w:color w:val="161A25"/>
          <w:sz w:val="21"/>
          <w:szCs w:val="21"/>
        </w:rPr>
        <w:t xml:space="preserve">Está pensado para insertarse como </w:t>
      </w:r>
      <w:r>
        <w:rPr>
          <w:b/>
          <w:bCs/>
          <w:color w:val="161A25"/>
          <w:sz w:val="21"/>
          <w:szCs w:val="21"/>
        </w:rPr>
        <w:t xml:space="preserve">Parte 1</w:t>
      </w:r>
      <w:r>
        <w:rPr>
          <w:color w:val="161A25"/>
          <w:sz w:val="21"/>
          <w:szCs w:val="21"/>
        </w:rPr>
        <w:t xml:space="preserve"> y </w:t>
      </w:r>
      <w:r>
        <w:rPr>
          <w:b/>
          <w:bCs/>
          <w:color w:val="161A25"/>
          <w:sz w:val="21"/>
          <w:szCs w:val="21"/>
        </w:rPr>
        <w:t xml:space="preserve">Parte 2</w:t>
      </w:r>
      <w:r>
        <w:rPr>
          <w:color w:val="161A25"/>
          <w:sz w:val="21"/>
          <w:szCs w:val="21"/>
        </w:rPr>
        <w:t xml:space="preserve"> dentro del documento del proyecto: cada parte se entiende sola. El proceso está marcado con </w:t>
      </w:r>
      <w:r>
        <w:rPr>
          <w:b/>
          <w:bCs/>
          <w:color w:val="161A25"/>
          <w:sz w:val="21"/>
          <w:szCs w:val="21"/>
        </w:rPr>
        <w:t xml:space="preserve">Paso 1, Paso 2…</w:t>
      </w:r>
      <w:r>
        <w:rPr>
          <w:color w:val="161A25"/>
          <w:sz w:val="21"/>
          <w:szCs w:val="21"/>
        </w:rPr>
        <w:t xml:space="preserve"> y cada resultado indica qué se hizo, qué dio y cómo se interpreta.</w:t>
      </w:r>
    </w:p>
    <w:p>
      <w:pPr>
        <w:pStyle w:val="Heading2"/>
        <w:keepNext/>
      </w:pPr>
      <w:r>
        <w:t xml:space="preserve">Marcas que verá en el texto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800"/>
        <w:gridCol w:w="8172"/>
      </w:tblGrid>
      <w:tr>
        <w:trPr>
          <w:cantSplit/>
          <w:tblHeader/>
        </w:trPr>
        <w:tc>
          <w:tcPr>
            <w:tcW w:type="dxa" w:w="18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8"/>
                <w:szCs w:val="18"/>
              </w:rPr>
              <w:t xml:space="preserve">Marca</w:t>
            </w:r>
          </w:p>
        </w:tc>
        <w:tc>
          <w:tcPr>
            <w:tcW w:type="dxa" w:w="81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8"/>
                <w:szCs w:val="18"/>
              </w:rPr>
              <w:t xml:space="preserve">Significa</w:t>
            </w:r>
          </w:p>
        </w:tc>
      </w:tr>
      <w:tr>
        <w:trPr>
          <w:cantSplit/>
        </w:trPr>
        <w:tc>
          <w:tcPr>
            <w:tcW w:type="dxa" w:w="1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32B77A"/>
                <w:sz w:val="18"/>
                <w:szCs w:val="18"/>
              </w:rPr>
              <w:t xml:space="preserve">✔  Cumple</w:t>
            </w:r>
          </w:p>
        </w:tc>
        <w:tc>
          <w:tcPr>
            <w:tcW w:type="dxa" w:w="8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8"/>
                <w:szCs w:val="18"/>
              </w:rPr>
              <w:t xml:space="preserve">La prueba o el criterio se superó.</w:t>
            </w:r>
          </w:p>
        </w:tc>
      </w:tr>
      <w:tr>
        <w:trPr>
          <w:cantSplit/>
        </w:trPr>
        <w:tc>
          <w:tcPr>
            <w:tcW w:type="dxa" w:w="1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B8700A"/>
                <w:sz w:val="18"/>
                <w:szCs w:val="18"/>
              </w:rPr>
              <w:t xml:space="preserve">⚠  Observación</w:t>
            </w:r>
          </w:p>
        </w:tc>
        <w:tc>
          <w:tcPr>
            <w:tcW w:type="dxa" w:w="81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8"/>
                <w:szCs w:val="18"/>
              </w:rPr>
              <w:t xml:space="preserve">Se superó con una salvedad, o hay algo que conviene confirmar con JR. No invalida el resultado.</w:t>
            </w:r>
          </w:p>
        </w:tc>
      </w:tr>
      <w:tr>
        <w:trPr>
          <w:cantSplit/>
        </w:trPr>
        <w:tc>
          <w:tcPr>
            <w:tcW w:type="dxa" w:w="1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DF5B63"/>
                <w:sz w:val="18"/>
                <w:szCs w:val="18"/>
              </w:rPr>
              <w:t xml:space="preserve">✘  No cumple</w:t>
            </w:r>
          </w:p>
        </w:tc>
        <w:tc>
          <w:tcPr>
            <w:tcW w:type="dxa" w:w="8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8"/>
                <w:szCs w:val="18"/>
              </w:rPr>
              <w:t xml:space="preserve">La prueba o el criterio no se superó.</w:t>
            </w:r>
          </w:p>
        </w:tc>
      </w:tr>
      <w:tr>
        <w:trPr>
          <w:cantSplit/>
        </w:trPr>
        <w:tc>
          <w:tcPr>
            <w:tcW w:type="dxa" w:w="1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8"/>
                <w:szCs w:val="18"/>
              </w:rPr>
              <w:t xml:space="preserve">Propuesta</w:t>
            </w:r>
          </w:p>
        </w:tc>
        <w:tc>
          <w:tcPr>
            <w:tcW w:type="dxa" w:w="81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8"/>
                <w:szCs w:val="18"/>
              </w:rPr>
              <w:t xml:space="preserve">Decisión de este documento (umbrales, horizonte). No está en los datos: debe validarla JR.</w:t>
            </w:r>
          </w:p>
        </w:tc>
      </w:tr>
    </w:tbl>
    <w:p>
      <w:pPr>
        <w:spacing w:after="60"/>
      </w:pPr>
    </w:p>
    <w:p>
      <w:pPr>
        <w:pStyle w:val="Heading2"/>
        <w:keepNext/>
      </w:pPr>
      <w:r>
        <w:t xml:space="preserve">Cómo se redondean las cifras</w:t>
      </w:r>
    </w:p>
    <w:p>
      <w:pPr>
        <w:spacing w:after="120" w:before="0" w:line="288"/>
      </w:pPr>
      <w:r>
        <w:rPr>
          <w:color w:val="161A25"/>
          <w:sz w:val="21"/>
          <w:szCs w:val="21"/>
        </w:rPr>
        <w:t xml:space="preserve">Las ventas están en piezas enteras, pero las series fluctúan en miles de piezas de un mes a otro. Por eso los pronósticos se muestran </w:t>
      </w:r>
      <w:r>
        <w:rPr>
          <w:b/>
          <w:bCs/>
          <w:color w:val="161A25"/>
          <w:sz w:val="21"/>
          <w:szCs w:val="21"/>
        </w:rPr>
        <w:t xml:space="preserve">redondeados a la centena</w:t>
      </w:r>
      <w:r>
        <w:rPr>
          <w:color w:val="161A25"/>
          <w:sz w:val="21"/>
          <w:szCs w:val="21"/>
        </w:rPr>
        <w:t xml:space="preserve"> y siempre con su margen de error; mostrar más decimales daría una falsa sensación de exactitud. El MAD se da en piezas enteras y el MAPE en porcentaje entero. Los números se escriben con punto de miles y coma decimal.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none" w:color="FFFFFF" w:sz="0"/>
              <w:left w:val="single" w:color="303B8F" w:sz="24"/>
              <w:bottom w:val="none" w:color="FFFFFF" w:sz="0"/>
              <w:right w:val="none" w:color="FFFFFF" w:sz="0"/>
            </w:tcBorders>
            <w:shd w:fill="EEF0F8" w:val="clear"/>
            <w:tcMar>
              <w:top w:type="dxa" w:w="110"/>
              <w:left w:type="dxa" w:w="200"/>
              <w:bottom w:type="dxa" w:w="90"/>
              <w:right w:type="dxa" w:w="160"/>
            </w:tcMar>
          </w:tcPr>
          <w:p>
            <w:pPr>
              <w:spacing w:after="60" w:line="270"/>
            </w:pPr>
            <w:r>
              <w:rPr>
                <w:b/>
                <w:bCs/>
                <w:color w:val="303B8F"/>
                <w:sz w:val="20"/>
                <w:szCs w:val="20"/>
              </w:rPr>
              <w:t xml:space="preserve">Antes de empezar  </w:t>
            </w:r>
            <w:r>
              <w:rPr>
                <w:color w:val="161A25"/>
                <w:sz w:val="20"/>
                <w:szCs w:val="20"/>
              </w:rPr>
              <w:t xml:space="preserve">Los cálculos de este documento se </w:t>
            </w:r>
            <w:r>
              <w:rPr>
                <w:b/>
                <w:bCs/>
                <w:color w:val="161A25"/>
                <w:sz w:val="20"/>
                <w:szCs w:val="20"/>
              </w:rPr>
              <w:t xml:space="preserve">verificaron contra el libro de Excel</w:t>
            </w:r>
            <w:r>
              <w:rPr>
                <w:color w:val="161A25"/>
                <w:sz w:val="20"/>
                <w:szCs w:val="20"/>
              </w:rPr>
              <w:t xml:space="preserve">: los totales anuales coinciden exactamente y el MAD y el MAPE de todos los promedios móviles (simple y ponderado, de las tres series) se reprodujeron con los mismos valores. En el apartado “Alertas sobre el libro” (Parte 2) se explica un error que sí se encontró en la hoja de Holt.</w:t>
            </w:r>
          </w:p>
        </w:tc>
      </w:tr>
    </w:tbl>
    <w:p>
      <w:pPr>
        <w:pStyle w:val="Heading1"/>
        <w:pageBreakBefore/>
      </w:pPr>
      <w:r>
        <w:t xml:space="preserve">PARTE 1. Caracterización de la demanda</w:t>
      </w:r>
    </w:p>
    <w:p>
      <w:pPr>
        <w:spacing w:after="120" w:before="0" w:line="288"/>
      </w:pPr>
      <w:r>
        <w:rPr>
          <w:color w:val="161A25"/>
          <w:sz w:val="21"/>
          <w:szCs w:val="21"/>
        </w:rPr>
        <w:t xml:space="preserve">Objetivo: describir cómo se comporta la demanda de dos productos (su </w:t>
      </w:r>
      <w:r>
        <w:rPr>
          <w:b/>
          <w:bCs/>
          <w:color w:val="161A25"/>
          <w:sz w:val="21"/>
          <w:szCs w:val="21"/>
        </w:rPr>
        <w:t xml:space="preserve">nivel</w:t>
      </w:r>
      <w:r>
        <w:rPr>
          <w:color w:val="161A25"/>
          <w:sz w:val="21"/>
          <w:szCs w:val="21"/>
        </w:rPr>
        <w:t xml:space="preserve">, su </w:t>
      </w:r>
      <w:r>
        <w:rPr>
          <w:b/>
          <w:bCs/>
          <w:color w:val="161A25"/>
          <w:sz w:val="21"/>
          <w:szCs w:val="21"/>
        </w:rPr>
        <w:t xml:space="preserve">tendencia</w:t>
      </w:r>
      <w:r>
        <w:rPr>
          <w:color w:val="161A25"/>
          <w:sz w:val="21"/>
          <w:szCs w:val="21"/>
        </w:rPr>
        <w:t xml:space="preserve"> y su </w:t>
      </w:r>
      <w:r>
        <w:rPr>
          <w:b/>
          <w:bCs/>
          <w:color w:val="161A25"/>
          <w:sz w:val="21"/>
          <w:szCs w:val="21"/>
        </w:rPr>
        <w:t xml:space="preserve">estacionalidad</w:t>
      </w:r>
      <w:r>
        <w:rPr>
          <w:color w:val="161A25"/>
          <w:sz w:val="21"/>
          <w:szCs w:val="21"/>
        </w:rPr>
        <w:t xml:space="preserve">) y fijar qué </w:t>
      </w:r>
      <w:r>
        <w:rPr>
          <w:b/>
          <w:bCs/>
          <w:color w:val="161A25"/>
          <w:sz w:val="21"/>
          <w:szCs w:val="21"/>
        </w:rPr>
        <w:t xml:space="preserve">horizonte de pronóstico</w:t>
      </w:r>
      <w:r>
        <w:rPr>
          <w:color w:val="161A25"/>
          <w:sz w:val="21"/>
          <w:szCs w:val="21"/>
        </w:rPr>
        <w:t xml:space="preserve"> se necesita y cuál se puede respaldar con los datos.</w:t>
      </w:r>
    </w:p>
    <w:p>
      <w:pPr>
        <w:pStyle w:val="Heading2"/>
        <w:keepNext/>
      </w:pPr>
      <w:r>
        <w:t xml:space="preserve">1.1 Registro del proceso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00"/>
        <w:gridCol w:w="5072"/>
        <w:gridCol w:w="3700"/>
      </w:tblGrid>
      <w:tr>
        <w:trPr>
          <w:cantSplit/>
          <w:tblHeader/>
        </w:trPr>
        <w:tc>
          <w:tcPr>
            <w:tcW w:type="dxa" w:w="12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Paso</w:t>
            </w:r>
          </w:p>
        </w:tc>
        <w:tc>
          <w:tcPr>
            <w:tcW w:type="dxa" w:w="50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Qué se hace</w:t>
            </w:r>
          </w:p>
        </w:tc>
        <w:tc>
          <w:tcPr>
            <w:tcW w:type="dxa" w:w="3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Resultado</w:t>
            </w:r>
          </w:p>
        </w:tc>
      </w:tr>
      <w:tr>
        <w:trPr>
          <w:cantSplit/>
        </w:trPr>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Paso 1</w:t>
            </w:r>
          </w:p>
        </w:tc>
        <w:tc>
          <w:tcPr>
            <w:tcW w:type="dxa" w:w="50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Leer los datos de origen y comprobar que están completos.</w:t>
            </w:r>
          </w:p>
        </w:tc>
        <w:tc>
          <w:tcPr>
            <w:tcW w:type="dxa" w:w="3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 3 series × 33 meses (ene-2024 a sep-2026).</w:t>
            </w:r>
          </w:p>
        </w:tc>
      </w:tr>
      <w:tr>
        <w:trPr>
          <w:cantSplit/>
        </w:trPr>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Paso 2</w:t>
            </w:r>
          </w:p>
        </w:tc>
        <w:tc>
          <w:tcPr>
            <w:tcW w:type="dxa" w:w="50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Elegir las dos series con criterios explícitos.</w:t>
            </w:r>
          </w:p>
        </w:tc>
        <w:tc>
          <w:tcPr>
            <w:tcW w:type="dxa" w:w="3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 Clutch Hierro y Clutch Bronce.</w:t>
            </w:r>
          </w:p>
        </w:tc>
      </w:tr>
      <w:tr>
        <w:trPr>
          <w:cantSplit/>
        </w:trPr>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Paso 3</w:t>
            </w:r>
          </w:p>
        </w:tc>
        <w:tc>
          <w:tcPr>
            <w:tcW w:type="dxa" w:w="50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Validar los datos (8 pruebas).</w:t>
            </w:r>
          </w:p>
        </w:tc>
        <w:tc>
          <w:tcPr>
            <w:tcW w:type="dxa" w:w="3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 7 cumplen · ⚠ 1 observación (dato atípico en Bronce).</w:t>
            </w:r>
          </w:p>
        </w:tc>
      </w:tr>
      <w:tr>
        <w:trPr>
          <w:cantSplit/>
        </w:trPr>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Paso 4</w:t>
            </w:r>
          </w:p>
        </w:tc>
        <w:tc>
          <w:tcPr>
            <w:tcW w:type="dxa" w:w="50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Estimar el </w:t>
            </w:r>
            <w:r>
              <w:rPr>
                <w:b/>
                <w:bCs/>
                <w:color w:val="161A25"/>
                <w:sz w:val="17"/>
                <w:szCs w:val="17"/>
              </w:rPr>
              <w:t xml:space="preserve">nivel</w:t>
            </w:r>
            <w:r>
              <w:rPr>
                <w:color w:val="161A25"/>
                <w:sz w:val="17"/>
                <w:szCs w:val="17"/>
              </w:rPr>
              <w:t xml:space="preserve"> de cada serie.</w:t>
            </w:r>
          </w:p>
        </w:tc>
        <w:tc>
          <w:tcPr>
            <w:tcW w:type="dxa" w:w="3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Hierro: nivel bajando. Bronce: nivel estable.</w:t>
            </w:r>
          </w:p>
        </w:tc>
      </w:tr>
      <w:tr>
        <w:trPr>
          <w:cantSplit/>
        </w:trPr>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Paso 5</w:t>
            </w:r>
          </w:p>
        </w:tc>
        <w:tc>
          <w:tcPr>
            <w:tcW w:type="dxa" w:w="50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Medir la </w:t>
            </w:r>
            <w:r>
              <w:rPr>
                <w:b/>
                <w:bCs/>
                <w:color w:val="161A25"/>
                <w:sz w:val="17"/>
                <w:szCs w:val="17"/>
              </w:rPr>
              <w:t xml:space="preserve">tendencia</w:t>
            </w:r>
            <w:r>
              <w:rPr>
                <w:color w:val="161A25"/>
                <w:sz w:val="17"/>
                <w:szCs w:val="17"/>
              </w:rPr>
              <w:t xml:space="preserve"> y probar si es real.</w:t>
            </w:r>
          </w:p>
        </w:tc>
        <w:tc>
          <w:tcPr>
            <w:tcW w:type="dxa" w:w="3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Hierro: baja significativa. Bronce: sin tendencia.</w:t>
            </w:r>
          </w:p>
        </w:tc>
      </w:tr>
      <w:tr>
        <w:trPr>
          <w:cantSplit/>
        </w:trPr>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Paso 6</w:t>
            </w:r>
          </w:p>
        </w:tc>
        <w:tc>
          <w:tcPr>
            <w:tcW w:type="dxa" w:w="50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Buscar </w:t>
            </w:r>
            <w:r>
              <w:rPr>
                <w:b/>
                <w:bCs/>
                <w:color w:val="161A25"/>
                <w:sz w:val="17"/>
                <w:szCs w:val="17"/>
              </w:rPr>
              <w:t xml:space="preserve">estacionalidad</w:t>
            </w:r>
            <w:r>
              <w:rPr>
                <w:color w:val="161A25"/>
                <w:sz w:val="17"/>
                <w:szCs w:val="17"/>
              </w:rPr>
              <w:t xml:space="preserve"> (4 pruebas).</w:t>
            </w:r>
          </w:p>
        </w:tc>
        <w:tc>
          <w:tcPr>
            <w:tcW w:type="dxa" w:w="3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No se evidencia en ninguna de las dos.</w:t>
            </w:r>
          </w:p>
        </w:tc>
      </w:tr>
      <w:tr>
        <w:trPr>
          <w:cantSplit/>
        </w:trPr>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Paso 7</w:t>
            </w:r>
          </w:p>
        </w:tc>
        <w:tc>
          <w:tcPr>
            <w:tcW w:type="dxa" w:w="50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Identificar el </w:t>
            </w:r>
            <w:r>
              <w:rPr>
                <w:b/>
                <w:bCs/>
                <w:color w:val="161A25"/>
                <w:sz w:val="17"/>
                <w:szCs w:val="17"/>
              </w:rPr>
              <w:t xml:space="preserve">horizonte</w:t>
            </w:r>
            <w:r>
              <w:rPr>
                <w:color w:val="161A25"/>
                <w:sz w:val="17"/>
                <w:szCs w:val="17"/>
              </w:rPr>
              <w:t xml:space="preserve"> requerido.</w:t>
            </w:r>
          </w:p>
        </w:tc>
        <w:tc>
          <w:tcPr>
            <w:tcW w:type="dxa" w:w="3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 mes validado · 3 meses de decisión · 24 meses solo referencia.</w:t>
            </w:r>
          </w:p>
        </w:tc>
      </w:tr>
    </w:tbl>
    <w:p>
      <w:pPr>
        <w:spacing w:after="60"/>
      </w:pPr>
    </w:p>
    <w:p>
      <w:pPr>
        <w:pStyle w:val="Heading2"/>
        <w:keepNext/>
      </w:pPr>
      <w:r>
        <w:t xml:space="preserve">1.2 Paso 1 · Datos de origen</w:t>
      </w:r>
    </w:p>
    <w:p>
      <w:pPr>
        <w:pStyle w:val="ListParagraph"/>
        <w:numPr>
          <w:ilvl w:val="0"/>
          <w:numId w:val="2"/>
        </w:numPr>
        <w:spacing w:after="70" w:line="276"/>
      </w:pPr>
      <w:r>
        <w:rPr>
          <w:b/>
          <w:bCs/>
          <w:color w:val="161A25"/>
          <w:sz w:val="21"/>
          <w:szCs w:val="21"/>
        </w:rPr>
        <w:t xml:space="preserve">Fuente:</w:t>
      </w:r>
      <w:r>
        <w:rPr>
          <w:color w:val="161A25"/>
          <w:sz w:val="21"/>
          <w:szCs w:val="21"/>
        </w:rPr>
        <w:t xml:space="preserve"> libro de Excel “Pronósticos JR Mecanizados” (hoja de datos históricos con tres productos).</w:t>
      </w:r>
    </w:p>
    <w:p>
      <w:pPr>
        <w:pStyle w:val="ListParagraph"/>
        <w:numPr>
          <w:ilvl w:val="0"/>
          <w:numId w:val="2"/>
        </w:numPr>
        <w:spacing w:after="70" w:line="276"/>
      </w:pPr>
      <w:r>
        <w:rPr>
          <w:b/>
          <w:bCs/>
          <w:color w:val="161A25"/>
          <w:sz w:val="21"/>
          <w:szCs w:val="21"/>
        </w:rPr>
        <w:t xml:space="preserve">Periodo:</w:t>
      </w:r>
      <w:r>
        <w:rPr>
          <w:color w:val="161A25"/>
          <w:sz w:val="21"/>
          <w:szCs w:val="21"/>
        </w:rPr>
        <w:t xml:space="preserve"> enero de 2024 a septiembre de 2026, </w:t>
      </w:r>
      <w:r>
        <w:rPr>
          <w:b/>
          <w:bCs/>
          <w:color w:val="161A25"/>
          <w:sz w:val="21"/>
          <w:szCs w:val="21"/>
        </w:rPr>
        <w:t xml:space="preserve">33 meses consecutivos</w:t>
      </w:r>
      <w:r>
        <w:rPr>
          <w:color w:val="161A25"/>
          <w:sz w:val="21"/>
          <w:szCs w:val="21"/>
        </w:rPr>
        <w:t xml:space="preserve"> (2024 y 2025 completos y 2026 hasta septiembre).</w:t>
      </w:r>
    </w:p>
    <w:p>
      <w:pPr>
        <w:pStyle w:val="ListParagraph"/>
        <w:numPr>
          <w:ilvl w:val="0"/>
          <w:numId w:val="2"/>
        </w:numPr>
        <w:spacing w:after="70" w:line="276"/>
      </w:pPr>
      <w:r>
        <w:rPr>
          <w:b/>
          <w:bCs/>
          <w:color w:val="161A25"/>
          <w:sz w:val="21"/>
          <w:szCs w:val="21"/>
        </w:rPr>
        <w:t xml:space="preserve">Variable:</w:t>
      </w:r>
      <w:r>
        <w:rPr>
          <w:color w:val="161A25"/>
          <w:sz w:val="21"/>
          <w:szCs w:val="21"/>
        </w:rPr>
        <w:t xml:space="preserve"> “Venta” mensual en piezas. El libro la usa como la demanda (el gráfico del Excel se titula “Demanda piezas…”).</w:t>
      </w:r>
    </w:p>
    <w:p>
      <w:pPr>
        <w:pStyle w:val="ListParagraph"/>
        <w:numPr>
          <w:ilvl w:val="0"/>
          <w:numId w:val="2"/>
        </w:numPr>
        <w:spacing w:after="70" w:line="276"/>
      </w:pPr>
      <w:r>
        <w:rPr>
          <w:b/>
          <w:bCs/>
          <w:color w:val="161A25"/>
          <w:sz w:val="21"/>
          <w:szCs w:val="21"/>
        </w:rPr>
        <w:t xml:space="preserve">Limitación a tener presente:</w:t>
      </w:r>
      <w:r>
        <w:rPr>
          <w:color w:val="161A25"/>
          <w:sz w:val="21"/>
          <w:szCs w:val="21"/>
        </w:rPr>
        <w:t xml:space="preserve"> la venta registra lo que se vendió, no lo que los clientes habrían comprado si hubiera habido inventario. Si algún mes se dejó de vender por falta de material o de capacidad, la “demanda” real fue mayor que la venta.</w:t>
      </w:r>
    </w:p>
    <w:p>
      <w:pPr>
        <w:pStyle w:val="Heading2"/>
        <w:keepNext/>
      </w:pPr>
      <w:r>
        <w:t xml:space="preserve">1.3 Paso 2 · Selección de las dos series</w:t>
      </w:r>
    </w:p>
    <w:p>
      <w:pPr>
        <w:spacing w:after="80" w:before="0" w:line="288"/>
      </w:pPr>
      <w:r>
        <w:rPr>
          <w:color w:val="161A25"/>
          <w:sz w:val="21"/>
          <w:szCs w:val="21"/>
        </w:rPr>
        <w:t xml:space="preserve">El libro trae tres productos. Se compararon con los mismos criterios y se eligieron dos que, juntos, representan bien el negocio y se comportan de forma distinta (así se ve qué hace cada método en un caso difícil y en uno más tranquilo).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00"/>
        <w:gridCol w:w="2491"/>
        <w:gridCol w:w="2491"/>
        <w:gridCol w:w="2490"/>
      </w:tblGrid>
      <w:tr>
        <w:trPr>
          <w:cantSplit/>
          <w:tblHeader/>
        </w:trPr>
        <w:tc>
          <w:tcPr>
            <w:tcW w:type="dxa" w:w="2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Criterio</w:t>
            </w:r>
          </w:p>
        </w:tc>
        <w:tc>
          <w:tcPr>
            <w:tcW w:type="dxa" w:w="2491"/>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Clutch Hierro</w:t>
            </w:r>
          </w:p>
        </w:tc>
        <w:tc>
          <w:tcPr>
            <w:tcW w:type="dxa" w:w="2491"/>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Clutch Bronce</w:t>
            </w:r>
          </w:p>
        </w:tc>
        <w:tc>
          <w:tcPr>
            <w:tcW w:type="dxa" w:w="249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Acelerador (reserva)</w:t>
            </w:r>
          </w:p>
        </w:tc>
      </w:tr>
      <w:tr>
        <w:trPr>
          <w:cantSplit/>
        </w:trPr>
        <w:tc>
          <w:tcPr>
            <w:tcW w:type="dxa" w:w="2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Meses con dato</w:t>
            </w:r>
          </w:p>
        </w:tc>
        <w:tc>
          <w:tcPr>
            <w:tcW w:type="dxa" w:w="2491"/>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33 de 33</w:t>
            </w:r>
          </w:p>
        </w:tc>
        <w:tc>
          <w:tcPr>
            <w:tcW w:type="dxa" w:w="2491"/>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33 de 33</w:t>
            </w:r>
          </w:p>
        </w:tc>
        <w:tc>
          <w:tcPr>
            <w:tcW w:type="dxa" w:w="249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33 de 33</w:t>
            </w:r>
          </w:p>
        </w:tc>
      </w:tr>
      <w:tr>
        <w:trPr>
          <w:cantSplit/>
        </w:trPr>
        <w:tc>
          <w:tcPr>
            <w:tcW w:type="dxa" w:w="2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Piezas vendidas en 33 meses</w:t>
            </w:r>
          </w:p>
        </w:tc>
        <w:tc>
          <w:tcPr>
            <w:tcW w:type="dxa" w:w="2491"/>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614.700</w:t>
            </w:r>
          </w:p>
        </w:tc>
        <w:tc>
          <w:tcPr>
            <w:tcW w:type="dxa" w:w="2491"/>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161.331</w:t>
            </w:r>
          </w:p>
        </w:tc>
        <w:tc>
          <w:tcPr>
            <w:tcW w:type="dxa" w:w="249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278.280</w:t>
            </w:r>
          </w:p>
        </w:tc>
      </w:tr>
      <w:tr>
        <w:trPr>
          <w:cantSplit/>
        </w:trPr>
        <w:tc>
          <w:tcPr>
            <w:tcW w:type="dxa" w:w="2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Peso en el total de las tres series</w:t>
            </w:r>
          </w:p>
        </w:tc>
        <w:tc>
          <w:tcPr>
            <w:tcW w:type="dxa" w:w="2491"/>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58 %</w:t>
            </w:r>
          </w:p>
        </w:tc>
        <w:tc>
          <w:tcPr>
            <w:tcW w:type="dxa" w:w="2491"/>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15 %</w:t>
            </w:r>
          </w:p>
        </w:tc>
        <w:tc>
          <w:tcPr>
            <w:tcW w:type="dxa" w:w="249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26 %</w:t>
            </w:r>
          </w:p>
        </w:tc>
      </w:tr>
      <w:tr>
        <w:trPr>
          <w:cantSplit/>
        </w:trPr>
        <w:tc>
          <w:tcPr>
            <w:tcW w:type="dxa" w:w="2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Variabilidad (CV: desviación ÷ promedio)</w:t>
            </w:r>
          </w:p>
        </w:tc>
        <w:tc>
          <w:tcPr>
            <w:tcW w:type="dxa" w:w="2491"/>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48 %</w:t>
            </w:r>
          </w:p>
        </w:tc>
        <w:tc>
          <w:tcPr>
            <w:tcW w:type="dxa" w:w="2491"/>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38 %</w:t>
            </w:r>
          </w:p>
        </w:tc>
        <w:tc>
          <w:tcPr>
            <w:tcW w:type="dxa" w:w="249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41 %</w:t>
            </w:r>
          </w:p>
        </w:tc>
      </w:tr>
      <w:tr>
        <w:trPr>
          <w:cantSplit/>
        </w:trPr>
        <w:tc>
          <w:tcPr>
            <w:tcW w:type="dxa" w:w="2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Tendencia (valor t de la pendiente)</w:t>
            </w:r>
          </w:p>
        </w:tc>
        <w:tc>
          <w:tcPr>
            <w:tcW w:type="dxa" w:w="2491"/>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−2,91</w:t>
            </w:r>
          </w:p>
        </w:tc>
        <w:tc>
          <w:tcPr>
            <w:tcW w:type="dxa" w:w="2491"/>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−0,43</w:t>
            </w:r>
          </w:p>
        </w:tc>
        <w:tc>
          <w:tcPr>
            <w:tcW w:type="dxa" w:w="249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−2,20</w:t>
            </w:r>
          </w:p>
        </w:tc>
      </w:tr>
      <w:tr>
        <w:trPr>
          <w:cantSplit/>
        </w:trPr>
        <w:tc>
          <w:tcPr>
            <w:tcW w:type="dxa" w:w="2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Datos atípicos</w:t>
            </w:r>
          </w:p>
        </w:tc>
        <w:tc>
          <w:tcPr>
            <w:tcW w:type="dxa" w:w="2491"/>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Ninguno</w:t>
            </w:r>
          </w:p>
        </w:tc>
        <w:tc>
          <w:tcPr>
            <w:tcW w:type="dxa" w:w="2491"/>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 (may-2025)</w:t>
            </w:r>
          </w:p>
        </w:tc>
        <w:tc>
          <w:tcPr>
            <w:tcW w:type="dxa" w:w="249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Ninguno</w:t>
            </w:r>
          </w:p>
        </w:tc>
      </w:tr>
      <w:tr>
        <w:trPr>
          <w:cantSplit/>
        </w:trPr>
        <w:tc>
          <w:tcPr>
            <w:tcW w:type="dxa" w:w="2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Comportamiento</w:t>
            </w:r>
          </w:p>
        </w:tc>
        <w:tc>
          <w:tcPr>
            <w:tcW w:type="dxa" w:w="2491"/>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Cae con fuerza</w:t>
            </w:r>
          </w:p>
        </w:tc>
        <w:tc>
          <w:tcPr>
            <w:tcW w:type="dxa" w:w="2491"/>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Estable, con altibajos</w:t>
            </w:r>
          </w:p>
        </w:tc>
        <w:tc>
          <w:tcPr>
            <w:tcW w:type="dxa" w:w="249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Cae suavemente</w:t>
            </w:r>
          </w:p>
        </w:tc>
      </w:tr>
    </w:tbl>
    <w:p>
      <w:pPr>
        <w:spacing w:after="60"/>
      </w:pPr>
    </w:p>
    <w:p>
      <w:pPr>
        <w:pStyle w:val="ListParagraph"/>
        <w:numPr>
          <w:ilvl w:val="0"/>
          <w:numId w:val="2"/>
        </w:numPr>
        <w:spacing w:after="70" w:line="276"/>
      </w:pPr>
      <w:r>
        <w:rPr>
          <w:b/>
          <w:bCs/>
          <w:color w:val="161A25"/>
          <w:sz w:val="21"/>
          <w:szCs w:val="21"/>
        </w:rPr>
        <w:t xml:space="preserve">Clutch Hierro</w:t>
      </w:r>
      <w:r>
        <w:rPr>
          <w:color w:val="161A25"/>
          <w:sz w:val="21"/>
          <w:szCs w:val="21"/>
        </w:rPr>
        <w:t xml:space="preserve"> se elige porque es el </w:t>
      </w:r>
      <w:r>
        <w:rPr>
          <w:b/>
          <w:bCs/>
          <w:color w:val="161A25"/>
          <w:sz w:val="21"/>
          <w:szCs w:val="21"/>
        </w:rPr>
        <w:t xml:space="preserve">producto de mayor peso</w:t>
      </w:r>
      <w:r>
        <w:rPr>
          <w:color w:val="161A25"/>
          <w:sz w:val="21"/>
          <w:szCs w:val="21"/>
        </w:rPr>
        <w:t xml:space="preserve"> (58 % de las piezas) y tiene la </w:t>
      </w:r>
      <w:r>
        <w:rPr>
          <w:b/>
          <w:bCs/>
          <w:color w:val="161A25"/>
          <w:sz w:val="21"/>
          <w:szCs w:val="21"/>
        </w:rPr>
        <w:t xml:space="preserve">tendencia más clara</w:t>
      </w:r>
      <w:r>
        <w:rPr>
          <w:color w:val="161A25"/>
          <w:sz w:val="21"/>
          <w:szCs w:val="21"/>
        </w:rPr>
        <w:t xml:space="preserve">: es el caso donde un promedio móvil más tiene que esforzarse.</w:t>
      </w:r>
    </w:p>
    <w:p>
      <w:pPr>
        <w:pStyle w:val="ListParagraph"/>
        <w:numPr>
          <w:ilvl w:val="0"/>
          <w:numId w:val="2"/>
        </w:numPr>
        <w:spacing w:after="70" w:line="276"/>
      </w:pPr>
      <w:r>
        <w:rPr>
          <w:b/>
          <w:bCs/>
          <w:color w:val="161A25"/>
          <w:sz w:val="21"/>
          <w:szCs w:val="21"/>
        </w:rPr>
        <w:t xml:space="preserve">Clutch Bronce</w:t>
      </w:r>
      <w:r>
        <w:rPr>
          <w:color w:val="161A25"/>
          <w:sz w:val="21"/>
          <w:szCs w:val="21"/>
        </w:rPr>
        <w:t xml:space="preserve"> se elige porque es el </w:t>
      </w:r>
      <w:r>
        <w:rPr>
          <w:b/>
          <w:bCs/>
          <w:color w:val="161A25"/>
          <w:sz w:val="21"/>
          <w:szCs w:val="21"/>
        </w:rPr>
        <w:t xml:space="preserve">contraste</w:t>
      </w:r>
      <w:r>
        <w:rPr>
          <w:color w:val="161A25"/>
          <w:sz w:val="21"/>
          <w:szCs w:val="21"/>
        </w:rPr>
        <w:t xml:space="preserve">: nivel estable, sin tendencia, con la menor variabilidad de las tres, y una línea de producto distinta (bronce).</w:t>
      </w:r>
    </w:p>
    <w:p>
      <w:pPr>
        <w:pStyle w:val="ListParagraph"/>
        <w:numPr>
          <w:ilvl w:val="0"/>
          <w:numId w:val="2"/>
        </w:numPr>
        <w:spacing w:after="70" w:line="276"/>
      </w:pPr>
      <w:r>
        <w:rPr>
          <w:b/>
          <w:bCs/>
          <w:color w:val="161A25"/>
          <w:sz w:val="21"/>
          <w:szCs w:val="21"/>
        </w:rPr>
        <w:t xml:space="preserve">Acelerador</w:t>
      </w:r>
      <w:r>
        <w:rPr>
          <w:color w:val="161A25"/>
          <w:sz w:val="21"/>
          <w:szCs w:val="21"/>
        </w:rPr>
        <w:t xml:space="preserve"> se deja como reserva: se comporta como Hierro, pero más suave (tendencia decreciente, sin atípicos), así que aporta menos información nueva. Sus cifras están en las tablas para quien quiera compararlo.</w:t>
      </w:r>
    </w:p>
    <w:p>
      <w:pPr>
        <w:pStyle w:val="Heading2"/>
        <w:keepNext/>
      </w:pPr>
      <w:r>
        <w:t xml:space="preserve">1.4 Paso 3 · Validación de los datos</w:t>
      </w:r>
    </w:p>
    <w:p>
      <w:pPr>
        <w:spacing w:after="80" w:before="0" w:line="288"/>
      </w:pPr>
      <w:r>
        <w:rPr>
          <w:color w:val="161A25"/>
          <w:sz w:val="21"/>
          <w:szCs w:val="21"/>
        </w:rPr>
        <w:t xml:space="preserve">Se aplicaron las mismas ocho pruebas a las dos series. Una serie se considera </w:t>
      </w:r>
      <w:r>
        <w:rPr>
          <w:b/>
          <w:bCs/>
          <w:color w:val="161A25"/>
          <w:sz w:val="21"/>
          <w:szCs w:val="21"/>
        </w:rPr>
        <w:t xml:space="preserve">validada</w:t>
      </w:r>
      <w:r>
        <w:rPr>
          <w:color w:val="161A25"/>
          <w:sz w:val="21"/>
          <w:szCs w:val="21"/>
        </w:rPr>
        <w:t xml:space="preserve"> si supera todas las pruebas o si cada observación queda documentada y justificada.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672"/>
        <w:gridCol w:w="2000"/>
        <w:gridCol w:w="2200"/>
      </w:tblGrid>
      <w:tr>
        <w:trPr>
          <w:cantSplit/>
          <w:tblHeader/>
        </w:trPr>
        <w:tc>
          <w:tcPr>
            <w:tcW w:type="dxa" w:w="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N.º</w:t>
            </w:r>
          </w:p>
        </w:tc>
        <w:tc>
          <w:tcPr>
            <w:tcW w:type="dxa" w:w="2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Prueba</w:t>
            </w:r>
          </w:p>
        </w:tc>
        <w:tc>
          <w:tcPr>
            <w:tcW w:type="dxa" w:w="26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Cómo se hizo</w:t>
            </w:r>
          </w:p>
        </w:tc>
        <w:tc>
          <w:tcPr>
            <w:tcW w:type="dxa" w:w="20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Clutch Hierro</w:t>
            </w:r>
          </w:p>
        </w:tc>
        <w:tc>
          <w:tcPr>
            <w:tcW w:type="dxa" w:w="22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Clutch Bronce</w:t>
            </w:r>
          </w:p>
        </w:tc>
      </w:tr>
      <w:tr>
        <w:trPr>
          <w:cantSplit/>
        </w:trPr>
        <w:tc>
          <w:tcPr>
            <w:tcW w:type="dxa" w:w="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V1</w:t>
            </w:r>
          </w:p>
        </w:tc>
        <w:tc>
          <w:tcPr>
            <w:tcW w:type="dxa" w:w="2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Completitud</w:t>
            </w:r>
          </w:p>
        </w:tc>
        <w:tc>
          <w:tcPr>
            <w:tcW w:type="dxa" w:w="26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Contar los meses y buscar vacíos.</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33 de 33</w:t>
            </w:r>
          </w:p>
        </w:tc>
        <w:tc>
          <w:tcPr>
            <w:tcW w:type="dxa" w:w="2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33 de 33</w:t>
            </w:r>
          </w:p>
        </w:tc>
      </w:tr>
      <w:tr>
        <w:trPr>
          <w:cantSplit/>
        </w:trPr>
        <w:tc>
          <w:tcPr>
            <w:tcW w:type="dxa" w:w="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V2</w:t>
            </w:r>
          </w:p>
        </w:tc>
        <w:tc>
          <w:tcPr>
            <w:tcW w:type="dxa" w:w="2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Calendario</w:t>
            </w:r>
          </w:p>
        </w:tc>
        <w:tc>
          <w:tcPr>
            <w:tcW w:type="dxa" w:w="26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Meses en orden, sin repetidos ni saltos.</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Cumple</w:t>
            </w:r>
          </w:p>
        </w:tc>
        <w:tc>
          <w:tcPr>
            <w:tcW w:type="dxa" w:w="2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Cumple</w:t>
            </w:r>
          </w:p>
        </w:tc>
      </w:tr>
      <w:tr>
        <w:trPr>
          <w:cantSplit/>
        </w:trPr>
        <w:tc>
          <w:tcPr>
            <w:tcW w:type="dxa" w:w="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V3</w:t>
            </w:r>
          </w:p>
        </w:tc>
        <w:tc>
          <w:tcPr>
            <w:tcW w:type="dxa" w:w="2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Valores válidos</w:t>
            </w:r>
          </w:p>
        </w:tc>
        <w:tc>
          <w:tcPr>
            <w:tcW w:type="dxa" w:w="26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Todos numéricos y mayores que cero.</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Mín. 3.000</w:t>
            </w:r>
          </w:p>
        </w:tc>
        <w:tc>
          <w:tcPr>
            <w:tcW w:type="dxa" w:w="2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Mín. 1.500</w:t>
            </w:r>
          </w:p>
        </w:tc>
      </w:tr>
      <w:tr>
        <w:trPr>
          <w:cantSplit/>
        </w:trPr>
        <w:tc>
          <w:tcPr>
            <w:tcW w:type="dxa" w:w="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V4</w:t>
            </w:r>
          </w:p>
        </w:tc>
        <w:tc>
          <w:tcPr>
            <w:tcW w:type="dxa" w:w="2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Unidad y precisión</w:t>
            </w:r>
          </w:p>
        </w:tc>
        <w:tc>
          <w:tcPr>
            <w:tcW w:type="dxa" w:w="26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Piezas enteras; ver si algún valor tiene otra precisión.</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Todos múltiplos de 100</w:t>
            </w:r>
          </w:p>
        </w:tc>
        <w:tc>
          <w:tcPr>
            <w:tcW w:type="dxa" w:w="2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Sep-2025 = 7.521 (único que no termina en 0)</w:t>
            </w:r>
          </w:p>
        </w:tc>
      </w:tr>
      <w:tr>
        <w:trPr>
          <w:cantSplit/>
        </w:trPr>
        <w:tc>
          <w:tcPr>
            <w:tcW w:type="dxa" w:w="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V5</w:t>
            </w:r>
          </w:p>
        </w:tc>
        <w:tc>
          <w:tcPr>
            <w:tcW w:type="dxa" w:w="2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Cuadre con el libro</w:t>
            </w:r>
          </w:p>
        </w:tc>
        <w:tc>
          <w:tcPr>
            <w:tcW w:type="dxa" w:w="26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Sumar cada año y comparar con la tabla de totales del Excel.</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292.950 · 196.600 · 125.150</w:t>
            </w:r>
          </w:p>
        </w:tc>
        <w:tc>
          <w:tcPr>
            <w:tcW w:type="dxa" w:w="2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59.460 · 59.121 · 42.750</w:t>
            </w:r>
          </w:p>
        </w:tc>
      </w:tr>
      <w:tr>
        <w:trPr>
          <w:cantSplit/>
        </w:trPr>
        <w:tc>
          <w:tcPr>
            <w:tcW w:type="dxa" w:w="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V6</w:t>
            </w:r>
          </w:p>
        </w:tc>
        <w:tc>
          <w:tcPr>
            <w:tcW w:type="dxa" w:w="2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Datos atípicos</w:t>
            </w:r>
          </w:p>
        </w:tc>
        <w:tc>
          <w:tcPr>
            <w:tcW w:type="dxa" w:w="26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Regla de 1,5 × rango intercuartílico y |z| &gt; 2,5.</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Ninguno</w:t>
            </w:r>
          </w:p>
        </w:tc>
        <w:tc>
          <w:tcPr>
            <w:tcW w:type="dxa" w:w="2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may-2025 = 9.700 (z = 2,56)</w:t>
            </w:r>
          </w:p>
        </w:tc>
      </w:tr>
      <w:tr>
        <w:trPr>
          <w:cantSplit/>
        </w:trPr>
        <w:tc>
          <w:tcPr>
            <w:tcW w:type="dxa" w:w="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V7</w:t>
            </w:r>
          </w:p>
        </w:tc>
        <w:tc>
          <w:tcPr>
            <w:tcW w:type="dxa" w:w="2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Comparabilidad 2026</w:t>
            </w:r>
          </w:p>
        </w:tc>
        <w:tc>
          <w:tcPr>
            <w:tcW w:type="dxa" w:w="26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Comparar el mismo periodo (ene-sep) y no el año completo.</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Se usa ene-sep</w:t>
            </w:r>
          </w:p>
        </w:tc>
        <w:tc>
          <w:tcPr>
            <w:tcW w:type="dxa" w:w="2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Se usa ene-sep</w:t>
            </w:r>
          </w:p>
        </w:tc>
      </w:tr>
      <w:tr>
        <w:trPr>
          <w:cantSplit/>
        </w:trPr>
        <w:tc>
          <w:tcPr>
            <w:tcW w:type="dxa" w:w="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V8</w:t>
            </w:r>
          </w:p>
        </w:tc>
        <w:tc>
          <w:tcPr>
            <w:tcW w:type="dxa" w:w="2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Reproducibilidad</w:t>
            </w:r>
          </w:p>
        </w:tc>
        <w:tc>
          <w:tcPr>
            <w:tcW w:type="dxa" w:w="26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Recalcular los promedios móviles y comparar con el Excel.</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Coinciden</w:t>
            </w:r>
          </w:p>
        </w:tc>
        <w:tc>
          <w:tcPr>
            <w:tcW w:type="dxa" w:w="2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Coinciden</w:t>
            </w:r>
          </w:p>
        </w:tc>
      </w:tr>
    </w:tbl>
    <w:p>
      <w:pPr>
        <w:spacing w:after="60"/>
      </w:pPr>
    </w:p>
    <w:p>
      <w:pPr>
        <w:pStyle w:val="Heading3"/>
        <w:keepNext/>
      </w:pPr>
      <w:r>
        <w:t xml:space="preserve">Qué se decidió con las dos observaciones</w:t>
      </w:r>
    </w:p>
    <w:p>
      <w:pPr>
        <w:pStyle w:val="ListParagraph"/>
        <w:numPr>
          <w:ilvl w:val="0"/>
          <w:numId w:val="2"/>
        </w:numPr>
        <w:spacing w:after="70" w:line="276"/>
      </w:pPr>
      <w:r>
        <w:rPr>
          <w:b/>
          <w:bCs/>
          <w:color w:val="161A25"/>
          <w:sz w:val="21"/>
          <w:szCs w:val="21"/>
        </w:rPr>
        <w:t xml:space="preserve">V4 · Bronce, septiembre de 2025 (7.521):</w:t>
      </w:r>
      <w:r>
        <w:rPr>
          <w:color w:val="161A25"/>
          <w:sz w:val="21"/>
          <w:szCs w:val="21"/>
        </w:rPr>
        <w:t xml:space="preserve"> todos los demás valores de las series terminan en cero; este no. No hay razón para dudar de él, pero conviene confirmarlo con la factura o el reporte de producción. </w:t>
      </w:r>
      <w:r>
        <w:rPr>
          <w:b/>
          <w:bCs/>
          <w:color w:val="161A25"/>
          <w:sz w:val="21"/>
          <w:szCs w:val="21"/>
        </w:rPr>
        <w:t xml:space="preserve">Se conserva.</w:t>
      </w:r>
    </w:p>
    <w:p>
      <w:pPr>
        <w:pStyle w:val="ListParagraph"/>
        <w:numPr>
          <w:ilvl w:val="0"/>
          <w:numId w:val="2"/>
        </w:numPr>
        <w:spacing w:after="70" w:line="276"/>
      </w:pPr>
      <w:r>
        <w:rPr>
          <w:b/>
          <w:bCs/>
          <w:color w:val="161A25"/>
          <w:sz w:val="21"/>
          <w:szCs w:val="21"/>
        </w:rPr>
        <w:t xml:space="preserve">V6 · Bronce, mayo de 2025 (9.700):</w:t>
      </w:r>
      <w:r>
        <w:rPr>
          <w:color w:val="161A25"/>
          <w:sz w:val="21"/>
          <w:szCs w:val="21"/>
        </w:rPr>
        <w:t xml:space="preserve"> es el valor más alto de la serie y queda por encima del límite estadístico (9.363). No parece un error: en noviembre de 2024 hubo 9.100. Se </w:t>
      </w:r>
      <w:r>
        <w:rPr>
          <w:b/>
          <w:bCs/>
          <w:color w:val="161A25"/>
          <w:sz w:val="21"/>
          <w:szCs w:val="21"/>
        </w:rPr>
        <w:t xml:space="preserve">conserva</w:t>
      </w:r>
      <w:r>
        <w:rPr>
          <w:color w:val="161A25"/>
          <w:sz w:val="21"/>
          <w:szCs w:val="21"/>
        </w:rPr>
        <w:t xml:space="preserve"> como una venta real excepcional (por ejemplo, un pedido grande). Si JR confirma que fue un error o un pedido que no se repetirá, hay que corregirlo y recalcular.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none" w:color="FFFFFF" w:sz="0"/>
              <w:left w:val="single" w:color="303B8F" w:sz="24"/>
              <w:bottom w:val="none" w:color="FFFFFF" w:sz="0"/>
              <w:right w:val="none" w:color="FFFFFF" w:sz="0"/>
            </w:tcBorders>
            <w:shd w:fill="EEF0F8" w:val="clear"/>
            <w:tcMar>
              <w:top w:type="dxa" w:w="110"/>
              <w:left w:type="dxa" w:w="200"/>
              <w:bottom w:type="dxa" w:w="90"/>
              <w:right w:type="dxa" w:w="160"/>
            </w:tcMar>
          </w:tcPr>
          <w:p>
            <w:pPr>
              <w:spacing w:after="60" w:line="270"/>
            </w:pPr>
            <w:r>
              <w:rPr>
                <w:b/>
                <w:bCs/>
                <w:color w:val="303B8F"/>
                <w:sz w:val="20"/>
                <w:szCs w:val="20"/>
              </w:rPr>
              <w:t xml:space="preserve">Estado de validación  </w:t>
            </w:r>
            <w:r>
              <w:rPr>
                <w:b/>
                <w:bCs/>
                <w:color w:val="161A25"/>
                <w:sz w:val="20"/>
                <w:szCs w:val="20"/>
              </w:rPr>
              <w:t xml:space="preserve">Clutch Hierro: validada.</w:t>
            </w:r>
            <w:r>
              <w:rPr>
                <w:color w:val="161A25"/>
                <w:sz w:val="20"/>
                <w:szCs w:val="20"/>
              </w:rPr>
              <w:t xml:space="preserve"> </w:t>
            </w:r>
            <w:r>
              <w:rPr>
                <w:b/>
                <w:bCs/>
                <w:color w:val="161A25"/>
                <w:sz w:val="20"/>
                <w:szCs w:val="20"/>
              </w:rPr>
              <w:t xml:space="preserve">Clutch Bronce: validada con dos observaciones documentadas</w:t>
            </w:r>
            <w:r>
              <w:rPr>
                <w:color w:val="161A25"/>
                <w:sz w:val="20"/>
                <w:szCs w:val="20"/>
              </w:rPr>
              <w:t xml:space="preserve"> (V4 y V6), pendientes de confirmación con JR.</w:t>
            </w:r>
          </w:p>
        </w:tc>
      </w:tr>
    </w:tbl>
    <w:p>
      <w:pPr>
        <w:pStyle w:val="Heading2"/>
        <w:keepNext/>
      </w:pPr>
      <w:r>
        <w:t xml:space="preserve">1.5 Serie 1 · Mico Clutch Hierro Tornillo en hierro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rPr>
          <w:cantSplit/>
          <w:tblHeader/>
        </w:trPr>
        <w:tc>
          <w:tcPr>
            <w:tcW w:type="dxa" w:w="30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Ficha de la serie</w:t>
            </w:r>
          </w:p>
        </w:tc>
        <w:tc>
          <w:tcPr>
            <w:tcW w:type="dxa" w:w="69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Dato</w:t>
            </w:r>
          </w:p>
        </w:tc>
      </w:tr>
      <w:tr>
        <w:trPr>
          <w:cantSplit/>
        </w:trPr>
        <w:tc>
          <w:tcPr>
            <w:tcW w:type="dxa" w:w="3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Producto</w:t>
            </w:r>
          </w:p>
        </w:tc>
        <w:tc>
          <w:tcPr>
            <w:tcW w:type="dxa" w:w="69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Mico Clutch Hierro Tornillo en hierro</w:t>
            </w:r>
          </w:p>
        </w:tc>
      </w:tr>
      <w:tr>
        <w:trPr>
          <w:cantSplit/>
        </w:trPr>
        <w:tc>
          <w:tcPr>
            <w:tcW w:type="dxa" w:w="3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Periodo y unidad</w:t>
            </w:r>
          </w:p>
        </w:tc>
        <w:tc>
          <w:tcPr>
            <w:tcW w:type="dxa" w:w="69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ene-2024 a sep-2026 · 33 meses · piezas</w:t>
            </w:r>
          </w:p>
        </w:tc>
      </w:tr>
      <w:tr>
        <w:trPr>
          <w:cantSplit/>
        </w:trPr>
        <w:tc>
          <w:tcPr>
            <w:tcW w:type="dxa" w:w="3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Promedio · mediana</w:t>
            </w:r>
          </w:p>
        </w:tc>
        <w:tc>
          <w:tcPr>
            <w:tcW w:type="dxa" w:w="69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18.627 · 18.800 piezas por mes</w:t>
            </w:r>
          </w:p>
        </w:tc>
      </w:tr>
      <w:tr>
        <w:trPr>
          <w:cantSplit/>
        </w:trPr>
        <w:tc>
          <w:tcPr>
            <w:tcW w:type="dxa" w:w="3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Desviación estándar · variabilidad (CV)</w:t>
            </w:r>
          </w:p>
        </w:tc>
        <w:tc>
          <w:tcPr>
            <w:tcW w:type="dxa" w:w="69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8.884 · 48 %</w:t>
            </w:r>
          </w:p>
        </w:tc>
      </w:tr>
      <w:tr>
        <w:trPr>
          <w:cantSplit/>
        </w:trPr>
        <w:tc>
          <w:tcPr>
            <w:tcW w:type="dxa" w:w="3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Mínimo · máximo</w:t>
            </w:r>
          </w:p>
        </w:tc>
        <w:tc>
          <w:tcPr>
            <w:tcW w:type="dxa" w:w="69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3.000 (May 2026) · 35.400 (Abr 2024)</w:t>
            </w:r>
          </w:p>
        </w:tc>
      </w:tr>
      <w:tr>
        <w:trPr>
          <w:cantSplit/>
        </w:trPr>
        <w:tc>
          <w:tcPr>
            <w:tcW w:type="dxa" w:w="3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Estado de validación</w:t>
            </w:r>
          </w:p>
        </w:tc>
        <w:tc>
          <w:tcPr>
            <w:tcW w:type="dxa" w:w="69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 Validada (V1–V8)</w:t>
            </w:r>
          </w:p>
        </w:tc>
      </w:tr>
    </w:tbl>
    <w:p>
      <w:pPr>
        <w:spacing w:after="40"/>
      </w:pPr>
    </w:p>
    <w:p>
      <w:pPr>
        <w:spacing w:after="100"/>
        <w:jc w:val="center"/>
      </w:pPr>
      <w:r>
        <w:drawing>
          <wp:inline distT="0" distB="0" distL="0" distR="0">
            <wp:extent cx="6096000" cy="2724150"/>
            <wp:effectExtent t="0" r="0" b="0" l="0"/>
            <wp:docPr id="1" name="fig_serie_hierro.png" descr="fig_serie_hierro.png" title="fig_serie_hier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24150"/>
                    </a:xfrm>
                    <a:prstGeom prst="rect">
                      <a:avLst/>
                    </a:prstGeom>
                  </pic:spPr>
                </pic:pic>
              </a:graphicData>
            </a:graphic>
          </wp:inline>
        </w:drawing>
      </w:r>
    </w:p>
    <w:p>
      <w:pPr>
        <w:spacing w:after="120" w:before="0" w:line="288"/>
        <w:jc w:val="center"/>
      </w:pPr>
      <w:r>
        <w:rPr>
          <w:color w:val="687083"/>
          <w:sz w:val="17"/>
          <w:szCs w:val="17"/>
        </w:rPr>
        <w:t xml:space="preserve">Figura: ventas reales (azul), tendencia lineal (naranja) y promedio móvil de 3 meses (gris).</w:t>
      </w:r>
    </w:p>
    <w:p>
      <w:pPr>
        <w:pStyle w:val="Heading3"/>
        <w:keepNext/>
      </w:pPr>
      <w:r>
        <w:t xml:space="preserve">Paso 4 · Nivel</w:t>
      </w:r>
    </w:p>
    <w:p>
      <w:pPr>
        <w:spacing w:after="120" w:before="0" w:line="288"/>
      </w:pPr>
      <w:r>
        <w:rPr>
          <w:b/>
          <w:bCs/>
          <w:color w:val="161A25"/>
          <w:sz w:val="21"/>
          <w:szCs w:val="21"/>
        </w:rPr>
        <w:t xml:space="preserve">Qué es el nivel:</w:t>
      </w:r>
      <w:r>
        <w:rPr>
          <w:color w:val="161A25"/>
          <w:sz w:val="21"/>
          <w:szCs w:val="21"/>
        </w:rPr>
        <w:t xml:space="preserve"> el valor “normal” alrededor del cual se mueven las ventas una vez se quitan los altibajos. Si el nivel cambia con el tiempo, no sirve un solo promedio de toda la historia.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500"/>
        <w:gridCol w:w="3236"/>
        <w:gridCol w:w="3236"/>
      </w:tblGrid>
      <w:tr>
        <w:trPr>
          <w:cantSplit/>
          <w:tblHeader/>
        </w:trPr>
        <w:tc>
          <w:tcPr>
            <w:tcW w:type="dxa" w:w="3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Medida</w:t>
            </w:r>
          </w:p>
        </w:tc>
        <w:tc>
          <w:tcPr>
            <w:tcW w:type="dxa" w:w="32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Valor</w:t>
            </w:r>
          </w:p>
        </w:tc>
        <w:tc>
          <w:tcPr>
            <w:tcW w:type="dxa" w:w="32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Lectura</w:t>
            </w:r>
          </w:p>
        </w:tc>
      </w:tr>
      <w:tr>
        <w:trPr>
          <w:cantSplit/>
        </w:trPr>
        <w:tc>
          <w:tcPr>
            <w:tcW w:type="dxa" w:w="3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Promedio de 2024</w:t>
            </w:r>
          </w:p>
        </w:tc>
        <w:tc>
          <w:tcPr>
            <w:tcW w:type="dxa" w:w="32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24.413 piezas/mes</w:t>
            </w:r>
          </w:p>
        </w:tc>
        <w:tc>
          <w:tcPr>
            <w:tcW w:type="dxa" w:w="32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Nivel de partida</w:t>
            </w:r>
          </w:p>
        </w:tc>
      </w:tr>
      <w:tr>
        <w:trPr>
          <w:cantSplit/>
        </w:trPr>
        <w:tc>
          <w:tcPr>
            <w:tcW w:type="dxa" w:w="3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Promedio de 2025</w:t>
            </w:r>
          </w:p>
        </w:tc>
        <w:tc>
          <w:tcPr>
            <w:tcW w:type="dxa" w:w="32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16.383 piezas/mes</w:t>
            </w:r>
          </w:p>
        </w:tc>
        <w:tc>
          <w:tcPr>
            <w:tcW w:type="dxa" w:w="32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−33 % frente a 2024</w:t>
            </w:r>
          </w:p>
        </w:tc>
      </w:tr>
      <w:tr>
        <w:trPr>
          <w:cantSplit/>
        </w:trPr>
        <w:tc>
          <w:tcPr>
            <w:tcW w:type="dxa" w:w="3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Promedio ene-sep 2026</w:t>
            </w:r>
          </w:p>
        </w:tc>
        <w:tc>
          <w:tcPr>
            <w:tcW w:type="dxa" w:w="32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13.906 piezas/mes</w:t>
            </w:r>
          </w:p>
        </w:tc>
        <w:tc>
          <w:tcPr>
            <w:tcW w:type="dxa" w:w="32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−15 % frente a 2025</w:t>
            </w:r>
          </w:p>
        </w:tc>
      </w:tr>
      <w:tr>
        <w:trPr>
          <w:cantSplit/>
        </w:trPr>
        <w:tc>
          <w:tcPr>
            <w:tcW w:type="dxa" w:w="3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Últimos 12 · 6 · 3 meses</w:t>
            </w:r>
          </w:p>
        </w:tc>
        <w:tc>
          <w:tcPr>
            <w:tcW w:type="dxa" w:w="32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14.204 · 11.425 · 9.433</w:t>
            </w:r>
          </w:p>
        </w:tc>
        <w:tc>
          <w:tcPr>
            <w:tcW w:type="dxa" w:w="32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Cuanto más reciente, más bajo</w:t>
            </w:r>
          </w:p>
        </w:tc>
      </w:tr>
    </w:tbl>
    <w:p>
      <w:pPr>
        <w:spacing w:after="120" w:before="80" w:line="288"/>
      </w:pPr>
      <w:r>
        <w:rPr>
          <w:b/>
          <w:bCs/>
          <w:color w:val="161A25"/>
          <w:sz w:val="21"/>
          <w:szCs w:val="21"/>
        </w:rPr>
        <w:t xml:space="preserve">Resultado:</w:t>
      </w:r>
      <w:r>
        <w:rPr>
          <w:color w:val="161A25"/>
          <w:sz w:val="21"/>
          <w:szCs w:val="21"/>
        </w:rPr>
        <w:t xml:space="preserve"> el nivel </w:t>
      </w:r>
      <w:r>
        <w:rPr>
          <w:b/>
          <w:bCs/>
          <w:color w:val="161A25"/>
          <w:sz w:val="21"/>
          <w:szCs w:val="21"/>
        </w:rPr>
        <w:t xml:space="preserve">no es constante</w:t>
      </w:r>
      <w:r>
        <w:rPr>
          <w:color w:val="161A25"/>
          <w:sz w:val="21"/>
          <w:szCs w:val="21"/>
        </w:rPr>
        <w:t xml:space="preserve">: bajó de unas 24.400 a unas 11.400 piezas por mes. </w:t>
      </w:r>
      <w:r>
        <w:rPr>
          <w:b/>
          <w:bCs/>
          <w:color w:val="161A25"/>
          <w:sz w:val="21"/>
          <w:szCs w:val="21"/>
        </w:rPr>
        <w:t xml:space="preserve">Nivel actual de referencia: entre 9.400 y 14.200 piezas por mes</w:t>
      </w:r>
      <w:r>
        <w:rPr>
          <w:color w:val="161A25"/>
          <w:sz w:val="21"/>
          <w:szCs w:val="21"/>
        </w:rPr>
        <w:t xml:space="preserve"> (promedio de los últimos 3 y de los últimos 12 meses); la mejor estimación puntual es el promedio de los últimos 6 meses, ≈ </w:t>
      </w:r>
      <w:r>
        <w:rPr>
          <w:b/>
          <w:bCs/>
          <w:color w:val="161A25"/>
          <w:sz w:val="21"/>
          <w:szCs w:val="21"/>
        </w:rPr>
        <w:t xml:space="preserve">11.400</w:t>
      </w:r>
      <w:r>
        <w:rPr>
          <w:color w:val="161A25"/>
          <w:sz w:val="21"/>
          <w:szCs w:val="21"/>
        </w:rPr>
        <w:t xml:space="preserve">.</w:t>
      </w:r>
    </w:p>
    <w:p>
      <w:pPr>
        <w:pStyle w:val="Heading3"/>
        <w:keepNext/>
      </w:pPr>
      <w:r>
        <w:t xml:space="preserve">Paso 5 · Tendencia</w:t>
      </w:r>
    </w:p>
    <w:p>
      <w:pPr>
        <w:spacing w:after="120" w:before="0" w:line="288"/>
      </w:pPr>
      <w:r>
        <w:rPr>
          <w:b/>
          <w:bCs/>
          <w:color w:val="161A25"/>
          <w:sz w:val="21"/>
          <w:szCs w:val="21"/>
        </w:rPr>
        <w:t xml:space="preserve">Qué se hizo:</w:t>
      </w:r>
      <w:r>
        <w:rPr>
          <w:color w:val="161A25"/>
          <w:sz w:val="21"/>
          <w:szCs w:val="21"/>
        </w:rPr>
        <w:t xml:space="preserve"> se ajustó una recta a las 33 ventas (mínimos cuadrados) y se midió si su pendiente es distinta de cero con un margen de seguridad razonable.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000"/>
        <w:gridCol w:w="2986"/>
        <w:gridCol w:w="2986"/>
      </w:tblGrid>
      <w:tr>
        <w:trPr>
          <w:cantSplit/>
          <w:tblHeader/>
        </w:trPr>
        <w:tc>
          <w:tcPr>
            <w:tcW w:type="dxa" w:w="40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Medida</w:t>
            </w:r>
          </w:p>
        </w:tc>
        <w:tc>
          <w:tcPr>
            <w:tcW w:type="dxa" w:w="29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Resultado</w:t>
            </w:r>
          </w:p>
        </w:tc>
        <w:tc>
          <w:tcPr>
            <w:tcW w:type="dxa" w:w="29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Cómo leerlo</w:t>
            </w:r>
          </w:p>
        </w:tc>
      </w:tr>
      <w:tr>
        <w:trPr>
          <w:cantSplit/>
        </w:trPr>
        <w:tc>
          <w:tcPr>
            <w:tcW w:type="dxa" w:w="4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Pendiente de la recta</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−425 piezas por mes</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Cada mes se vende ≈ 425 piezas menos</w:t>
            </w:r>
          </w:p>
        </w:tc>
      </w:tr>
      <w:tr>
        <w:trPr>
          <w:cantSplit/>
        </w:trPr>
        <w:tc>
          <w:tcPr>
            <w:tcW w:type="dxa" w:w="4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Error estándar de la pendiente</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 146</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Margen de la estimación</w:t>
            </w:r>
          </w:p>
        </w:tc>
      </w:tr>
      <w:tr>
        <w:trPr>
          <w:cantSplit/>
        </w:trPr>
        <w:tc>
          <w:tcPr>
            <w:tcW w:type="dxa" w:w="4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Valor t</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−2,91</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Supera el valor crítico ≈ 2,04 (95 %, 31 grados de libertad)</w:t>
            </w:r>
          </w:p>
        </w:tc>
      </w:tr>
      <w:tr>
        <w:trPr>
          <w:cantSplit/>
        </w:trPr>
        <w:tc>
          <w:tcPr>
            <w:tcW w:type="dxa" w:w="4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Cambio según la recta</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25.431 → 11.823</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−54 % en 32 meses</w:t>
            </w:r>
          </w:p>
        </w:tc>
      </w:tr>
      <w:tr>
        <w:trPr>
          <w:cantSplit/>
        </w:trPr>
        <w:tc>
          <w:tcPr>
            <w:tcW w:type="dxa" w:w="4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Proporción explicada (R²)</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0,21</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La tendencia explica solo 21 % de las variaciones</w:t>
            </w:r>
          </w:p>
        </w:tc>
      </w:tr>
      <w:tr>
        <w:trPr>
          <w:cantSplit/>
        </w:trPr>
        <w:tc>
          <w:tcPr>
            <w:tcW w:type="dxa" w:w="4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Ene-sep 2024 → 2025 → 2026</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210.250 → 151.300 → 125.150</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−28 % y −17 %</w:t>
            </w:r>
          </w:p>
        </w:tc>
      </w:tr>
    </w:tbl>
    <w:p>
      <w:pPr>
        <w:spacing w:after="120" w:before="80" w:line="288"/>
      </w:pPr>
      <w:r>
        <w:rPr>
          <w:b/>
          <w:bCs/>
          <w:color w:val="161A25"/>
          <w:sz w:val="21"/>
          <w:szCs w:val="21"/>
        </w:rPr>
        <w:t xml:space="preserve">Resultado:</w:t>
      </w:r>
      <w:r>
        <w:rPr>
          <w:color w:val="161A25"/>
          <w:sz w:val="21"/>
          <w:szCs w:val="21"/>
        </w:rPr>
        <w:t xml:space="preserve"> hay una </w:t>
      </w:r>
      <w:r>
        <w:rPr>
          <w:b/>
          <w:bCs/>
          <w:color w:val="161A25"/>
          <w:sz w:val="21"/>
          <w:szCs w:val="21"/>
        </w:rPr>
        <w:t xml:space="preserve">tendencia decreciente significativa</w:t>
      </w:r>
      <w:r>
        <w:rPr>
          <w:color w:val="161A25"/>
          <w:sz w:val="21"/>
          <w:szCs w:val="21"/>
        </w:rPr>
        <w:t xml:space="preserve"> (la probabilidad de que fuera casualidad es menor al 1 %). Se confirma comparando el mismo periodo de cada año. Pero el R² bajo indica que, además de bajar, la serie tiene </w:t>
      </w:r>
      <w:r>
        <w:rPr>
          <w:b/>
          <w:bCs/>
          <w:color w:val="161A25"/>
          <w:sz w:val="21"/>
          <w:szCs w:val="21"/>
        </w:rPr>
        <w:t xml:space="preserve">mucho componente irregular</w:t>
      </w:r>
      <w:r>
        <w:rPr>
          <w:color w:val="161A25"/>
          <w:sz w:val="21"/>
          <w:szCs w:val="21"/>
        </w:rPr>
        <w:t xml:space="preserve">: los meses se desvían fuerte de la recta (variabilidad de 48 %).</w:t>
      </w:r>
    </w:p>
    <w:p>
      <w:pPr>
        <w:pStyle w:val="Heading3"/>
        <w:keepNext/>
      </w:pPr>
      <w:r>
        <w:t xml:space="preserve">Paso 6 · Estacionalidad</w:t>
      </w:r>
    </w:p>
    <w:p>
      <w:pPr>
        <w:spacing w:after="120" w:before="0" w:line="288"/>
      </w:pPr>
      <w:r>
        <w:rPr>
          <w:b/>
          <w:bCs/>
          <w:color w:val="161A25"/>
          <w:sz w:val="21"/>
          <w:szCs w:val="21"/>
        </w:rPr>
        <w:t xml:space="preserve">Qué es:</w:t>
      </w:r>
      <w:r>
        <w:rPr>
          <w:color w:val="161A25"/>
          <w:sz w:val="21"/>
          <w:szCs w:val="21"/>
        </w:rPr>
        <w:t xml:space="preserve"> un patrón que se repite cada año en los mismos meses (por ejemplo, “siempre se vende más en diciembre”). Para decir que existe, el patrón de un año tiene que parecerse al del siguiente.</w:t>
      </w:r>
    </w:p>
    <w:p>
      <w:pPr>
        <w:spacing w:after="100"/>
        <w:jc w:val="center"/>
      </w:pPr>
      <w:r>
        <w:drawing>
          <wp:inline distT="0" distB="0" distL="0" distR="0">
            <wp:extent cx="6096000" cy="2724150"/>
            <wp:effectExtent t="0" r="0" b="0" l="0"/>
            <wp:docPr id="1" name="fig_est_hierro.png" descr="fig_est_hierro.png" title="fig_est_hier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724150"/>
                    </a:xfrm>
                    <a:prstGeom prst="rect">
                      <a:avLst/>
                    </a:prstGeom>
                  </pic:spPr>
                </pic:pic>
              </a:graphicData>
            </a:graphic>
          </wp:inline>
        </w:drawing>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600"/>
        <w:gridCol w:w="2186"/>
        <w:gridCol w:w="3186"/>
      </w:tblGrid>
      <w:tr>
        <w:trPr>
          <w:cantSplit/>
          <w:tblHeader/>
        </w:trPr>
        <w:tc>
          <w:tcPr>
            <w:tcW w:type="dxa" w:w="4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Prueba</w:t>
            </w:r>
          </w:p>
        </w:tc>
        <w:tc>
          <w:tcPr>
            <w:tcW w:type="dxa" w:w="21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Resultado</w:t>
            </w:r>
          </w:p>
        </w:tc>
        <w:tc>
          <w:tcPr>
            <w:tcW w:type="dxa" w:w="31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Qué se esperaría si hubiera estacionalidad</w:t>
            </w:r>
          </w:p>
        </w:tc>
      </w:tr>
      <w:tr>
        <w:trPr>
          <w:cantSplit/>
        </w:trPr>
        <w:tc>
          <w:tcPr>
            <w:tcW w:type="dxa" w:w="4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Autocorrelación a 12 meses (límite de ruido ±0,35)</w:t>
            </w:r>
          </w:p>
        </w:tc>
        <w:tc>
          <w:tcPr>
            <w:tcW w:type="dxa" w:w="21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−0,08</w:t>
            </w:r>
          </w:p>
        </w:tc>
        <w:tc>
          <w:tcPr>
            <w:tcW w:type="dxa" w:w="31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Un valor claramente positivo y mayor a 0,35</w:t>
            </w:r>
          </w:p>
        </w:tc>
      </w:tr>
      <w:tr>
        <w:trPr>
          <w:cantSplit/>
        </w:trPr>
        <w:tc>
          <w:tcPr>
            <w:tcW w:type="dxa" w:w="4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Misma prueba, quitando la tendencia</w:t>
            </w:r>
          </w:p>
        </w:tc>
        <w:tc>
          <w:tcPr>
            <w:tcW w:type="dxa" w:w="21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−0,04</w:t>
            </w:r>
          </w:p>
        </w:tc>
        <w:tc>
          <w:tcPr>
            <w:tcW w:type="dxa" w:w="31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Igual</w:t>
            </w:r>
          </w:p>
        </w:tc>
      </w:tr>
      <w:tr>
        <w:trPr>
          <w:cantSplit/>
        </w:trPr>
        <w:tc>
          <w:tcPr>
            <w:tcW w:type="dxa" w:w="4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Parecido del perfil mensual 2024 vs 2025</w:t>
            </w:r>
          </w:p>
        </w:tc>
        <w:tc>
          <w:tcPr>
            <w:tcW w:type="dxa" w:w="21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0,04</w:t>
            </w:r>
          </w:p>
        </w:tc>
        <w:tc>
          <w:tcPr>
            <w:tcW w:type="dxa" w:w="31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Cercano a 1</w:t>
            </w:r>
          </w:p>
        </w:tc>
      </w:tr>
      <w:tr>
        <w:trPr>
          <w:cantSplit/>
        </w:trPr>
        <w:tc>
          <w:tcPr>
            <w:tcW w:type="dxa" w:w="4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Parecido del perfil 2025 vs 2026 (9 meses)</w:t>
            </w:r>
          </w:p>
        </w:tc>
        <w:tc>
          <w:tcPr>
            <w:tcW w:type="dxa" w:w="21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−0,25</w:t>
            </w:r>
          </w:p>
        </w:tc>
        <w:tc>
          <w:tcPr>
            <w:tcW w:type="dxa" w:w="31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Cercano a 1</w:t>
            </w:r>
          </w:p>
        </w:tc>
      </w:tr>
    </w:tbl>
    <w:p>
      <w:pPr>
        <w:spacing w:after="120" w:before="80" w:line="288"/>
      </w:pPr>
      <w:r>
        <w:rPr>
          <w:b/>
          <w:bCs/>
          <w:color w:val="161A25"/>
          <w:sz w:val="21"/>
          <w:szCs w:val="21"/>
        </w:rPr>
        <w:t xml:space="preserve">Índices por mes (ventas del mes ÷ promedio del año):</w:t>
      </w:r>
      <w:r>
        <w:rPr>
          <w:color w:val="161A25"/>
          <w:sz w:val="21"/>
          <w:szCs w:val="21"/>
        </w:rPr>
        <w:t xml:space="preserve"> si la estacionalidad fuera real, el índice de un mes sería parecido en los tres años. Aquí no lo es: enero fue 1,09 · 0,84 · 2,45; mayo, 0,99 · 0,49 · 0,22; marzo, 0,63 · 1,53 · 0,25 (tabla completa en el Anexo A).</w:t>
      </w:r>
    </w:p>
    <w:p>
      <w:pPr>
        <w:spacing w:after="120" w:before="0" w:line="288"/>
      </w:pPr>
      <w:r>
        <w:rPr>
          <w:b/>
          <w:bCs/>
          <w:color w:val="161A25"/>
          <w:sz w:val="21"/>
          <w:szCs w:val="21"/>
        </w:rPr>
        <w:t xml:space="preserve">Resultado:</w:t>
      </w:r>
      <w:r>
        <w:rPr>
          <w:color w:val="161A25"/>
          <w:sz w:val="21"/>
          <w:szCs w:val="21"/>
        </w:rPr>
        <w:t xml:space="preserve"> </w:t>
      </w:r>
      <w:r>
        <w:rPr>
          <w:b/>
          <w:bCs/>
          <w:color w:val="161A25"/>
          <w:sz w:val="21"/>
          <w:szCs w:val="21"/>
        </w:rPr>
        <w:t xml:space="preserve">no se evidencia estacionalidad.</w:t>
      </w:r>
      <w:r>
        <w:rPr>
          <w:color w:val="161A25"/>
          <w:sz w:val="21"/>
          <w:szCs w:val="21"/>
        </w:rPr>
        <w:t xml:space="preserve"> ⚠ Salvedad: con 33 meses solo hay dos ciclos anuales completos y un tercero a medias; para confirmar o descartar una estacionalidad moderada se necesitan </w:t>
      </w:r>
      <w:r>
        <w:rPr>
          <w:b/>
          <w:bCs/>
          <w:color w:val="161A25"/>
          <w:sz w:val="21"/>
          <w:szCs w:val="21"/>
        </w:rPr>
        <w:t xml:space="preserve">al menos 36 a 48 meses</w:t>
      </w:r>
      <w:r>
        <w:rPr>
          <w:color w:val="161A25"/>
          <w:sz w:val="21"/>
          <w:szCs w:val="21"/>
        </w:rPr>
        <w:t xml:space="preserve"> de historia. Hoy lo prudente es tratar la serie como “sin patrón estacional estable”.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none" w:color="FFFFFF" w:sz="0"/>
              <w:left w:val="single" w:color="303B8F" w:sz="24"/>
              <w:bottom w:val="none" w:color="FFFFFF" w:sz="0"/>
              <w:right w:val="none" w:color="FFFFFF" w:sz="0"/>
            </w:tcBorders>
            <w:shd w:fill="EEF0F8" w:val="clear"/>
            <w:tcMar>
              <w:top w:type="dxa" w:w="110"/>
              <w:left w:type="dxa" w:w="200"/>
              <w:bottom w:type="dxa" w:w="90"/>
              <w:right w:type="dxa" w:w="160"/>
            </w:tcMar>
          </w:tcPr>
          <w:p>
            <w:pPr>
              <w:spacing w:after="60" w:line="270"/>
            </w:pPr>
            <w:r>
              <w:rPr>
                <w:b/>
                <w:bCs/>
                <w:color w:val="303B8F"/>
                <w:sz w:val="20"/>
                <w:szCs w:val="20"/>
              </w:rPr>
              <w:t xml:space="preserve">Clasificación de la demanda · Clutch Hierro  </w:t>
            </w:r>
            <w:r>
              <w:rPr>
                <w:b/>
                <w:bCs/>
                <w:color w:val="161A25"/>
                <w:sz w:val="20"/>
                <w:szCs w:val="20"/>
              </w:rPr>
              <w:t xml:space="preserve">Tendencia decreciente</w:t>
            </w:r>
            <w:r>
              <w:rPr>
                <w:color w:val="161A25"/>
                <w:sz w:val="20"/>
                <w:szCs w:val="20"/>
              </w:rPr>
              <w:t xml:space="preserve"> + </w:t>
            </w:r>
            <w:r>
              <w:rPr>
                <w:b/>
                <w:bCs/>
                <w:color w:val="161A25"/>
                <w:sz w:val="20"/>
                <w:szCs w:val="20"/>
              </w:rPr>
              <w:t xml:space="preserve">componente irregular alto</w:t>
            </w:r>
            <w:r>
              <w:rPr>
                <w:color w:val="161A25"/>
                <w:sz w:val="20"/>
                <w:szCs w:val="20"/>
              </w:rPr>
              <w:t xml:space="preserve"> + </w:t>
            </w:r>
            <w:r>
              <w:rPr>
                <w:b/>
                <w:bCs/>
                <w:color w:val="161A25"/>
                <w:sz w:val="20"/>
                <w:szCs w:val="20"/>
              </w:rPr>
              <w:t xml:space="preserve">sin estacionalidad evidente.</w:t>
            </w:r>
            <w:r>
              <w:rPr>
                <w:color w:val="161A25"/>
                <w:sz w:val="20"/>
                <w:szCs w:val="20"/>
              </w:rPr>
              <w:t xml:space="preserve"> Efecto sobre los promedios móviles: como la serie baja, un promedio de meses anteriores </w:t>
            </w:r>
            <w:r>
              <w:rPr>
                <w:b/>
                <w:bCs/>
                <w:color w:val="161A25"/>
                <w:sz w:val="20"/>
                <w:szCs w:val="20"/>
              </w:rPr>
              <w:t xml:space="preserve">tiende a pronosticar de más</w:t>
            </w:r>
            <w:r>
              <w:rPr>
                <w:color w:val="161A25"/>
                <w:sz w:val="20"/>
                <w:szCs w:val="20"/>
              </w:rPr>
              <w:t xml:space="preserve"> (sesgo positivo).</w:t>
            </w:r>
          </w:p>
        </w:tc>
      </w:tr>
    </w:tbl>
    <w:p>
      <w:pPr>
        <w:pStyle w:val="Heading1"/>
      </w:pPr>
      <w:r>
        <w:t xml:space="preserve">1.6 Serie 2 · Mico Clutch Bronce Tornillo en hierro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rPr>
          <w:cantSplit/>
          <w:tblHeader/>
        </w:trPr>
        <w:tc>
          <w:tcPr>
            <w:tcW w:type="dxa" w:w="30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Ficha de la serie</w:t>
            </w:r>
          </w:p>
        </w:tc>
        <w:tc>
          <w:tcPr>
            <w:tcW w:type="dxa" w:w="69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Dato</w:t>
            </w:r>
          </w:p>
        </w:tc>
      </w:tr>
      <w:tr>
        <w:trPr>
          <w:cantSplit/>
        </w:trPr>
        <w:tc>
          <w:tcPr>
            <w:tcW w:type="dxa" w:w="3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Producto</w:t>
            </w:r>
          </w:p>
        </w:tc>
        <w:tc>
          <w:tcPr>
            <w:tcW w:type="dxa" w:w="69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Mico Clutch Bronce Tornillo en hierro</w:t>
            </w:r>
          </w:p>
        </w:tc>
      </w:tr>
      <w:tr>
        <w:trPr>
          <w:cantSplit/>
        </w:trPr>
        <w:tc>
          <w:tcPr>
            <w:tcW w:type="dxa" w:w="3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Periodo y unidad</w:t>
            </w:r>
          </w:p>
        </w:tc>
        <w:tc>
          <w:tcPr>
            <w:tcW w:type="dxa" w:w="69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ene-2024 a sep-2026 · 33 meses · piezas</w:t>
            </w:r>
          </w:p>
        </w:tc>
      </w:tr>
      <w:tr>
        <w:trPr>
          <w:cantSplit/>
        </w:trPr>
        <w:tc>
          <w:tcPr>
            <w:tcW w:type="dxa" w:w="3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Promedio · mediana</w:t>
            </w:r>
          </w:p>
        </w:tc>
        <w:tc>
          <w:tcPr>
            <w:tcW w:type="dxa" w:w="69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4.889 · 5.000 piezas por mes</w:t>
            </w:r>
          </w:p>
        </w:tc>
      </w:tr>
      <w:tr>
        <w:trPr>
          <w:cantSplit/>
        </w:trPr>
        <w:tc>
          <w:tcPr>
            <w:tcW w:type="dxa" w:w="3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Desviación estándar · variabilidad (CV)</w:t>
            </w:r>
          </w:p>
        </w:tc>
        <w:tc>
          <w:tcPr>
            <w:tcW w:type="dxa" w:w="69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1.880 · 38 %</w:t>
            </w:r>
          </w:p>
        </w:tc>
      </w:tr>
      <w:tr>
        <w:trPr>
          <w:cantSplit/>
        </w:trPr>
        <w:tc>
          <w:tcPr>
            <w:tcW w:type="dxa" w:w="3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Mínimo · máximo</w:t>
            </w:r>
          </w:p>
        </w:tc>
        <w:tc>
          <w:tcPr>
            <w:tcW w:type="dxa" w:w="69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1.500 (abr y jun 2025) · 9.700 (may 2025)</w:t>
            </w:r>
          </w:p>
        </w:tc>
      </w:tr>
      <w:tr>
        <w:trPr>
          <w:cantSplit/>
        </w:trPr>
        <w:tc>
          <w:tcPr>
            <w:tcW w:type="dxa" w:w="3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Estado de validación</w:t>
            </w:r>
          </w:p>
        </w:tc>
        <w:tc>
          <w:tcPr>
            <w:tcW w:type="dxa" w:w="69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 Validada, con 2 observaciones documentadas (V4, V6)</w:t>
            </w:r>
          </w:p>
        </w:tc>
      </w:tr>
    </w:tbl>
    <w:p>
      <w:pPr>
        <w:spacing w:after="40"/>
      </w:pPr>
    </w:p>
    <w:p>
      <w:pPr>
        <w:spacing w:after="100"/>
        <w:jc w:val="center"/>
      </w:pPr>
      <w:r>
        <w:drawing>
          <wp:inline distT="0" distB="0" distL="0" distR="0">
            <wp:extent cx="6096000" cy="2724150"/>
            <wp:effectExtent t="0" r="0" b="0" l="0"/>
            <wp:docPr id="1" name="fig_serie_bronce.png" descr="fig_serie_bronce.png" title="fig_serie_bro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724150"/>
                    </a:xfrm>
                    <a:prstGeom prst="rect">
                      <a:avLst/>
                    </a:prstGeom>
                  </pic:spPr>
                </pic:pic>
              </a:graphicData>
            </a:graphic>
          </wp:inline>
        </w:drawing>
      </w:r>
    </w:p>
    <w:p>
      <w:pPr>
        <w:spacing w:after="120" w:before="0" w:line="288"/>
        <w:jc w:val="center"/>
      </w:pPr>
      <w:r>
        <w:rPr>
          <w:color w:val="687083"/>
          <w:sz w:val="17"/>
          <w:szCs w:val="17"/>
        </w:rPr>
        <w:t xml:space="preserve">Figura: ventas reales (azul), tendencia lineal (naranja) y promedio móvil de 3 meses (gris).</w:t>
      </w:r>
    </w:p>
    <w:p>
      <w:pPr>
        <w:pStyle w:val="Heading3"/>
        <w:keepNext/>
      </w:pPr>
      <w:r>
        <w:t xml:space="preserve">Paso 4 · Nivel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500"/>
        <w:gridCol w:w="3236"/>
        <w:gridCol w:w="3236"/>
      </w:tblGrid>
      <w:tr>
        <w:trPr>
          <w:cantSplit/>
          <w:tblHeader/>
        </w:trPr>
        <w:tc>
          <w:tcPr>
            <w:tcW w:type="dxa" w:w="3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Medida</w:t>
            </w:r>
          </w:p>
        </w:tc>
        <w:tc>
          <w:tcPr>
            <w:tcW w:type="dxa" w:w="32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Valor</w:t>
            </w:r>
          </w:p>
        </w:tc>
        <w:tc>
          <w:tcPr>
            <w:tcW w:type="dxa" w:w="32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Lectura</w:t>
            </w:r>
          </w:p>
        </w:tc>
      </w:tr>
      <w:tr>
        <w:trPr>
          <w:cantSplit/>
        </w:trPr>
        <w:tc>
          <w:tcPr>
            <w:tcW w:type="dxa" w:w="3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Promedio de 2024</w:t>
            </w:r>
          </w:p>
        </w:tc>
        <w:tc>
          <w:tcPr>
            <w:tcW w:type="dxa" w:w="32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4.955 piezas/mes</w:t>
            </w:r>
          </w:p>
        </w:tc>
        <w:tc>
          <w:tcPr>
            <w:tcW w:type="dxa" w:w="32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Nivel de partida</w:t>
            </w:r>
          </w:p>
        </w:tc>
      </w:tr>
      <w:tr>
        <w:trPr>
          <w:cantSplit/>
        </w:trPr>
        <w:tc>
          <w:tcPr>
            <w:tcW w:type="dxa" w:w="3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Promedio de 2025</w:t>
            </w:r>
          </w:p>
        </w:tc>
        <w:tc>
          <w:tcPr>
            <w:tcW w:type="dxa" w:w="32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4.927 piezas/mes</w:t>
            </w:r>
          </w:p>
        </w:tc>
        <w:tc>
          <w:tcPr>
            <w:tcW w:type="dxa" w:w="32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−0,6 % frente a 2024</w:t>
            </w:r>
          </w:p>
        </w:tc>
      </w:tr>
      <w:tr>
        <w:trPr>
          <w:cantSplit/>
        </w:trPr>
        <w:tc>
          <w:tcPr>
            <w:tcW w:type="dxa" w:w="3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Promedio ene-sep 2026</w:t>
            </w:r>
          </w:p>
        </w:tc>
        <w:tc>
          <w:tcPr>
            <w:tcW w:type="dxa" w:w="32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4.750 piezas/mes</w:t>
            </w:r>
          </w:p>
        </w:tc>
        <w:tc>
          <w:tcPr>
            <w:tcW w:type="dxa" w:w="32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−3,6 % frente a 2025</w:t>
            </w:r>
          </w:p>
        </w:tc>
      </w:tr>
      <w:tr>
        <w:trPr>
          <w:cantSplit/>
        </w:trPr>
        <w:tc>
          <w:tcPr>
            <w:tcW w:type="dxa" w:w="3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Últimos 12 · 6 · 3 meses</w:t>
            </w:r>
          </w:p>
        </w:tc>
        <w:tc>
          <w:tcPr>
            <w:tcW w:type="dxa" w:w="32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4.496 · 4.558 · 4.600</w:t>
            </w:r>
          </w:p>
        </w:tc>
        <w:tc>
          <w:tcPr>
            <w:tcW w:type="dxa" w:w="32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Muy parecidos entre sí</w:t>
            </w:r>
          </w:p>
        </w:tc>
      </w:tr>
    </w:tbl>
    <w:p>
      <w:pPr>
        <w:spacing w:after="120" w:before="80" w:line="288"/>
      </w:pPr>
      <w:r>
        <w:rPr>
          <w:b/>
          <w:bCs/>
          <w:color w:val="161A25"/>
          <w:sz w:val="21"/>
          <w:szCs w:val="21"/>
        </w:rPr>
        <w:t xml:space="preserve">Resultado:</w:t>
      </w:r>
      <w:r>
        <w:rPr>
          <w:color w:val="161A25"/>
          <w:sz w:val="21"/>
          <w:szCs w:val="21"/>
        </w:rPr>
        <w:t xml:space="preserve"> el nivel es </w:t>
      </w:r>
      <w:r>
        <w:rPr>
          <w:b/>
          <w:bCs/>
          <w:color w:val="161A25"/>
          <w:sz w:val="21"/>
          <w:szCs w:val="21"/>
        </w:rPr>
        <w:t xml:space="preserve">estable</w:t>
      </w:r>
      <w:r>
        <w:rPr>
          <w:color w:val="161A25"/>
          <w:sz w:val="21"/>
          <w:szCs w:val="21"/>
        </w:rPr>
        <w:t xml:space="preserve">. </w:t>
      </w:r>
      <w:r>
        <w:rPr>
          <w:b/>
          <w:bCs/>
          <w:color w:val="161A25"/>
          <w:sz w:val="21"/>
          <w:szCs w:val="21"/>
        </w:rPr>
        <w:t xml:space="preserve">Nivel actual de referencia: entre 4.500 y 4.600 piezas por mes</w:t>
      </w:r>
      <w:r>
        <w:rPr>
          <w:color w:val="161A25"/>
          <w:sz w:val="21"/>
          <w:szCs w:val="21"/>
        </w:rPr>
        <w:t xml:space="preserve">; mejor estimación puntual ≈ </w:t>
      </w:r>
      <w:r>
        <w:rPr>
          <w:b/>
          <w:bCs/>
          <w:color w:val="161A25"/>
          <w:sz w:val="21"/>
          <w:szCs w:val="21"/>
        </w:rPr>
        <w:t xml:space="preserve">4.600</w:t>
      </w:r>
      <w:r>
        <w:rPr>
          <w:color w:val="161A25"/>
          <w:sz w:val="21"/>
          <w:szCs w:val="21"/>
        </w:rPr>
        <w:t xml:space="preserve"> (promedio de los últimos 6 meses). El promedio de toda la historia (4.889) es algo mayor porque 2024 tuvo meses altos.</w:t>
      </w:r>
    </w:p>
    <w:p>
      <w:pPr>
        <w:pStyle w:val="Heading3"/>
        <w:keepNext/>
      </w:pPr>
      <w:r>
        <w:t xml:space="preserve">Paso 5 · Tendencia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000"/>
        <w:gridCol w:w="2986"/>
        <w:gridCol w:w="2986"/>
      </w:tblGrid>
      <w:tr>
        <w:trPr>
          <w:cantSplit/>
          <w:tblHeader/>
        </w:trPr>
        <w:tc>
          <w:tcPr>
            <w:tcW w:type="dxa" w:w="40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Medida</w:t>
            </w:r>
          </w:p>
        </w:tc>
        <w:tc>
          <w:tcPr>
            <w:tcW w:type="dxa" w:w="29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Resultado</w:t>
            </w:r>
          </w:p>
        </w:tc>
        <w:tc>
          <w:tcPr>
            <w:tcW w:type="dxa" w:w="29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Cómo leerlo</w:t>
            </w:r>
          </w:p>
        </w:tc>
      </w:tr>
      <w:tr>
        <w:trPr>
          <w:cantSplit/>
        </w:trPr>
        <w:tc>
          <w:tcPr>
            <w:tcW w:type="dxa" w:w="4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Pendiente de la recta</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−14,8 piezas por mes</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Prácticamente plana</w:t>
            </w:r>
          </w:p>
        </w:tc>
      </w:tr>
      <w:tr>
        <w:trPr>
          <w:cantSplit/>
        </w:trPr>
        <w:tc>
          <w:tcPr>
            <w:tcW w:type="dxa" w:w="4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Error estándar de la pendiente</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 34,8</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Mayor que la propia pendiente</w:t>
            </w:r>
          </w:p>
        </w:tc>
      </w:tr>
      <w:tr>
        <w:trPr>
          <w:cantSplit/>
        </w:trPr>
        <w:tc>
          <w:tcPr>
            <w:tcW w:type="dxa" w:w="4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Valor t</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−0,43</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Muy por debajo del crítico ≈ 2,04</w:t>
            </w:r>
          </w:p>
        </w:tc>
      </w:tr>
      <w:tr>
        <w:trPr>
          <w:cantSplit/>
        </w:trPr>
        <w:tc>
          <w:tcPr>
            <w:tcW w:type="dxa" w:w="4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Proporción explicada (R²)</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0,006</w:t>
            </w:r>
          </w:p>
        </w:tc>
        <w:tc>
          <w:tcPr>
            <w:tcW w:type="dxa" w:w="29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La recta no explica nada relevante</w:t>
            </w:r>
          </w:p>
        </w:tc>
      </w:tr>
      <w:tr>
        <w:trPr>
          <w:cantSplit/>
        </w:trPr>
        <w:tc>
          <w:tcPr>
            <w:tcW w:type="dxa" w:w="4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Ene-sep 2024 → 2025 → 2026</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44.260 → 47.921 → 42.750</w:t>
            </w:r>
          </w:p>
        </w:tc>
        <w:tc>
          <w:tcPr>
            <w:tcW w:type="dxa" w:w="29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8,3 % y −10,8 %</w:t>
            </w:r>
          </w:p>
        </w:tc>
      </w:tr>
    </w:tbl>
    <w:p>
      <w:pPr>
        <w:spacing w:after="120" w:before="80" w:line="288"/>
      </w:pPr>
      <w:r>
        <w:rPr>
          <w:b/>
          <w:bCs/>
          <w:color w:val="161A25"/>
          <w:sz w:val="21"/>
          <w:szCs w:val="21"/>
        </w:rPr>
        <w:t xml:space="preserve">Resultado:</w:t>
      </w:r>
      <w:r>
        <w:rPr>
          <w:color w:val="161A25"/>
          <w:sz w:val="21"/>
          <w:szCs w:val="21"/>
        </w:rPr>
        <w:t xml:space="preserve"> </w:t>
      </w:r>
      <w:r>
        <w:rPr>
          <w:b/>
          <w:bCs/>
          <w:color w:val="161A25"/>
          <w:sz w:val="21"/>
          <w:szCs w:val="21"/>
        </w:rPr>
        <w:t xml:space="preserve">no hay tendencia.</w:t>
      </w:r>
      <w:r>
        <w:rPr>
          <w:color w:val="161A25"/>
          <w:sz w:val="21"/>
          <w:szCs w:val="21"/>
        </w:rPr>
        <w:t xml:space="preserve"> Los cambios entre años (primero +8 %, luego −11 %) van y vienen sin dirección.</w:t>
      </w:r>
    </w:p>
    <w:p>
      <w:pPr>
        <w:pStyle w:val="Heading3"/>
        <w:keepNext/>
      </w:pPr>
      <w:r>
        <w:t xml:space="preserve">Paso 6 · Estacionalidad</w:t>
      </w:r>
    </w:p>
    <w:p>
      <w:pPr>
        <w:spacing w:after="100"/>
        <w:jc w:val="center"/>
      </w:pPr>
      <w:r>
        <w:drawing>
          <wp:inline distT="0" distB="0" distL="0" distR="0">
            <wp:extent cx="6096000" cy="2724150"/>
            <wp:effectExtent t="0" r="0" b="0" l="0"/>
            <wp:docPr id="1" name="fig_est_bronce.png" descr="fig_est_bronce.png" title="fig_est_bro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724150"/>
                    </a:xfrm>
                    <a:prstGeom prst="rect">
                      <a:avLst/>
                    </a:prstGeom>
                  </pic:spPr>
                </pic:pic>
              </a:graphicData>
            </a:graphic>
          </wp:inline>
        </w:drawing>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600"/>
        <w:gridCol w:w="2186"/>
        <w:gridCol w:w="3186"/>
      </w:tblGrid>
      <w:tr>
        <w:trPr>
          <w:cantSplit/>
          <w:tblHeader/>
        </w:trPr>
        <w:tc>
          <w:tcPr>
            <w:tcW w:type="dxa" w:w="4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Prueba</w:t>
            </w:r>
          </w:p>
        </w:tc>
        <w:tc>
          <w:tcPr>
            <w:tcW w:type="dxa" w:w="21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Resultado</w:t>
            </w:r>
          </w:p>
        </w:tc>
        <w:tc>
          <w:tcPr>
            <w:tcW w:type="dxa" w:w="31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Qué se esperaría si hubiera estacionalidad</w:t>
            </w:r>
          </w:p>
        </w:tc>
      </w:tr>
      <w:tr>
        <w:trPr>
          <w:cantSplit/>
        </w:trPr>
        <w:tc>
          <w:tcPr>
            <w:tcW w:type="dxa" w:w="4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Autocorrelación a 12 meses (límite de ruido ±0,35)</w:t>
            </w:r>
          </w:p>
        </w:tc>
        <w:tc>
          <w:tcPr>
            <w:tcW w:type="dxa" w:w="21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−0,07</w:t>
            </w:r>
          </w:p>
        </w:tc>
        <w:tc>
          <w:tcPr>
            <w:tcW w:type="dxa" w:w="31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Un valor claramente positivo y mayor a 0,35</w:t>
            </w:r>
          </w:p>
        </w:tc>
      </w:tr>
      <w:tr>
        <w:trPr>
          <w:cantSplit/>
        </w:trPr>
        <w:tc>
          <w:tcPr>
            <w:tcW w:type="dxa" w:w="4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Misma prueba, quitando la tendencia</w:t>
            </w:r>
          </w:p>
        </w:tc>
        <w:tc>
          <w:tcPr>
            <w:tcW w:type="dxa" w:w="21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−0,06</w:t>
            </w:r>
          </w:p>
        </w:tc>
        <w:tc>
          <w:tcPr>
            <w:tcW w:type="dxa" w:w="31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Igual</w:t>
            </w:r>
          </w:p>
        </w:tc>
      </w:tr>
      <w:tr>
        <w:trPr>
          <w:cantSplit/>
        </w:trPr>
        <w:tc>
          <w:tcPr>
            <w:tcW w:type="dxa" w:w="4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Parecido del perfil mensual 2024 vs 2025</w:t>
            </w:r>
          </w:p>
        </w:tc>
        <w:tc>
          <w:tcPr>
            <w:tcW w:type="dxa" w:w="21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−0,04</w:t>
            </w:r>
          </w:p>
        </w:tc>
        <w:tc>
          <w:tcPr>
            <w:tcW w:type="dxa" w:w="31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Cercano a 1</w:t>
            </w:r>
          </w:p>
        </w:tc>
      </w:tr>
      <w:tr>
        <w:trPr>
          <w:cantSplit/>
        </w:trPr>
        <w:tc>
          <w:tcPr>
            <w:tcW w:type="dxa" w:w="4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Parecido del perfil 2025 vs 2026 (9 meses)</w:t>
            </w:r>
          </w:p>
        </w:tc>
        <w:tc>
          <w:tcPr>
            <w:tcW w:type="dxa" w:w="21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−0,35</w:t>
            </w:r>
          </w:p>
        </w:tc>
        <w:tc>
          <w:tcPr>
            <w:tcW w:type="dxa" w:w="31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Cercano a 1</w:t>
            </w:r>
          </w:p>
        </w:tc>
      </w:tr>
    </w:tbl>
    <w:p>
      <w:pPr>
        <w:spacing w:after="120" w:before="80" w:line="288"/>
      </w:pPr>
      <w:r>
        <w:rPr>
          <w:b/>
          <w:bCs/>
          <w:color w:val="161A25"/>
          <w:sz w:val="21"/>
          <w:szCs w:val="21"/>
        </w:rPr>
        <w:t xml:space="preserve">Índices por mes:</w:t>
      </w:r>
      <w:r>
        <w:rPr>
          <w:color w:val="161A25"/>
          <w:sz w:val="21"/>
          <w:szCs w:val="21"/>
        </w:rPr>
        <w:t xml:space="preserve"> mayo fue 1,07 · 1,97 · 0,76; junio, 0,71 · 0,30 · 0,88; abril, 1,25 · 0,30 · 1,21 (Anexo A). No se repiten.</w:t>
      </w:r>
    </w:p>
    <w:p>
      <w:pPr>
        <w:spacing w:after="120" w:before="0" w:line="288"/>
      </w:pPr>
      <w:r>
        <w:rPr>
          <w:b/>
          <w:bCs/>
          <w:color w:val="161A25"/>
          <w:sz w:val="21"/>
          <w:szCs w:val="21"/>
        </w:rPr>
        <w:t xml:space="preserve">Resultado:</w:t>
      </w:r>
      <w:r>
        <w:rPr>
          <w:color w:val="161A25"/>
          <w:sz w:val="21"/>
          <w:szCs w:val="21"/>
        </w:rPr>
        <w:t xml:space="preserve"> </w:t>
      </w:r>
      <w:r>
        <w:rPr>
          <w:b/>
          <w:bCs/>
          <w:color w:val="161A25"/>
          <w:sz w:val="21"/>
          <w:szCs w:val="21"/>
        </w:rPr>
        <w:t xml:space="preserve">no se evidencia estacionalidad</w:t>
      </w:r>
      <w:r>
        <w:rPr>
          <w:color w:val="161A25"/>
          <w:sz w:val="21"/>
          <w:szCs w:val="21"/>
        </w:rPr>
        <w:t xml:space="preserve"> (con la misma salvedad: faltan años de historia para descartarla del todo).</w:t>
      </w:r>
    </w:p>
    <w:p>
      <w:pPr>
        <w:pStyle w:val="Heading3"/>
        <w:keepNext/>
      </w:pPr>
      <w:r>
        <w:t xml:space="preserve">Un rasgo propio de esta serie: la alternancia</w:t>
      </w:r>
    </w:p>
    <w:p>
      <w:pPr>
        <w:spacing w:after="120" w:before="0" w:line="288"/>
      </w:pPr>
      <w:r>
        <w:rPr>
          <w:color w:val="161A25"/>
          <w:sz w:val="21"/>
          <w:szCs w:val="21"/>
        </w:rPr>
        <w:t xml:space="preserve">La autocorrelación a 1 mes es </w:t>
      </w:r>
      <w:r>
        <w:rPr>
          <w:b/>
          <w:bCs/>
          <w:color w:val="161A25"/>
          <w:sz w:val="21"/>
          <w:szCs w:val="21"/>
        </w:rPr>
        <w:t xml:space="preserve">−0,59</w:t>
      </w:r>
      <w:r>
        <w:rPr>
          <w:color w:val="161A25"/>
          <w:sz w:val="21"/>
          <w:szCs w:val="21"/>
        </w:rPr>
        <w:t xml:space="preserve"> (fuera del margen de ±0,35). Significa que </w:t>
      </w:r>
      <w:r>
        <w:rPr>
          <w:b/>
          <w:bCs/>
          <w:color w:val="161A25"/>
          <w:sz w:val="21"/>
          <w:szCs w:val="21"/>
        </w:rPr>
        <w:t xml:space="preserve">un mes alto suele ir seguido de uno bajo, y al revés</w:t>
      </w:r>
      <w:r>
        <w:rPr>
          <w:color w:val="161A25"/>
          <w:sz w:val="21"/>
          <w:szCs w:val="21"/>
        </w:rPr>
        <w:t xml:space="preserve"> (por ejemplo, abr-2025: 1.500, may-2025: 9.700, jun-2025: 1.500). Es típico de pedidos “por lotes”. Consecuencia práctica: mirar solo los últimos 2 o 3 meses es mirar mucho ruido; </w:t>
      </w:r>
      <w:r>
        <w:rPr>
          <w:b/>
          <w:bCs/>
          <w:color w:val="161A25"/>
          <w:sz w:val="21"/>
          <w:szCs w:val="21"/>
        </w:rPr>
        <w:t xml:space="preserve">cuantos más meses se promedien, mejor</w:t>
      </w:r>
      <w:r>
        <w:rPr>
          <w:color w:val="161A25"/>
          <w:sz w:val="21"/>
          <w:szCs w:val="21"/>
        </w:rPr>
        <w:t xml:space="preserve"> se estima el nivel.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none" w:color="FFFFFF" w:sz="0"/>
              <w:left w:val="single" w:color="303B8F" w:sz="24"/>
              <w:bottom w:val="none" w:color="FFFFFF" w:sz="0"/>
              <w:right w:val="none" w:color="FFFFFF" w:sz="0"/>
            </w:tcBorders>
            <w:shd w:fill="EEF0F8" w:val="clear"/>
            <w:tcMar>
              <w:top w:type="dxa" w:w="110"/>
              <w:left w:type="dxa" w:w="200"/>
              <w:bottom w:type="dxa" w:w="90"/>
              <w:right w:type="dxa" w:w="160"/>
            </w:tcMar>
          </w:tcPr>
          <w:p>
            <w:pPr>
              <w:spacing w:after="60" w:line="270"/>
            </w:pPr>
            <w:r>
              <w:rPr>
                <w:b/>
                <w:bCs/>
                <w:color w:val="303B8F"/>
                <w:sz w:val="20"/>
                <w:szCs w:val="20"/>
              </w:rPr>
              <w:t xml:space="preserve">Clasificación de la demanda · Clutch Bronce  </w:t>
            </w:r>
            <w:r>
              <w:rPr>
                <w:b/>
                <w:bCs/>
                <w:color w:val="161A25"/>
                <w:sz w:val="20"/>
                <w:szCs w:val="20"/>
              </w:rPr>
              <w:t xml:space="preserve">Nivel constante</w:t>
            </w:r>
            <w:r>
              <w:rPr>
                <w:color w:val="161A25"/>
                <w:sz w:val="20"/>
                <w:szCs w:val="20"/>
              </w:rPr>
              <w:t xml:space="preserve">, </w:t>
            </w:r>
            <w:r>
              <w:rPr>
                <w:b/>
                <w:bCs/>
                <w:color w:val="161A25"/>
                <w:sz w:val="20"/>
                <w:szCs w:val="20"/>
              </w:rPr>
              <w:t xml:space="preserve">sin tendencia</w:t>
            </w:r>
            <w:r>
              <w:rPr>
                <w:color w:val="161A25"/>
                <w:sz w:val="20"/>
                <w:szCs w:val="20"/>
              </w:rPr>
              <w:t xml:space="preserve">, </w:t>
            </w:r>
            <w:r>
              <w:rPr>
                <w:b/>
                <w:bCs/>
                <w:color w:val="161A25"/>
                <w:sz w:val="20"/>
                <w:szCs w:val="20"/>
              </w:rPr>
              <w:t xml:space="preserve">sin estacionalidad evidente</w:t>
            </w:r>
            <w:r>
              <w:rPr>
                <w:color w:val="161A25"/>
                <w:sz w:val="20"/>
                <w:szCs w:val="20"/>
              </w:rPr>
              <w:t xml:space="preserve"> y con </w:t>
            </w:r>
            <w:r>
              <w:rPr>
                <w:b/>
                <w:bCs/>
                <w:color w:val="161A25"/>
                <w:sz w:val="20"/>
                <w:szCs w:val="20"/>
              </w:rPr>
              <w:t xml:space="preserve">alternancia alta</w:t>
            </w:r>
            <w:r>
              <w:rPr>
                <w:color w:val="161A25"/>
                <w:sz w:val="20"/>
                <w:szCs w:val="20"/>
              </w:rPr>
              <w:t xml:space="preserve"> entre meses (demanda “irregular”). Es el caso en el que un promedio de muchos meses debería funcionar bien y uno de pocos meses, mal.</w:t>
            </w:r>
          </w:p>
        </w:tc>
      </w:tr>
    </w:tbl>
    <w:p>
      <w:pPr>
        <w:pStyle w:val="Heading1"/>
      </w:pPr>
      <w:r>
        <w:t xml:space="preserve">1.7 Paso 7 · Horizonte de pronóstico requerido</w:t>
      </w:r>
    </w:p>
    <w:p>
      <w:pPr>
        <w:spacing w:after="120" w:before="0" w:line="288"/>
      </w:pPr>
      <w:r>
        <w:rPr>
          <w:color w:val="161A25"/>
          <w:sz w:val="21"/>
          <w:szCs w:val="21"/>
        </w:rPr>
        <w:t xml:space="preserve">El “horizonte” es cuántos meses hacia adelante se pronostica. Hay tres preguntas distintas, y conviene no mezclarlas: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3786"/>
        <w:gridCol w:w="3586"/>
      </w:tblGrid>
      <w:tr>
        <w:trPr>
          <w:cantSplit/>
          <w:tblHeader/>
        </w:trPr>
        <w:tc>
          <w:tcPr>
            <w:tcW w:type="dxa" w:w="2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Pregunta</w:t>
            </w:r>
          </w:p>
        </w:tc>
        <w:tc>
          <w:tcPr>
            <w:tcW w:type="dxa" w:w="37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Respuesta</w:t>
            </w:r>
          </w:p>
        </w:tc>
        <w:tc>
          <w:tcPr>
            <w:tcW w:type="dxa" w:w="358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De dónde sale</w:t>
            </w:r>
          </w:p>
        </w:tc>
      </w:tr>
      <w:tr>
        <w:trPr>
          <w:cantSplit/>
        </w:trPr>
        <w:tc>
          <w:tcPr>
            <w:tcW w:type="dxa" w:w="2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¿Qué pide el producto?</w:t>
            </w:r>
          </w:p>
        </w:tc>
        <w:tc>
          <w:tcPr>
            <w:tcW w:type="dxa" w:w="37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24 meses</w:t>
            </w:r>
            <w:r>
              <w:rPr>
                <w:color w:val="161A25"/>
                <w:sz w:val="17"/>
                <w:szCs w:val="17"/>
              </w:rPr>
              <w:t xml:space="preserve"> (horizonte común de las tres series).</w:t>
            </w:r>
          </w:p>
        </w:tc>
        <w:tc>
          <w:tcPr>
            <w:tcW w:type="dxa" w:w="35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Manual de identidad y maquetas del software de pronóstico (“horizonte de 24 meses”).</w:t>
            </w:r>
          </w:p>
        </w:tc>
      </w:tr>
      <w:tr>
        <w:trPr>
          <w:cantSplit/>
        </w:trPr>
        <w:tc>
          <w:tcPr>
            <w:tcW w:type="dxa" w:w="2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¿Qué soportan los datos?</w:t>
            </w:r>
          </w:p>
        </w:tc>
        <w:tc>
          <w:tcPr>
            <w:tcW w:type="dxa" w:w="37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Con 33 meses de historia, un horizonte de 24 equivale a pronosticar casi tanto como lo que se ha observado. Lo habitual es contar con varias veces el horizonte (≥ 2 a 3 veces ⇒ 48 a 72 meses).</w:t>
            </w:r>
          </w:p>
        </w:tc>
        <w:tc>
          <w:tcPr>
            <w:tcW w:type="dxa" w:w="358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Regla práctica de pronósticos; ⚠ no hay prueba formal con estos datos.</w:t>
            </w:r>
          </w:p>
        </w:tc>
      </w:tr>
      <w:tr>
        <w:trPr>
          <w:cantSplit/>
        </w:trPr>
        <w:tc>
          <w:tcPr>
            <w:tcW w:type="dxa" w:w="2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¿Qué soporta el método?</w:t>
            </w:r>
          </w:p>
        </w:tc>
        <w:tc>
          <w:tcPr>
            <w:tcW w:type="dxa" w:w="37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Un promedio móvil produce </w:t>
            </w:r>
            <w:r>
              <w:rPr>
                <w:b/>
                <w:bCs/>
                <w:color w:val="161A25"/>
                <w:sz w:val="17"/>
                <w:szCs w:val="17"/>
              </w:rPr>
              <w:t xml:space="preserve">un pronóstico para el mes siguiente</w:t>
            </w:r>
            <w:r>
              <w:rPr>
                <w:color w:val="161A25"/>
                <w:sz w:val="17"/>
                <w:szCs w:val="17"/>
              </w:rPr>
              <w:t xml:space="preserve">. Para más meses hay que usar los propios pronósticos como si fueran datos y el resultado se aplana (ver tabla).</w:t>
            </w:r>
          </w:p>
        </w:tc>
        <w:tc>
          <w:tcPr>
            <w:tcW w:type="dxa" w:w="358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Cálculo de la Parte 2 (sección 2.4).</w:t>
            </w:r>
          </w:p>
        </w:tc>
      </w:tr>
    </w:tbl>
    <w:p>
      <w:pPr>
        <w:spacing w:after="60"/>
      </w:pPr>
    </w:p>
    <w:p>
      <w:pPr>
        <w:spacing w:after="120" w:before="0" w:line="288"/>
      </w:pPr>
      <w:r>
        <w:rPr>
          <w:color w:val="161A25"/>
          <w:sz w:val="21"/>
          <w:szCs w:val="21"/>
        </w:rPr>
        <w:t xml:space="preserve">Ejemplo del aplanamiento (Clutch Hierro, promedio móvil simple de 3 meses): octubre 9.400 → noviembre 9.700 → diciembre 9.700. A partir del segundo mes el número casi no cambia: </w:t>
      </w:r>
      <w:r>
        <w:rPr>
          <w:b/>
          <w:bCs/>
          <w:color w:val="161A25"/>
          <w:sz w:val="21"/>
          <w:szCs w:val="21"/>
        </w:rPr>
        <w:t xml:space="preserve">no aporta información nueva</w:t>
      </w:r>
      <w:r>
        <w:rPr>
          <w:color w:val="161A25"/>
          <w:sz w:val="21"/>
          <w:szCs w:val="21"/>
        </w:rPr>
        <w:t xml:space="preserve">, solo repite el nivel.</w:t>
      </w:r>
    </w:p>
    <w:p>
      <w:pPr>
        <w:pStyle w:val="Heading3"/>
        <w:keepNext/>
      </w:pPr>
      <w:r>
        <w:t xml:space="preserve">Horizonte propuesto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200"/>
        <w:gridCol w:w="3172"/>
      </w:tblGrid>
      <w:tr>
        <w:trPr>
          <w:cantSplit/>
          <w:tblHeader/>
        </w:trPr>
        <w:tc>
          <w:tcPr>
            <w:tcW w:type="dxa" w:w="19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Horizonte</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Meses</w:t>
            </w:r>
          </w:p>
        </w:tc>
        <w:tc>
          <w:tcPr>
            <w:tcW w:type="dxa" w:w="32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Para qué sirve</w:t>
            </w:r>
          </w:p>
        </w:tc>
        <w:tc>
          <w:tcPr>
            <w:tcW w:type="dxa" w:w="31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Respaldo y confiabilidad</w:t>
            </w:r>
          </w:p>
        </w:tc>
      </w:tr>
      <w:tr>
        <w:trPr>
          <w:cantSplit/>
        </w:trPr>
        <w:tc>
          <w:tcPr>
            <w:tcW w:type="dxa" w:w="1900"/>
            <w:tcBorders>
              <w:top w:val="single" w:color="C9CBD2" w:sz="4"/>
              <w:left w:val="single" w:color="C9CBD2" w:sz="4"/>
              <w:bottom w:val="single" w:color="C9CBD2" w:sz="4"/>
              <w:right w:val="single" w:color="C9CBD2" w:sz="4"/>
            </w:tcBorders>
            <w:shd w:fill="E3F5EC" w:color="auto" w:val="clear"/>
            <w:tcMar>
              <w:top w:type="dxa" w:w="70"/>
              <w:left w:type="dxa" w:w="110"/>
              <w:bottom w:type="dxa" w:w="70"/>
              <w:right w:type="dxa" w:w="110"/>
            </w:tcMar>
            <w:vAlign w:val="top"/>
          </w:tcPr>
          <w:p>
            <w:pPr>
              <w:spacing w:after="40" w:line="252"/>
            </w:pPr>
            <w:r>
              <w:rPr>
                <w:b/>
                <w:bCs/>
                <w:color w:val="161A25"/>
                <w:sz w:val="17"/>
                <w:szCs w:val="17"/>
              </w:rPr>
              <w:t xml:space="preserve">Validado</w:t>
            </w:r>
          </w:p>
        </w:tc>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 mes</w:t>
            </w:r>
          </w:p>
        </w:tc>
        <w:tc>
          <w:tcPr>
            <w:tcW w:type="dxa" w:w="3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Programar la producción y las compras del mes siguiente.</w:t>
            </w:r>
          </w:p>
        </w:tc>
        <w:tc>
          <w:tcPr>
            <w:tcW w:type="dxa" w:w="3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Es el único horizonte que se midió (error a 1 mes sobre 29 a 31 meses de historia). Se mide con MAD y MAPE.</w:t>
            </w:r>
          </w:p>
        </w:tc>
      </w:tr>
      <w:tr>
        <w:trPr>
          <w:cantSplit/>
        </w:trPr>
        <w:tc>
          <w:tcPr>
            <w:tcW w:type="dxa" w:w="1900"/>
            <w:tcBorders>
              <w:top w:val="single" w:color="C9CBD2" w:sz="4"/>
              <w:left w:val="single" w:color="C9CBD2" w:sz="4"/>
              <w:bottom w:val="single" w:color="C9CBD2" w:sz="4"/>
              <w:right w:val="single" w:color="C9CBD2" w:sz="4"/>
            </w:tcBorders>
            <w:shd w:fill="FDF5E7" w:color="auto" w:val="clear"/>
            <w:tcMar>
              <w:top w:type="dxa" w:w="70"/>
              <w:left w:type="dxa" w:w="110"/>
              <w:bottom w:type="dxa" w:w="70"/>
              <w:right w:type="dxa" w:w="110"/>
            </w:tcMar>
            <w:vAlign w:val="top"/>
          </w:tcPr>
          <w:p>
            <w:pPr>
              <w:spacing w:after="40" w:line="252"/>
            </w:pPr>
            <w:r>
              <w:rPr>
                <w:b/>
                <w:bCs/>
                <w:color w:val="161A25"/>
                <w:sz w:val="17"/>
                <w:szCs w:val="17"/>
              </w:rPr>
              <w:t xml:space="preserve">De decisión</w:t>
            </w:r>
          </w:p>
        </w:tc>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2 a 3 meses</w:t>
            </w:r>
          </w:p>
        </w:tc>
        <w:tc>
          <w:tcPr>
            <w:tcW w:type="dxa" w:w="3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Cubrir el plazo de compra de material y fabricación. ⚠ El plazo real de JR no está en los datos: </w:t>
            </w:r>
            <w:r>
              <w:rPr>
                <w:b/>
                <w:bCs/>
                <w:color w:val="161A25"/>
                <w:sz w:val="17"/>
                <w:szCs w:val="17"/>
              </w:rPr>
              <w:t xml:space="preserve">por confirmar</w:t>
            </w:r>
            <w:r>
              <w:rPr>
                <w:color w:val="161A25"/>
                <w:sz w:val="17"/>
                <w:szCs w:val="17"/>
              </w:rPr>
              <w:t xml:space="preserve">.</w:t>
            </w:r>
          </w:p>
        </w:tc>
        <w:tc>
          <w:tcPr>
            <w:tcW w:type="dxa" w:w="31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Indicativo: se obtiene repitiendo el método, sin medir su error a 2 y 3 meses. Usar con el rango de error.</w:t>
            </w:r>
          </w:p>
        </w:tc>
      </w:tr>
      <w:tr>
        <w:trPr>
          <w:cantSplit/>
        </w:trPr>
        <w:tc>
          <w:tcPr>
            <w:tcW w:type="dxa" w:w="1900"/>
            <w:tcBorders>
              <w:top w:val="single" w:color="C9CBD2" w:sz="4"/>
              <w:left w:val="single" w:color="C9CBD2" w:sz="4"/>
              <w:bottom w:val="single" w:color="C9CBD2" w:sz="4"/>
              <w:right w:val="single" w:color="C9CBD2" w:sz="4"/>
            </w:tcBorders>
            <w:shd w:fill="F2F2F5" w:color="auto" w:val="clear"/>
            <w:tcMar>
              <w:top w:type="dxa" w:w="70"/>
              <w:left w:type="dxa" w:w="110"/>
              <w:bottom w:type="dxa" w:w="70"/>
              <w:right w:type="dxa" w:w="110"/>
            </w:tcMar>
            <w:vAlign w:val="top"/>
          </w:tcPr>
          <w:p>
            <w:pPr>
              <w:spacing w:after="40" w:line="252"/>
            </w:pPr>
            <w:r>
              <w:rPr>
                <w:b/>
                <w:bCs/>
                <w:color w:val="161A25"/>
                <w:sz w:val="17"/>
                <w:szCs w:val="17"/>
              </w:rPr>
              <w:t xml:space="preserve">De referencia</w:t>
            </w:r>
          </w:p>
        </w:tc>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 a 24 meses</w:t>
            </w:r>
          </w:p>
        </w:tc>
        <w:tc>
          <w:tcPr>
            <w:tcW w:type="dxa" w:w="3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Mostrar el horizonte completo en el software.</w:t>
            </w:r>
          </w:p>
        </w:tc>
        <w:tc>
          <w:tcPr>
            <w:tcW w:type="dxa" w:w="3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Solo muestra el </w:t>
            </w:r>
            <w:r>
              <w:rPr>
                <w:b/>
                <w:bCs/>
                <w:color w:val="161A25"/>
                <w:sz w:val="17"/>
                <w:szCs w:val="17"/>
              </w:rPr>
              <w:t xml:space="preserve">nivel</w:t>
            </w:r>
            <w:r>
              <w:rPr>
                <w:color w:val="161A25"/>
                <w:sz w:val="17"/>
                <w:szCs w:val="17"/>
              </w:rPr>
              <w:t xml:space="preserve">; no anticipa picos ni caídas. Presentarlo como “referencia”, no como compromiso.</w:t>
            </w:r>
          </w:p>
        </w:tc>
      </w:tr>
    </w:tbl>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none" w:color="FFFFFF" w:sz="0"/>
              <w:left w:val="single" w:color="303B8F" w:sz="24"/>
              <w:bottom w:val="none" w:color="FFFFFF" w:sz="0"/>
              <w:right w:val="none" w:color="FFFFFF" w:sz="0"/>
            </w:tcBorders>
            <w:shd w:fill="EEF0F8" w:val="clear"/>
            <w:tcMar>
              <w:top w:type="dxa" w:w="110"/>
              <w:left w:type="dxa" w:w="200"/>
              <w:bottom w:type="dxa" w:w="90"/>
              <w:right w:type="dxa" w:w="160"/>
            </w:tcMar>
          </w:tcPr>
          <w:p>
            <w:pPr>
              <w:spacing w:after="60" w:line="270"/>
            </w:pPr>
            <w:r>
              <w:rPr>
                <w:b/>
                <w:bCs/>
                <w:color w:val="303B8F"/>
                <w:sz w:val="20"/>
                <w:szCs w:val="20"/>
              </w:rPr>
              <w:t xml:space="preserve">Propuesta  </w:t>
            </w:r>
            <w:r>
              <w:rPr>
                <w:b/>
                <w:bCs/>
                <w:color w:val="161A25"/>
                <w:sz w:val="20"/>
                <w:szCs w:val="20"/>
              </w:rPr>
              <w:t xml:space="preserve">Horizonte requerido para decidir: 3 meses</w:t>
            </w:r>
            <w:r>
              <w:rPr>
                <w:color w:val="161A25"/>
                <w:sz w:val="20"/>
                <w:szCs w:val="20"/>
              </w:rPr>
              <w:t xml:space="preserve">, con el primer mes como horizonte de evaluación del error. El horizonte de 24 meses del software puede mostrarse, pero rotulado como </w:t>
            </w:r>
            <w:r>
              <w:rPr>
                <w:b/>
                <w:bCs/>
                <w:color w:val="161A25"/>
                <w:sz w:val="20"/>
                <w:szCs w:val="20"/>
              </w:rPr>
              <w:t xml:space="preserve">referencia de nivel</w:t>
            </w:r>
            <w:r>
              <w:rPr>
                <w:color w:val="161A25"/>
                <w:sz w:val="20"/>
                <w:szCs w:val="20"/>
              </w:rPr>
              <w:t xml:space="preserve">. Para respaldarlo hacen falta más historia (≥ 36 a 48 meses) y un método que incorpore tendencia. Esta propuesta debe validarla JR con sus plazos reales de compra y fabricación.</w:t>
            </w:r>
          </w:p>
        </w:tc>
      </w:tr>
    </w:tbl>
    <w:p>
      <w:pPr>
        <w:pStyle w:val="Heading1"/>
        <w:pageBreakBefore/>
      </w:pPr>
      <w:r>
        <w:t xml:space="preserve">PARTE 2. Pronóstico: criterios de aceptación, métodos y error</w:t>
      </w:r>
    </w:p>
    <w:p>
      <w:pPr>
        <w:spacing w:after="120" w:before="0" w:line="288"/>
      </w:pPr>
      <w:r>
        <w:rPr>
          <w:color w:val="161A25"/>
          <w:sz w:val="21"/>
          <w:szCs w:val="21"/>
        </w:rPr>
        <w:t xml:space="preserve">Objetivo: definir </w:t>
      </w:r>
      <w:r>
        <w:rPr>
          <w:b/>
          <w:bCs/>
          <w:color w:val="161A25"/>
          <w:sz w:val="21"/>
          <w:szCs w:val="21"/>
        </w:rPr>
        <w:t xml:space="preserve">cuándo un pronóstico es aceptable</w:t>
      </w:r>
      <w:r>
        <w:rPr>
          <w:color w:val="161A25"/>
          <w:sz w:val="21"/>
          <w:szCs w:val="21"/>
        </w:rPr>
        <w:t xml:space="preserve">, calcular los pronósticos esperados con </w:t>
      </w:r>
      <w:r>
        <w:rPr>
          <w:b/>
          <w:bCs/>
          <w:color w:val="161A25"/>
          <w:sz w:val="21"/>
          <w:szCs w:val="21"/>
        </w:rPr>
        <w:t xml:space="preserve">promedio móvil simple (PMS)</w:t>
      </w:r>
      <w:r>
        <w:rPr>
          <w:color w:val="161A25"/>
          <w:sz w:val="21"/>
          <w:szCs w:val="21"/>
        </w:rPr>
        <w:t xml:space="preserve"> y </w:t>
      </w:r>
      <w:r>
        <w:rPr>
          <w:b/>
          <w:bCs/>
          <w:color w:val="161A25"/>
          <w:sz w:val="21"/>
          <w:szCs w:val="21"/>
        </w:rPr>
        <w:t xml:space="preserve">promedio móvil ponderado (PMP)</w:t>
      </w:r>
      <w:r>
        <w:rPr>
          <w:color w:val="161A25"/>
          <w:sz w:val="21"/>
          <w:szCs w:val="21"/>
        </w:rPr>
        <w:t xml:space="preserve"> y explicar con las cifras reales qué significan el </w:t>
      </w:r>
      <w:r>
        <w:rPr>
          <w:b/>
          <w:bCs/>
          <w:color w:val="161A25"/>
          <w:sz w:val="21"/>
          <w:szCs w:val="21"/>
        </w:rPr>
        <w:t xml:space="preserve">MAD</w:t>
      </w:r>
      <w:r>
        <w:rPr>
          <w:color w:val="161A25"/>
          <w:sz w:val="21"/>
          <w:szCs w:val="21"/>
        </w:rPr>
        <w:t xml:space="preserve"> y el </w:t>
      </w:r>
      <w:r>
        <w:rPr>
          <w:b/>
          <w:bCs/>
          <w:color w:val="161A25"/>
          <w:sz w:val="21"/>
          <w:szCs w:val="21"/>
        </w:rPr>
        <w:t xml:space="preserve">MAPE</w:t>
      </w:r>
      <w:r>
        <w:rPr>
          <w:color w:val="161A25"/>
          <w:sz w:val="21"/>
          <w:szCs w:val="21"/>
        </w:rPr>
        <w:t xml:space="preserve"> en cada método.</w:t>
      </w:r>
    </w:p>
    <w:p>
      <w:pPr>
        <w:pStyle w:val="Heading2"/>
        <w:keepNext/>
      </w:pPr>
      <w:r>
        <w:t xml:space="preserve">2.1 Registro del proceso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00"/>
        <w:gridCol w:w="5072"/>
        <w:gridCol w:w="3700"/>
      </w:tblGrid>
      <w:tr>
        <w:trPr>
          <w:cantSplit/>
          <w:tblHeader/>
        </w:trPr>
        <w:tc>
          <w:tcPr>
            <w:tcW w:type="dxa" w:w="12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Paso</w:t>
            </w:r>
          </w:p>
        </w:tc>
        <w:tc>
          <w:tcPr>
            <w:tcW w:type="dxa" w:w="50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Qué se hace</w:t>
            </w:r>
          </w:p>
        </w:tc>
        <w:tc>
          <w:tcPr>
            <w:tcW w:type="dxa" w:w="3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Resultado</w:t>
            </w:r>
          </w:p>
        </w:tc>
      </w:tr>
      <w:tr>
        <w:trPr>
          <w:cantSplit/>
        </w:trPr>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Paso 8</w:t>
            </w:r>
          </w:p>
        </w:tc>
        <w:tc>
          <w:tcPr>
            <w:tcW w:type="dxa" w:w="50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Definir los métodos PMS y PMP y sus parámetros.</w:t>
            </w:r>
          </w:p>
        </w:tc>
        <w:tc>
          <w:tcPr>
            <w:tcW w:type="dxa" w:w="3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PMS con n = 2, 3, 4 · PMP con n = 2, 3 (pesos del libro).</w:t>
            </w:r>
          </w:p>
        </w:tc>
      </w:tr>
      <w:tr>
        <w:trPr>
          <w:cantSplit/>
        </w:trPr>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Paso 9</w:t>
            </w:r>
          </w:p>
        </w:tc>
        <w:tc>
          <w:tcPr>
            <w:tcW w:type="dxa" w:w="50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Especificar los criterios de aceptación (CA-01 a CA-08).</w:t>
            </w:r>
          </w:p>
        </w:tc>
        <w:tc>
          <w:tcPr>
            <w:tcW w:type="dxa" w:w="3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 criterios medibles + 1 de documentación.</w:t>
            </w:r>
          </w:p>
        </w:tc>
      </w:tr>
      <w:tr>
        <w:trPr>
          <w:cantSplit/>
        </w:trPr>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Paso 10</w:t>
            </w:r>
          </w:p>
        </w:tc>
        <w:tc>
          <w:tcPr>
            <w:tcW w:type="dxa" w:w="50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Calcular los pronósticos esperados (oct, nov, dic 2026).</w:t>
            </w:r>
          </w:p>
        </w:tc>
        <w:tc>
          <w:tcPr>
            <w:tcW w:type="dxa" w:w="3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Tabla con rango de error.</w:t>
            </w:r>
          </w:p>
        </w:tc>
      </w:tr>
      <w:tr>
        <w:trPr>
          <w:cantSplit/>
        </w:trPr>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Paso 11</w:t>
            </w:r>
          </w:p>
        </w:tc>
        <w:tc>
          <w:tcPr>
            <w:tcW w:type="dxa" w:w="50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Evaluar cada método con MAD, MAPE y los criterios.</w:t>
            </w:r>
          </w:p>
        </w:tc>
        <w:tc>
          <w:tcPr>
            <w:tcW w:type="dxa" w:w="3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Hierro: PMP 3 · Bronce: PMS 4.</w:t>
            </w:r>
          </w:p>
        </w:tc>
      </w:tr>
      <w:tr>
        <w:trPr>
          <w:cantSplit/>
        </w:trPr>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Paso 12</w:t>
            </w:r>
          </w:p>
        </w:tc>
        <w:tc>
          <w:tcPr>
            <w:tcW w:type="dxa" w:w="50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Explicar MAD y MAPE en PMS y en PMP.</w:t>
            </w:r>
          </w:p>
        </w:tc>
        <w:tc>
          <w:tcPr>
            <w:tcW w:type="dxa" w:w="3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Sección 2.6, con ejemplos reales.</w:t>
            </w:r>
          </w:p>
        </w:tc>
      </w:tr>
    </w:tbl>
    <w:p>
      <w:pPr>
        <w:spacing w:after="60"/>
      </w:pPr>
    </w:p>
    <w:p>
      <w:pPr>
        <w:pStyle w:val="Heading2"/>
        <w:keepNext/>
      </w:pPr>
      <w:r>
        <w:t xml:space="preserve">2.2 Paso 8 · Los dos métodos</w:t>
      </w:r>
    </w:p>
    <w:p>
      <w:pPr>
        <w:pStyle w:val="Heading3"/>
        <w:keepNext/>
      </w:pPr>
      <w:r>
        <w:t xml:space="preserve">Promedio móvil simple (PMS)</w:t>
      </w:r>
    </w:p>
    <w:p>
      <w:pPr>
        <w:spacing w:after="120" w:before="0" w:line="288"/>
      </w:pPr>
      <w:r>
        <w:rPr>
          <w:color w:val="161A25"/>
          <w:sz w:val="21"/>
          <w:szCs w:val="21"/>
        </w:rPr>
        <w:t xml:space="preserve">Pronostica el mes siguiente como el </w:t>
      </w:r>
      <w:r>
        <w:rPr>
          <w:b/>
          <w:bCs/>
          <w:color w:val="161A25"/>
          <w:sz w:val="21"/>
          <w:szCs w:val="21"/>
        </w:rPr>
        <w:t xml:space="preserve">promedio de los últimos n meses</w:t>
      </w:r>
      <w:r>
        <w:rPr>
          <w:color w:val="161A25"/>
          <w:sz w:val="21"/>
          <w:szCs w:val="21"/>
        </w:rPr>
        <w:t xml:space="preserve">, dándole el mismo peso a cada uno.</w:t>
      </w:r>
    </w:p>
    <w:p>
      <w:pPr>
        <w:pBdr>
          <w:left w:val="single" w:color="303B8F" w:sz="18" w:space="8"/>
        </w:pBdr>
        <w:shd w:fill="F5F2EA" w:val="clear"/>
        <w:spacing w:after="0" w:before="80" w:line="240"/>
        <w:ind w:left="200"/>
      </w:pPr>
      <w:r>
        <w:rPr>
          <w:rFonts w:ascii="Consolas" w:cs="Consolas" w:eastAsia="Consolas" w:hAnsi="Consolas"/>
          <w:color w:val="161A25"/>
          <w:sz w:val="16"/>
          <w:szCs w:val="16"/>
        </w:rPr>
        <w:t xml:space="preserve">Pronóstico del mes t  =  (venta del mes t−1 + t−2 + … + t−n) ÷ n</w:t>
      </w:r>
    </w:p>
    <w:p>
      <w:pPr>
        <w:pBdr>
          <w:left w:val="single" w:color="303B8F" w:sz="18" w:space="8"/>
        </w:pBdr>
        <w:shd w:fill="F5F2EA" w:val="clear"/>
        <w:spacing w:after="0" w:before="0" w:line="240"/>
        <w:ind w:left="200"/>
      </w:pPr>
      <w:r>
        <w:rPr>
          <w:rFonts w:ascii="Consolas" w:cs="Consolas" w:eastAsia="Consolas" w:hAnsi="Consolas"/>
          <w:color w:val="161A25"/>
          <w:sz w:val="16"/>
          <w:szCs w:val="16"/>
        </w:rPr>
        <w:t xml:space="preserve"> </w:t>
      </w:r>
    </w:p>
    <w:p>
      <w:pPr>
        <w:pBdr>
          <w:left w:val="single" w:color="303B8F" w:sz="18" w:space="8"/>
        </w:pBdr>
        <w:shd w:fill="F5F2EA" w:val="clear"/>
        <w:spacing w:after="0" w:before="0" w:line="240"/>
        <w:ind w:left="200"/>
      </w:pPr>
      <w:r>
        <w:rPr>
          <w:rFonts w:ascii="Consolas" w:cs="Consolas" w:eastAsia="Consolas" w:hAnsi="Consolas"/>
          <w:color w:val="161A25"/>
          <w:sz w:val="16"/>
          <w:szCs w:val="16"/>
        </w:rPr>
        <w:t xml:space="preserve">Ejemplo, Clutch Hierro, n = 3, pronóstico de ene-2026:</w:t>
      </w:r>
    </w:p>
    <w:p>
      <w:pPr>
        <w:pBdr>
          <w:left w:val="single" w:color="303B8F" w:sz="18" w:space="8"/>
        </w:pBdr>
        <w:shd w:fill="F5F2EA" w:val="clear"/>
        <w:spacing w:after="160" w:before="0" w:line="240"/>
        <w:ind w:left="200"/>
      </w:pPr>
      <w:r>
        <w:rPr>
          <w:rFonts w:ascii="Consolas" w:cs="Consolas" w:eastAsia="Consolas" w:hAnsi="Consolas"/>
          <w:color w:val="161A25"/>
          <w:sz w:val="16"/>
          <w:szCs w:val="16"/>
        </w:rPr>
        <w:t xml:space="preserve">   (oct-2025 14.200 + nov-2025 11.600 + dic-2025 19.500) ÷ 3  =  15.100</w:t>
      </w:r>
    </w:p>
    <w:p>
      <w:pPr>
        <w:spacing w:after="120" w:before="0" w:line="288"/>
      </w:pPr>
      <w:r>
        <w:rPr>
          <w:b/>
          <w:bCs/>
          <w:color w:val="161A25"/>
          <w:sz w:val="21"/>
          <w:szCs w:val="21"/>
        </w:rPr>
        <w:t xml:space="preserve">Qué significa n:</w:t>
      </w:r>
      <w:r>
        <w:rPr>
          <w:color w:val="161A25"/>
          <w:sz w:val="21"/>
          <w:szCs w:val="21"/>
        </w:rPr>
        <w:t xml:space="preserve"> un n </w:t>
      </w:r>
      <w:r>
        <w:rPr>
          <w:b/>
          <w:bCs/>
          <w:color w:val="161A25"/>
          <w:sz w:val="21"/>
          <w:szCs w:val="21"/>
        </w:rPr>
        <w:t xml:space="preserve">pequeño</w:t>
      </w:r>
      <w:r>
        <w:rPr>
          <w:color w:val="161A25"/>
          <w:sz w:val="21"/>
          <w:szCs w:val="21"/>
        </w:rPr>
        <w:t xml:space="preserve"> reacciona rápido a los cambios, pero copia el ruido del último mes; un n </w:t>
      </w:r>
      <w:r>
        <w:rPr>
          <w:b/>
          <w:bCs/>
          <w:color w:val="161A25"/>
          <w:sz w:val="21"/>
          <w:szCs w:val="21"/>
        </w:rPr>
        <w:t xml:space="preserve">grande</w:t>
      </w:r>
      <w:r>
        <w:rPr>
          <w:color w:val="161A25"/>
          <w:sz w:val="21"/>
          <w:szCs w:val="21"/>
        </w:rPr>
        <w:t xml:space="preserve"> suaviza el ruido, pero tarda en notar que el nivel cambió.</w:t>
      </w:r>
    </w:p>
    <w:p>
      <w:pPr>
        <w:pStyle w:val="Heading3"/>
        <w:keepNext/>
      </w:pPr>
      <w:r>
        <w:t xml:space="preserve">Promedio móvil ponderado (PMP)</w:t>
      </w:r>
    </w:p>
    <w:p>
      <w:pPr>
        <w:spacing w:after="120" w:before="0" w:line="288"/>
      </w:pPr>
      <w:r>
        <w:rPr>
          <w:color w:val="161A25"/>
          <w:sz w:val="21"/>
          <w:szCs w:val="21"/>
        </w:rPr>
        <w:t xml:space="preserve">También promedia los últimos n meses, pero </w:t>
      </w:r>
      <w:r>
        <w:rPr>
          <w:b/>
          <w:bCs/>
          <w:color w:val="161A25"/>
          <w:sz w:val="21"/>
          <w:szCs w:val="21"/>
        </w:rPr>
        <w:t xml:space="preserve">cada mes tiene un peso distinto</w:t>
      </w:r>
      <w:r>
        <w:rPr>
          <w:color w:val="161A25"/>
          <w:sz w:val="21"/>
          <w:szCs w:val="21"/>
        </w:rPr>
        <w:t xml:space="preserve"> (los pesos suman 1).</w:t>
      </w:r>
    </w:p>
    <w:p>
      <w:pPr>
        <w:pBdr>
          <w:left w:val="single" w:color="303B8F" w:sz="18" w:space="8"/>
        </w:pBdr>
        <w:shd w:fill="F5F2EA" w:val="clear"/>
        <w:spacing w:after="0" w:before="80" w:line="240"/>
        <w:ind w:left="200"/>
      </w:pPr>
      <w:r>
        <w:rPr>
          <w:rFonts w:ascii="Consolas" w:cs="Consolas" w:eastAsia="Consolas" w:hAnsi="Consolas"/>
          <w:color w:val="161A25"/>
          <w:sz w:val="16"/>
          <w:szCs w:val="16"/>
        </w:rPr>
        <w:t xml:space="preserve">Pronóstico del mes t  =  P1 × (mes t−1) + P2 × (mes t−2) + … + Pn × (mes t−n)</w:t>
      </w:r>
    </w:p>
    <w:p>
      <w:pPr>
        <w:pBdr>
          <w:left w:val="single" w:color="303B8F" w:sz="18" w:space="8"/>
        </w:pBdr>
        <w:shd w:fill="F5F2EA" w:val="clear"/>
        <w:spacing w:after="0" w:before="0" w:line="240"/>
        <w:ind w:left="200"/>
      </w:pPr>
      <w:r>
        <w:rPr>
          <w:rFonts w:ascii="Consolas" w:cs="Consolas" w:eastAsia="Consolas" w:hAnsi="Consolas"/>
          <w:color w:val="161A25"/>
          <w:sz w:val="16"/>
          <w:szCs w:val="16"/>
        </w:rPr>
        <w:t xml:space="preserve"> </w:t>
      </w:r>
    </w:p>
    <w:p>
      <w:pPr>
        <w:pBdr>
          <w:left w:val="single" w:color="303B8F" w:sz="18" w:space="8"/>
        </w:pBdr>
        <w:shd w:fill="F5F2EA" w:val="clear"/>
        <w:spacing w:after="0" w:before="0" w:line="240"/>
        <w:ind w:left="200"/>
      </w:pPr>
      <w:r>
        <w:rPr>
          <w:rFonts w:ascii="Consolas" w:cs="Consolas" w:eastAsia="Consolas" w:hAnsi="Consolas"/>
          <w:color w:val="161A25"/>
          <w:sz w:val="16"/>
          <w:szCs w:val="16"/>
        </w:rPr>
        <w:t xml:space="preserve">Ejemplo, Clutch Hierro, n = 3, pesos del libro (0,3 · 0,3 · 0,4), pronóstico de jul-2024:</w:t>
      </w:r>
    </w:p>
    <w:p>
      <w:pPr>
        <w:pBdr>
          <w:left w:val="single" w:color="303B8F" w:sz="18" w:space="8"/>
        </w:pBdr>
        <w:shd w:fill="F5F2EA" w:val="clear"/>
        <w:spacing w:after="160" w:before="0" w:line="240"/>
        <w:ind w:left="200"/>
      </w:pPr>
      <w:r>
        <w:rPr>
          <w:rFonts w:ascii="Consolas" w:cs="Consolas" w:eastAsia="Consolas" w:hAnsi="Consolas"/>
          <w:color w:val="161A25"/>
          <w:sz w:val="16"/>
          <w:szCs w:val="16"/>
        </w:rPr>
        <w:t xml:space="preserve">   0,3 × 34.300 (jun) + 0,3 × 24.130 (may) + 0,4 × 35.400 (abr)  =  31.689</w:t>
      </w:r>
    </w:p>
    <w:p>
      <w:pPr>
        <w:pStyle w:val="Heading3"/>
        <w:keepNext/>
      </w:pPr>
      <w:r>
        <w:t xml:space="preserve">Parámetros usados (los del libro de Excel)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00"/>
        <w:gridCol w:w="3336"/>
        <w:gridCol w:w="3336"/>
      </w:tblGrid>
      <w:tr>
        <w:trPr>
          <w:cantSplit/>
          <w:tblHeader/>
        </w:trPr>
        <w:tc>
          <w:tcPr>
            <w:tcW w:type="dxa" w:w="33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Método</w:t>
            </w:r>
          </w:p>
        </w:tc>
        <w:tc>
          <w:tcPr>
            <w:tcW w:type="dxa" w:w="33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Clutch Hierro y Clutch Bronce</w:t>
            </w:r>
          </w:p>
        </w:tc>
        <w:tc>
          <w:tcPr>
            <w:tcW w:type="dxa" w:w="33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Acelerador (reserva)</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PMS</w:t>
            </w:r>
          </w:p>
        </w:tc>
        <w:tc>
          <w:tcPr>
            <w:tcW w:type="dxa" w:w="33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n = 2, 3 y 4 (pesos iguales)</w:t>
            </w:r>
          </w:p>
        </w:tc>
        <w:tc>
          <w:tcPr>
            <w:tcW w:type="dxa" w:w="33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n = 2, 3 y 4</w:t>
            </w:r>
          </w:p>
        </w:tc>
      </w:tr>
      <w:tr>
        <w:trPr>
          <w:cantSplit/>
        </w:trPr>
        <w:tc>
          <w:tcPr>
            <w:tcW w:type="dxa" w:w="33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PMP, n = 2</w:t>
            </w:r>
          </w:p>
        </w:tc>
        <w:tc>
          <w:tcPr>
            <w:tcW w:type="dxa" w:w="33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Mes anterior 0,3 · hace 2 meses 0,7</w:t>
            </w:r>
          </w:p>
        </w:tc>
        <w:tc>
          <w:tcPr>
            <w:tcW w:type="dxa" w:w="33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Mes anterior 0,4 · hace 2 meses 0,6</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PMP, n = 3</w:t>
            </w:r>
          </w:p>
        </w:tc>
        <w:tc>
          <w:tcPr>
            <w:tcW w:type="dxa" w:w="33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Mes anterior 0,3 · hace 2 meses 0,3 · hace 3 meses 0,4</w:t>
            </w:r>
          </w:p>
        </w:tc>
        <w:tc>
          <w:tcPr>
            <w:tcW w:type="dxa" w:w="33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Igual</w:t>
            </w:r>
          </w:p>
        </w:tc>
      </w:tr>
    </w:tbl>
    <w:p>
      <w:pPr>
        <w:spacing w:after="6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none" w:color="FFFFFF" w:sz="0"/>
              <w:left w:val="single" w:color="F0A43A" w:sz="24"/>
              <w:bottom w:val="none" w:color="FFFFFF" w:sz="0"/>
              <w:right w:val="none" w:color="FFFFFF" w:sz="0"/>
            </w:tcBorders>
            <w:shd w:fill="FDF5E7" w:val="clear"/>
            <w:tcMar>
              <w:top w:type="dxa" w:w="110"/>
              <w:left w:type="dxa" w:w="200"/>
              <w:bottom w:type="dxa" w:w="90"/>
              <w:right w:type="dxa" w:w="160"/>
            </w:tcMar>
          </w:tcPr>
          <w:p>
            <w:pPr>
              <w:spacing w:after="60" w:line="270"/>
            </w:pPr>
            <w:r>
              <w:rPr>
                <w:b/>
                <w:bCs/>
                <w:color w:val="F0A43A"/>
                <w:sz w:val="20"/>
                <w:szCs w:val="20"/>
              </w:rPr>
              <w:t xml:space="preserve">⚠ Hallazgo sobre los pesos  </w:t>
            </w:r>
            <w:r>
              <w:rPr>
                <w:color w:val="161A25"/>
                <w:sz w:val="20"/>
                <w:szCs w:val="20"/>
              </w:rPr>
              <w:t xml:space="preserve">En el libro el </w:t>
            </w:r>
            <w:r>
              <w:rPr>
                <w:b/>
                <w:bCs/>
                <w:color w:val="161A25"/>
                <w:sz w:val="20"/>
                <w:szCs w:val="20"/>
              </w:rPr>
              <w:t xml:space="preserve">peso mayor está en el dato más antiguo</w:t>
            </w:r>
            <w:r>
              <w:rPr>
                <w:color w:val="161A25"/>
                <w:sz w:val="20"/>
                <w:szCs w:val="20"/>
              </w:rPr>
              <w:t xml:space="preserve"> (0,7 sobre el mes de hace dos meses y 0,3 sobre el mes anterior). Lo habitual en un promedio ponderado es lo contrario: dar más peso a lo más reciente. Se comprobó con una celda: para el acelerador de marzo de 2024, el libro da 8.920 = 0,6 × 7.000 (enero) + 0,4 × 11.800 (febrero).</w:t>
            </w:r>
          </w:p>
          <w:p>
            <w:pPr>
              <w:spacing w:after="60" w:line="270"/>
            </w:pPr>
            <w:r>
              <w:rPr>
                <w:color w:val="161A25"/>
                <w:sz w:val="20"/>
                <w:szCs w:val="20"/>
              </w:rPr>
              <w:t xml:space="preserve">No es necesariamente un error: se probó también el orden contrario (mismos pesos, pero más peso al mes reciente) y </w:t>
            </w:r>
            <w:r>
              <w:rPr>
                <w:b/>
                <w:bCs/>
                <w:color w:val="161A25"/>
                <w:sz w:val="20"/>
                <w:szCs w:val="20"/>
              </w:rPr>
              <w:t xml:space="preserve">empeora un poco el error</w:t>
            </w:r>
            <w:r>
              <w:rPr>
                <w:color w:val="161A25"/>
                <w:sz w:val="20"/>
                <w:szCs w:val="20"/>
              </w:rPr>
              <w:t xml:space="preserve"> en estas series, porque casi no tienen “memoria” de un mes al siguiente (ver 2.6). Se usan los pesos del libro y se deja el contraste como sensibilidad:</w:t>
            </w:r>
          </w:p>
        </w:tc>
      </w:tr>
    </w:tbl>
    <w:p>
      <w:pPr>
        <w:spacing w:after="4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3136"/>
        <w:gridCol w:w="3136"/>
      </w:tblGrid>
      <w:tr>
        <w:trPr>
          <w:cantSplit/>
          <w:tblHeader/>
        </w:trPr>
        <w:tc>
          <w:tcPr>
            <w:tcW w:type="dxa" w:w="23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Serie</w:t>
            </w:r>
          </w:p>
        </w:tc>
        <w:tc>
          <w:tcPr>
            <w:tcW w:type="dxa" w:w="14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PMP</w:t>
            </w:r>
          </w:p>
        </w:tc>
        <w:tc>
          <w:tcPr>
            <w:tcW w:type="dxa" w:w="31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Pesos del libro (más peso al dato antiguo): MAD · MAPE</w:t>
            </w:r>
          </w:p>
        </w:tc>
        <w:tc>
          <w:tcPr>
            <w:tcW w:type="dxa" w:w="31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Orden contrario (más peso al reciente): MAD · MAPE</w:t>
            </w:r>
          </w:p>
        </w:tc>
      </w:tr>
      <w:tr>
        <w:trPr>
          <w:cantSplit/>
        </w:trPr>
        <w:tc>
          <w:tcPr>
            <w:tcW w:type="dxa" w:w="2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Clutch Hierro</w:t>
            </w:r>
          </w:p>
        </w:tc>
        <w:tc>
          <w:tcPr>
            <w:tcW w:type="dxa" w:w="14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n = 2</w:t>
            </w:r>
          </w:p>
        </w:tc>
        <w:tc>
          <w:tcPr>
            <w:tcW w:type="dxa" w:w="31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8.423 · 76 %</w:t>
            </w:r>
          </w:p>
        </w:tc>
        <w:tc>
          <w:tcPr>
            <w:tcW w:type="dxa" w:w="31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8.884 · 77 %</w:t>
            </w:r>
          </w:p>
        </w:tc>
      </w:tr>
      <w:tr>
        <w:trPr>
          <w:cantSplit/>
        </w:trPr>
        <w:tc>
          <w:tcPr>
            <w:tcW w:type="dxa" w:w="23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Clutch Hierro</w:t>
            </w:r>
          </w:p>
        </w:tc>
        <w:tc>
          <w:tcPr>
            <w:tcW w:type="dxa" w:w="14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n = 3</w:t>
            </w:r>
          </w:p>
        </w:tc>
        <w:tc>
          <w:tcPr>
            <w:tcW w:type="dxa" w:w="31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7.575 · 72 %</w:t>
            </w:r>
          </w:p>
        </w:tc>
        <w:tc>
          <w:tcPr>
            <w:tcW w:type="dxa" w:w="31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7.658 · 72 %</w:t>
            </w:r>
          </w:p>
        </w:tc>
      </w:tr>
      <w:tr>
        <w:trPr>
          <w:cantSplit/>
        </w:trPr>
        <w:tc>
          <w:tcPr>
            <w:tcW w:type="dxa" w:w="2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Clutch Bronce</w:t>
            </w:r>
          </w:p>
        </w:tc>
        <w:tc>
          <w:tcPr>
            <w:tcW w:type="dxa" w:w="14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n = 2</w:t>
            </w:r>
          </w:p>
        </w:tc>
        <w:tc>
          <w:tcPr>
            <w:tcW w:type="dxa" w:w="31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1.847 · 51 %</w:t>
            </w:r>
          </w:p>
        </w:tc>
        <w:tc>
          <w:tcPr>
            <w:tcW w:type="dxa" w:w="31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1.995 · 59 %</w:t>
            </w:r>
          </w:p>
        </w:tc>
      </w:tr>
      <w:tr>
        <w:trPr>
          <w:cantSplit/>
        </w:trPr>
        <w:tc>
          <w:tcPr>
            <w:tcW w:type="dxa" w:w="23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Clutch Bronce</w:t>
            </w:r>
          </w:p>
        </w:tc>
        <w:tc>
          <w:tcPr>
            <w:tcW w:type="dxa" w:w="14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n = 3</w:t>
            </w:r>
          </w:p>
        </w:tc>
        <w:tc>
          <w:tcPr>
            <w:tcW w:type="dxa" w:w="31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1.740 · 52 %</w:t>
            </w:r>
          </w:p>
        </w:tc>
        <w:tc>
          <w:tcPr>
            <w:tcW w:type="dxa" w:w="31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1.775 · 53 %</w:t>
            </w:r>
          </w:p>
        </w:tc>
      </w:tr>
    </w:tbl>
    <w:p>
      <w:pPr>
        <w:spacing w:after="60"/>
      </w:pPr>
    </w:p>
    <w:p>
      <w:pPr>
        <w:pStyle w:val="Heading2"/>
        <w:keepNext/>
      </w:pPr>
      <w:r>
        <w:t xml:space="preserve">2.3 Paso 9 · Especificación de criterios de aceptación</w:t>
      </w:r>
    </w:p>
    <w:p>
      <w:pPr>
        <w:spacing w:after="80" w:before="0" w:line="288"/>
      </w:pPr>
      <w:r>
        <w:rPr>
          <w:color w:val="161A25"/>
          <w:sz w:val="21"/>
          <w:szCs w:val="21"/>
        </w:rPr>
        <w:t xml:space="preserve">Un pronóstico se acepta si cumple </w:t>
      </w:r>
      <w:r>
        <w:rPr>
          <w:b/>
          <w:bCs/>
          <w:color w:val="161A25"/>
          <w:sz w:val="21"/>
          <w:szCs w:val="21"/>
        </w:rPr>
        <w:t xml:space="preserve">criterios medibles</w:t>
      </w:r>
      <w:r>
        <w:rPr>
          <w:color w:val="161A25"/>
          <w:sz w:val="21"/>
          <w:szCs w:val="21"/>
        </w:rPr>
        <w:t xml:space="preserve"> definidos </w:t>
      </w:r>
      <w:r>
        <w:rPr>
          <w:b/>
          <w:bCs/>
          <w:color w:val="161A25"/>
          <w:sz w:val="21"/>
          <w:szCs w:val="21"/>
        </w:rPr>
        <w:t xml:space="preserve">antes</w:t>
      </w:r>
      <w:r>
        <w:rPr>
          <w:color w:val="161A25"/>
          <w:sz w:val="21"/>
          <w:szCs w:val="21"/>
        </w:rPr>
        <w:t xml:space="preserve"> de ver el resultado. Los umbrales son una </w:t>
      </w:r>
      <w:r>
        <w:rPr>
          <w:b/>
          <w:bCs/>
          <w:color w:val="161A25"/>
          <w:sz w:val="21"/>
          <w:szCs w:val="21"/>
        </w:rPr>
        <w:t xml:space="preserve">propuesta</w:t>
      </w:r>
      <w:r>
        <w:rPr>
          <w:color w:val="161A25"/>
          <w:sz w:val="21"/>
          <w:szCs w:val="21"/>
        </w:rPr>
        <w:t xml:space="preserve"> para validar con JR; la lógica de cada uno está en la última columna.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700"/>
        <w:gridCol w:w="2000"/>
        <w:gridCol w:w="2372"/>
      </w:tblGrid>
      <w:tr>
        <w:trPr>
          <w:cantSplit/>
          <w:tblHeader/>
        </w:trPr>
        <w:tc>
          <w:tcPr>
            <w:tcW w:type="dxa" w:w="9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ID</w:t>
            </w:r>
          </w:p>
        </w:tc>
        <w:tc>
          <w:tcPr>
            <w:tcW w:type="dxa" w:w="20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Criterio</w:t>
            </w:r>
          </w:p>
        </w:tc>
        <w:tc>
          <w:tcPr>
            <w:tcW w:type="dxa" w:w="2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Cómo se mide</w:t>
            </w:r>
          </w:p>
        </w:tc>
        <w:tc>
          <w:tcPr>
            <w:tcW w:type="dxa" w:w="20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Umbral</w:t>
            </w:r>
          </w:p>
        </w:tc>
        <w:tc>
          <w:tcPr>
            <w:tcW w:type="dxa" w:w="23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Por qué</w:t>
            </w:r>
          </w:p>
        </w:tc>
      </w:tr>
      <w:tr>
        <w:trPr>
          <w:cantSplit/>
        </w:trPr>
        <w:tc>
          <w:tcPr>
            <w:tcW w:type="dxa" w:w="9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6"/>
                <w:szCs w:val="16"/>
              </w:rPr>
              <w:t xml:space="preserve">CA-01</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Datos íntegros</w:t>
            </w:r>
          </w:p>
        </w:tc>
        <w:tc>
          <w:tcPr>
            <w:tcW w:type="dxa" w:w="2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Pruebas V1 a V8 de la Parte 1.</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Todas ✔, o cada observación documentada.</w:t>
            </w:r>
          </w:p>
        </w:tc>
        <w:tc>
          <w:tcPr>
            <w:tcW w:type="dxa" w:w="2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Un pronóstico no puede ser mejor que sus datos.</w:t>
            </w:r>
          </w:p>
        </w:tc>
      </w:tr>
      <w:tr>
        <w:trPr>
          <w:cantSplit/>
        </w:trPr>
        <w:tc>
          <w:tcPr>
            <w:tcW w:type="dxa" w:w="9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6"/>
                <w:szCs w:val="16"/>
              </w:rPr>
              <w:t xml:space="preserve">CA-02</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Método reproducible</w:t>
            </w:r>
          </w:p>
        </w:tc>
        <w:tc>
          <w:tcPr>
            <w:tcW w:type="dxa" w:w="2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Método, n y pesos declarados; pesos suman 1; pronóstico del mes t calculado solo con datos hasta t−1.</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Cumple las tres condiciones.</w:t>
            </w:r>
          </w:p>
        </w:tc>
        <w:tc>
          <w:tcPr>
            <w:tcW w:type="dxa" w:w="2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Cualquiera debe poder repetir el cálculo y no hay “trampa” de mirar el futuro.</w:t>
            </w:r>
          </w:p>
        </w:tc>
      </w:tr>
      <w:tr>
        <w:trPr>
          <w:cantSplit/>
        </w:trPr>
        <w:tc>
          <w:tcPr>
            <w:tcW w:type="dxa" w:w="9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6"/>
                <w:szCs w:val="16"/>
              </w:rPr>
              <w:t xml:space="preserve">CA-03</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Supera al pronóstico ingenuo</w:t>
            </w:r>
          </w:p>
        </w:tc>
        <w:tc>
          <w:tcPr>
            <w:tcW w:type="dxa" w:w="2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MAD del método ÷ MAD del pronóstico ingenuo (“el próximo mes será igual al último”).</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1,00</w:t>
            </w:r>
          </w:p>
        </w:tc>
        <w:tc>
          <w:tcPr>
            <w:tcW w:type="dxa" w:w="2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Si no mejora la regla más simple, no justifica su complejidad.</w:t>
            </w:r>
          </w:p>
        </w:tc>
      </w:tr>
      <w:tr>
        <w:trPr>
          <w:cantSplit/>
        </w:trPr>
        <w:tc>
          <w:tcPr>
            <w:tcW w:type="dxa" w:w="9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6"/>
                <w:szCs w:val="16"/>
              </w:rPr>
              <w:t xml:space="preserve">CA-04</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No peor que el promedio histórico</w:t>
            </w:r>
          </w:p>
        </w:tc>
        <w:tc>
          <w:tcPr>
            <w:tcW w:type="dxa" w:w="2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MAD del método ÷ MAD del promedio de todos los meses anteriores.</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 1,10</w:t>
            </w:r>
          </w:p>
        </w:tc>
        <w:tc>
          <w:tcPr>
            <w:tcW w:type="dxa" w:w="2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En series sin tendencia, el promedio de todo es una referencia exigente; se tolera 10 % por ruido.</w:t>
            </w:r>
          </w:p>
        </w:tc>
      </w:tr>
      <w:tr>
        <w:trPr>
          <w:cantSplit/>
        </w:trPr>
        <w:tc>
          <w:tcPr>
            <w:tcW w:type="dxa" w:w="9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6"/>
                <w:szCs w:val="16"/>
              </w:rPr>
              <w:t xml:space="preserve">CA-05</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Error porcentual razonable</w:t>
            </w:r>
          </w:p>
        </w:tc>
        <w:tc>
          <w:tcPr>
            <w:tcW w:type="dxa" w:w="2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MAPE.</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50 %</w:t>
            </w:r>
          </w:p>
        </w:tc>
        <w:tc>
          <w:tcPr>
            <w:tcW w:type="dxa" w:w="2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Escala de Lewis (1982), de uso común: menos de 10 % muy exacto, 10–20 % bueno, 20–50 % razonable, más de 50 % inexacto.</w:t>
            </w:r>
          </w:p>
        </w:tc>
      </w:tr>
      <w:tr>
        <w:trPr>
          <w:cantSplit/>
        </w:trPr>
        <w:tc>
          <w:tcPr>
            <w:tcW w:type="dxa" w:w="9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6"/>
                <w:szCs w:val="16"/>
              </w:rPr>
              <w:t xml:space="preserve">CA-06</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Sin sesgo sostenido</w:t>
            </w:r>
          </w:p>
        </w:tc>
        <w:tc>
          <w:tcPr>
            <w:tcW w:type="dxa" w:w="2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Señal de seguimiento = suma de errores ÷ MAD.</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|señal| ≤ 4</w:t>
            </w:r>
          </w:p>
        </w:tc>
        <w:tc>
          <w:tcPr>
            <w:tcW w:type="dxa" w:w="2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Regla práctica habitual: si los errores se acumulan en un solo sentido, el método se equivoca siempre para el mismo lado.</w:t>
            </w:r>
          </w:p>
        </w:tc>
      </w:tr>
      <w:tr>
        <w:trPr>
          <w:cantSplit/>
        </w:trPr>
        <w:tc>
          <w:tcPr>
            <w:tcW w:type="dxa" w:w="9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6"/>
                <w:szCs w:val="16"/>
              </w:rPr>
              <w:t xml:space="preserve">CA-07</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No se deteriora</w:t>
            </w:r>
          </w:p>
        </w:tc>
        <w:tc>
          <w:tcPr>
            <w:tcW w:type="dxa" w:w="2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MAD de los últimos 12 meses ÷ MAD de todo el periodo.</w:t>
            </w:r>
          </w:p>
        </w:tc>
        <w:tc>
          <w:tcPr>
            <w:tcW w:type="dxa" w:w="20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 1,20</w:t>
            </w:r>
          </w:p>
        </w:tc>
        <w:tc>
          <w:tcPr>
            <w:tcW w:type="dxa" w:w="2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Detecta si el método empeora justo ahora.</w:t>
            </w:r>
          </w:p>
        </w:tc>
      </w:tr>
      <w:tr>
        <w:trPr>
          <w:cantSplit/>
        </w:trPr>
        <w:tc>
          <w:tcPr>
            <w:tcW w:type="dxa" w:w="9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6"/>
                <w:szCs w:val="16"/>
              </w:rPr>
              <w:t xml:space="preserve">CA-08</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Se informa completo</w:t>
            </w:r>
          </w:p>
        </w:tc>
        <w:tc>
          <w:tcPr>
            <w:tcW w:type="dxa" w:w="2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Cada pronóstico se publica con método, parámetros, MAD, MAPE y rango.</w:t>
            </w:r>
          </w:p>
        </w:tc>
        <w:tc>
          <w:tcPr>
            <w:tcW w:type="dxa" w:w="20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Siempre</w:t>
            </w:r>
          </w:p>
        </w:tc>
        <w:tc>
          <w:tcPr>
            <w:tcW w:type="dxa" w:w="2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Sin el error, la cifra se lee como una certeza.</w:t>
            </w:r>
          </w:p>
        </w:tc>
      </w:tr>
    </w:tbl>
    <w:p>
      <w:pPr>
        <w:spacing w:after="60"/>
      </w:pPr>
    </w:p>
    <w:p>
      <w:pPr>
        <w:pStyle w:val="Heading3"/>
        <w:keepNext/>
      </w:pPr>
      <w:r>
        <w:t xml:space="preserve">Cómo se decide el veredicto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00"/>
        <w:gridCol w:w="7472"/>
      </w:tblGrid>
      <w:tr>
        <w:trPr>
          <w:cantSplit/>
          <w:tblHeader/>
        </w:trPr>
        <w:tc>
          <w:tcPr>
            <w:tcW w:type="dxa" w:w="2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Veredicto</w:t>
            </w:r>
          </w:p>
        </w:tc>
        <w:tc>
          <w:tcPr>
            <w:tcW w:type="dxa" w:w="74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Regla</w:t>
            </w:r>
          </w:p>
        </w:tc>
      </w:tr>
      <w:tr>
        <w:trPr>
          <w:cantSplit/>
        </w:trPr>
        <w:tc>
          <w:tcPr>
            <w:tcW w:type="dxa" w:w="2500"/>
            <w:tcBorders>
              <w:top w:val="single" w:color="C9CBD2" w:sz="4"/>
              <w:left w:val="single" w:color="C9CBD2" w:sz="4"/>
              <w:bottom w:val="single" w:color="C9CBD2" w:sz="4"/>
              <w:right w:val="single" w:color="C9CBD2" w:sz="4"/>
            </w:tcBorders>
            <w:shd w:fill="E3F5EC" w:color="auto" w:val="clear"/>
            <w:tcMar>
              <w:top w:type="dxa" w:w="70"/>
              <w:left w:type="dxa" w:w="110"/>
              <w:bottom w:type="dxa" w:w="70"/>
              <w:right w:type="dxa" w:w="110"/>
            </w:tcMar>
            <w:vAlign w:val="top"/>
          </w:tcPr>
          <w:p>
            <w:pPr>
              <w:spacing w:after="40" w:line="252"/>
            </w:pPr>
            <w:r>
              <w:rPr>
                <w:b/>
                <w:bCs/>
                <w:color w:val="161A25"/>
                <w:sz w:val="17"/>
                <w:szCs w:val="17"/>
              </w:rPr>
              <w:t xml:space="preserve">Aceptado</w:t>
            </w:r>
          </w:p>
        </w:tc>
        <w:tc>
          <w:tcPr>
            <w:tcW w:type="dxa" w:w="74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Cumple todos los criterios.</w:t>
            </w:r>
          </w:p>
        </w:tc>
      </w:tr>
      <w:tr>
        <w:trPr>
          <w:cantSplit/>
        </w:trPr>
        <w:tc>
          <w:tcPr>
            <w:tcW w:type="dxa" w:w="2500"/>
            <w:tcBorders>
              <w:top w:val="single" w:color="C9CBD2" w:sz="4"/>
              <w:left w:val="single" w:color="C9CBD2" w:sz="4"/>
              <w:bottom w:val="single" w:color="C9CBD2" w:sz="4"/>
              <w:right w:val="single" w:color="C9CBD2" w:sz="4"/>
            </w:tcBorders>
            <w:shd w:fill="FDF5E7" w:color="auto" w:val="clear"/>
            <w:tcMar>
              <w:top w:type="dxa" w:w="70"/>
              <w:left w:type="dxa" w:w="110"/>
              <w:bottom w:type="dxa" w:w="70"/>
              <w:right w:type="dxa" w:w="110"/>
            </w:tcMar>
            <w:vAlign w:val="top"/>
          </w:tcPr>
          <w:p>
            <w:pPr>
              <w:spacing w:after="40" w:line="252"/>
            </w:pPr>
            <w:r>
              <w:rPr>
                <w:b/>
                <w:bCs/>
                <w:color w:val="161A25"/>
                <w:sz w:val="17"/>
                <w:szCs w:val="17"/>
              </w:rPr>
              <w:t xml:space="preserve">Aceptado con reserva</w:t>
            </w:r>
          </w:p>
        </w:tc>
        <w:tc>
          <w:tcPr>
            <w:tcW w:type="dxa" w:w="74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Cumple todos menos CA-05 (el error porcentual es alto). Sirve como </w:t>
            </w:r>
            <w:r>
              <w:rPr>
                <w:b/>
                <w:bCs/>
                <w:color w:val="161A25"/>
                <w:sz w:val="17"/>
                <w:szCs w:val="17"/>
              </w:rPr>
              <w:t xml:space="preserve">referencia con rango de error</w:t>
            </w:r>
            <w:r>
              <w:rPr>
                <w:color w:val="161A25"/>
                <w:sz w:val="17"/>
                <w:szCs w:val="17"/>
              </w:rPr>
              <w:t xml:space="preserve">, no como compromiso de producción.</w:t>
            </w:r>
          </w:p>
        </w:tc>
      </w:tr>
      <w:tr>
        <w:trPr>
          <w:cantSplit/>
        </w:trPr>
        <w:tc>
          <w:tcPr>
            <w:tcW w:type="dxa" w:w="2500"/>
            <w:tcBorders>
              <w:top w:val="single" w:color="C9CBD2" w:sz="4"/>
              <w:left w:val="single" w:color="C9CBD2" w:sz="4"/>
              <w:bottom w:val="single" w:color="C9CBD2" w:sz="4"/>
              <w:right w:val="single" w:color="C9CBD2" w:sz="4"/>
            </w:tcBorders>
            <w:shd w:fill="FBE6E7" w:color="auto" w:val="clear"/>
            <w:tcMar>
              <w:top w:type="dxa" w:w="70"/>
              <w:left w:type="dxa" w:w="110"/>
              <w:bottom w:type="dxa" w:w="70"/>
              <w:right w:type="dxa" w:w="110"/>
            </w:tcMar>
            <w:vAlign w:val="top"/>
          </w:tcPr>
          <w:p>
            <w:pPr>
              <w:spacing w:after="40" w:line="252"/>
            </w:pPr>
            <w:r>
              <w:rPr>
                <w:b/>
                <w:bCs/>
                <w:color w:val="161A25"/>
                <w:sz w:val="17"/>
                <w:szCs w:val="17"/>
              </w:rPr>
              <w:t xml:space="preserve">No aceptado</w:t>
            </w:r>
          </w:p>
        </w:tc>
        <w:tc>
          <w:tcPr>
            <w:tcW w:type="dxa" w:w="74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Incumple CA-03, CA-04, CA-06 o CA-07.</w:t>
            </w:r>
          </w:p>
        </w:tc>
      </w:tr>
    </w:tbl>
    <w:p>
      <w:pPr>
        <w:spacing w:after="120" w:before="80" w:line="288"/>
      </w:pPr>
      <w:r>
        <w:rPr>
          <w:b/>
          <w:bCs/>
          <w:color w:val="161A25"/>
          <w:sz w:val="21"/>
          <w:szCs w:val="21"/>
        </w:rPr>
        <w:t xml:space="preserve">Por qué dos referencias (ingenuo y promedio histórico):</w:t>
      </w:r>
      <w:r>
        <w:rPr>
          <w:color w:val="161A25"/>
          <w:sz w:val="21"/>
          <w:szCs w:val="21"/>
        </w:rPr>
        <w:t xml:space="preserve"> el ingenuo comprueba que el método aprende algo del pasado; el promedio histórico comprueba que no lo complica sin necesidad. Una serie con tendencia (Hierro) premia al promedio móvil frente al promedio histórico; una serie estable (Bronce) puede hacer lo contrario.</w:t>
      </w:r>
    </w:p>
    <w:p>
      <w:pPr>
        <w:pStyle w:val="Heading2"/>
        <w:keepNext/>
      </w:pPr>
      <w:r>
        <w:t xml:space="preserve">2.4 Paso 10 · Pronósticos esperados (PMS y PMP)</w:t>
      </w:r>
    </w:p>
    <w:p>
      <w:pPr>
        <w:spacing w:after="80" w:before="0" w:line="288"/>
      </w:pPr>
      <w:r>
        <w:rPr>
          <w:color w:val="161A25"/>
          <w:sz w:val="21"/>
          <w:szCs w:val="21"/>
        </w:rPr>
        <w:t xml:space="preserve">Se pronostica a partir del último dato disponible (</w:t>
      </w:r>
      <w:r>
        <w:rPr>
          <w:b/>
          <w:bCs/>
          <w:color w:val="161A25"/>
          <w:sz w:val="21"/>
          <w:szCs w:val="21"/>
        </w:rPr>
        <w:t xml:space="preserve">septiembre de 2026</w:t>
      </w:r>
      <w:r>
        <w:rPr>
          <w:color w:val="161A25"/>
          <w:sz w:val="21"/>
          <w:szCs w:val="21"/>
        </w:rPr>
        <w:t xml:space="preserve">). </w:t>
      </w:r>
      <w:r>
        <w:rPr>
          <w:b/>
          <w:bCs/>
          <w:color w:val="161A25"/>
          <w:sz w:val="21"/>
          <w:szCs w:val="21"/>
        </w:rPr>
        <w:t xml:space="preserve">Octubre</w:t>
      </w:r>
      <w:r>
        <w:rPr>
          <w:color w:val="161A25"/>
          <w:sz w:val="21"/>
          <w:szCs w:val="21"/>
        </w:rPr>
        <w:t xml:space="preserve"> es el pronóstico de un mes (el único con error medido). </w:t>
      </w:r>
      <w:r>
        <w:rPr>
          <w:b/>
          <w:bCs/>
          <w:color w:val="161A25"/>
          <w:sz w:val="21"/>
          <w:szCs w:val="21"/>
        </w:rPr>
        <w:t xml:space="preserve">Noviembre y diciembre</w:t>
      </w:r>
      <w:r>
        <w:rPr>
          <w:color w:val="161A25"/>
          <w:sz w:val="21"/>
          <w:szCs w:val="21"/>
        </w:rPr>
        <w:t xml:space="preserve"> se obtienen repitiendo el método con el pronóstico anterior como si fuera un dato (indicativos). Cifras redondeadas a la centena. </w:t>
      </w:r>
      <w:r>
        <w:rPr>
          <w:b/>
          <w:bCs/>
          <w:color w:val="161A25"/>
          <w:sz w:val="21"/>
          <w:szCs w:val="21"/>
        </w:rPr>
        <w:t xml:space="preserve">Rango esperado (octubre)</w:t>
      </w:r>
      <w:r>
        <w:rPr>
          <w:color w:val="161A25"/>
          <w:sz w:val="21"/>
          <w:szCs w:val="21"/>
        </w:rPr>
        <w:t xml:space="preserve"> = pronóstico ± 1,6 × MAD del método; es una aproximación (con errores aproximadamente normales abarcaría ≈ 80 %), y se comprobó con la historia: ese rango habría contenido entre el 74 % y el 81 % de los meses. Un rango que empieza en 0 significa que el límite inferior calculado era negativo y se cortó en cero, porque no se pueden vender piezas negativas.</w:t>
      </w:r>
    </w:p>
    <w:p>
      <w:pPr>
        <w:pStyle w:val="Heading3"/>
        <w:keepNext/>
      </w:pPr>
      <w:r>
        <w:t xml:space="preserve">Mico Clutch Hierro (nivel de referencia actual ≈ 11.400)</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100"/>
        <w:gridCol w:w="1100"/>
        <w:gridCol w:w="2172"/>
        <w:gridCol w:w="1200"/>
      </w:tblGrid>
      <w:tr>
        <w:trPr>
          <w:cantSplit/>
          <w:tblHeader/>
        </w:trPr>
        <w:tc>
          <w:tcPr>
            <w:tcW w:type="dxa" w:w="33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Método</w:t>
            </w:r>
          </w:p>
        </w:tc>
        <w:tc>
          <w:tcPr>
            <w:tcW w:type="dxa" w:w="11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Oct 2026</w:t>
            </w:r>
          </w:p>
        </w:tc>
        <w:tc>
          <w:tcPr>
            <w:tcW w:type="dxa" w:w="11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Nov 2026</w:t>
            </w:r>
          </w:p>
        </w:tc>
        <w:tc>
          <w:tcPr>
            <w:tcW w:type="dxa" w:w="11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Dic 2026</w:t>
            </w:r>
          </w:p>
        </w:tc>
        <w:tc>
          <w:tcPr>
            <w:tcW w:type="dxa" w:w="21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Rango oct (±1,6 MAD)</w:t>
            </w:r>
          </w:p>
        </w:tc>
        <w:tc>
          <w:tcPr>
            <w:tcW w:type="dxa" w:w="12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Meses dentro del rango (historia)</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val="false"/>
                <w:bCs w:val="false"/>
                <w:color w:val="161A25"/>
                <w:sz w:val="16"/>
                <w:szCs w:val="16"/>
              </w:rPr>
              <w:t xml:space="preserve">Promedio móvil simple, n = 2</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9.900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9.900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9.900</w:t>
            </w:r>
          </w:p>
        </w:tc>
        <w:tc>
          <w:tcPr>
            <w:tcW w:type="dxa" w:w="2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 a 23.300</w:t>
            </w:r>
          </w:p>
        </w:tc>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77 %</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val="false"/>
                <w:bCs w:val="false"/>
                <w:color w:val="161A25"/>
                <w:sz w:val="16"/>
                <w:szCs w:val="16"/>
              </w:rPr>
              <w:t xml:space="preserve">Promedio móvil simple, n = 3</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9.400</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9.700</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9.700</w:t>
            </w:r>
          </w:p>
        </w:tc>
        <w:tc>
          <w:tcPr>
            <w:tcW w:type="dxa" w:w="21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 a 21.700</w:t>
            </w:r>
          </w:p>
        </w:tc>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77 %</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val="false"/>
                <w:bCs w:val="false"/>
                <w:color w:val="161A25"/>
                <w:sz w:val="16"/>
                <w:szCs w:val="16"/>
              </w:rPr>
              <w:t xml:space="preserve">Promedio móvil simple, n = 4</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12.300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10.200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10.600</w:t>
            </w:r>
          </w:p>
        </w:tc>
        <w:tc>
          <w:tcPr>
            <w:tcW w:type="dxa" w:w="2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1.100 a 23.500</w:t>
            </w:r>
          </w:p>
        </w:tc>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76 %</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val="false"/>
                <w:bCs w:val="false"/>
                <w:color w:val="161A25"/>
                <w:sz w:val="16"/>
                <w:szCs w:val="16"/>
              </w:rPr>
              <w:t xml:space="preserve">Promedio móvil ponderado, n = 2</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9.900</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9.800</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9.900</w:t>
            </w:r>
          </w:p>
        </w:tc>
        <w:tc>
          <w:tcPr>
            <w:tcW w:type="dxa" w:w="21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 a 23.400</w:t>
            </w:r>
          </w:p>
        </w:tc>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81 %</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6"/>
                <w:szCs w:val="16"/>
              </w:rPr>
              <w:t xml:space="preserve">Promedio móvil ponderado, n = 3  ★</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9.300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9.700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9.600</w:t>
            </w:r>
          </w:p>
        </w:tc>
        <w:tc>
          <w:tcPr>
            <w:tcW w:type="dxa" w:w="2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 a 21.500</w:t>
            </w:r>
          </w:p>
        </w:tc>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77 %</w:t>
            </w:r>
          </w:p>
        </w:tc>
      </w:tr>
    </w:tbl>
    <w:p>
      <w:pPr>
        <w:spacing w:after="40"/>
      </w:pPr>
    </w:p>
    <w:p>
      <w:pPr>
        <w:pStyle w:val="Heading3"/>
        <w:keepNext/>
      </w:pPr>
      <w:r>
        <w:t xml:space="preserve">Mico Clutch Bronce (nivel de referencia actual ≈ 4.600)</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100"/>
        <w:gridCol w:w="1100"/>
        <w:gridCol w:w="2172"/>
        <w:gridCol w:w="1200"/>
      </w:tblGrid>
      <w:tr>
        <w:trPr>
          <w:cantSplit/>
          <w:tblHeader/>
        </w:trPr>
        <w:tc>
          <w:tcPr>
            <w:tcW w:type="dxa" w:w="33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Método</w:t>
            </w:r>
          </w:p>
        </w:tc>
        <w:tc>
          <w:tcPr>
            <w:tcW w:type="dxa" w:w="11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Oct 2026</w:t>
            </w:r>
          </w:p>
        </w:tc>
        <w:tc>
          <w:tcPr>
            <w:tcW w:type="dxa" w:w="11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Nov 2026</w:t>
            </w:r>
          </w:p>
        </w:tc>
        <w:tc>
          <w:tcPr>
            <w:tcW w:type="dxa" w:w="11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Dic 2026</w:t>
            </w:r>
          </w:p>
        </w:tc>
        <w:tc>
          <w:tcPr>
            <w:tcW w:type="dxa" w:w="21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Rango oct (±1,6 MAD)</w:t>
            </w:r>
          </w:p>
        </w:tc>
        <w:tc>
          <w:tcPr>
            <w:tcW w:type="dxa" w:w="12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Meses dentro del rango (historia)</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val="false"/>
                <w:bCs w:val="false"/>
                <w:color w:val="161A25"/>
                <w:sz w:val="16"/>
                <w:szCs w:val="16"/>
              </w:rPr>
              <w:t xml:space="preserve">Promedio móvil simple, n = 2</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4.400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4.400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4.400</w:t>
            </w:r>
          </w:p>
        </w:tc>
        <w:tc>
          <w:tcPr>
            <w:tcW w:type="dxa" w:w="2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1.500 a 7.200</w:t>
            </w:r>
          </w:p>
        </w:tc>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74 %</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val="false"/>
                <w:bCs w:val="false"/>
                <w:color w:val="161A25"/>
                <w:sz w:val="16"/>
                <w:szCs w:val="16"/>
              </w:rPr>
              <w:t xml:space="preserve">Promedio móvil simple, n = 3</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4.600</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4.400</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4.500</w:t>
            </w:r>
          </w:p>
        </w:tc>
        <w:tc>
          <w:tcPr>
            <w:tcW w:type="dxa" w:w="21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1.800 a 7.400</w:t>
            </w:r>
          </w:p>
        </w:tc>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80 %</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6"/>
                <w:szCs w:val="16"/>
              </w:rPr>
              <w:t xml:space="preserve">Promedio móvil simple, n = 4  ★</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4.500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4.600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4.400</w:t>
            </w:r>
          </w:p>
        </w:tc>
        <w:tc>
          <w:tcPr>
            <w:tcW w:type="dxa" w:w="2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2.000 a 7.000</w:t>
            </w:r>
          </w:p>
        </w:tc>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79 %</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val="false"/>
                <w:bCs w:val="false"/>
                <w:color w:val="161A25"/>
                <w:sz w:val="16"/>
                <w:szCs w:val="16"/>
              </w:rPr>
              <w:t xml:space="preserve">Promedio móvil ponderado, n = 2</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4.300</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4.400</w:t>
            </w:r>
          </w:p>
        </w:tc>
        <w:tc>
          <w:tcPr>
            <w:tcW w:type="dxa" w:w="1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4.300</w:t>
            </w:r>
          </w:p>
        </w:tc>
        <w:tc>
          <w:tcPr>
            <w:tcW w:type="dxa" w:w="21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1.400 a 7.300</w:t>
            </w:r>
          </w:p>
        </w:tc>
        <w:tc>
          <w:tcPr>
            <w:tcW w:type="dxa" w:w="12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81 %</w:t>
            </w:r>
          </w:p>
        </w:tc>
      </w:tr>
      <w:tr>
        <w:trPr>
          <w:cantSplit/>
        </w:trPr>
        <w:tc>
          <w:tcPr>
            <w:tcW w:type="dxa" w:w="33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val="false"/>
                <w:bCs w:val="false"/>
                <w:color w:val="161A25"/>
                <w:sz w:val="16"/>
                <w:szCs w:val="16"/>
              </w:rPr>
              <w:t xml:space="preserve">Promedio móvil ponderado, n = 3</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4.700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4.400</w:t>
            </w:r>
          </w:p>
        </w:tc>
        <w:tc>
          <w:tcPr>
            <w:tcW w:type="dxa" w:w="1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4.500</w:t>
            </w:r>
          </w:p>
        </w:tc>
        <w:tc>
          <w:tcPr>
            <w:tcW w:type="dxa" w:w="21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1.900 a 7.400</w:t>
            </w:r>
          </w:p>
        </w:tc>
        <w:tc>
          <w:tcPr>
            <w:tcW w:type="dxa" w:w="12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80 %</w:t>
            </w:r>
          </w:p>
        </w:tc>
      </w:tr>
    </w:tbl>
    <w:p>
      <w:pPr>
        <w:spacing w:after="40"/>
      </w:pPr>
    </w:p>
    <w:p>
      <w:pPr>
        <w:spacing w:after="120" w:before="0" w:line="288"/>
      </w:pPr>
      <w:r>
        <w:rPr>
          <w:color w:val="161A25"/>
          <w:sz w:val="19"/>
          <w:szCs w:val="19"/>
        </w:rPr>
        <w:t xml:space="preserve">★ = método recomendado tras la evaluación de la sección 2.5. Fíjese en que </w:t>
      </w:r>
      <w:r>
        <w:rPr>
          <w:b/>
          <w:bCs/>
          <w:color w:val="161A25"/>
          <w:sz w:val="19"/>
          <w:szCs w:val="19"/>
        </w:rPr>
        <w:t xml:space="preserve">todos los métodos dan prácticamente lo mismo</w:t>
      </w:r>
      <w:r>
        <w:rPr>
          <w:color w:val="161A25"/>
          <w:sz w:val="19"/>
          <w:szCs w:val="19"/>
        </w:rPr>
        <w:t xml:space="preserve"> (en Hierro entre 9.300 y 12.300 en octubre) y que el </w:t>
      </w:r>
      <w:r>
        <w:rPr>
          <w:b/>
          <w:bCs/>
          <w:color w:val="161A25"/>
          <w:sz w:val="19"/>
          <w:szCs w:val="19"/>
        </w:rPr>
        <w:t xml:space="preserve">rango de error es más ancho que la diferencia entre métodos</w:t>
      </w:r>
      <w:r>
        <w:rPr>
          <w:color w:val="161A25"/>
          <w:sz w:val="19"/>
          <w:szCs w:val="19"/>
        </w:rPr>
        <w:t xml:space="preserve">: elegir uno u otro cambia muy poco la decisión.</w:t>
      </w:r>
    </w:p>
    <w:p>
      <w:pPr>
        <w:pStyle w:val="Heading2"/>
        <w:keepNext/>
      </w:pPr>
      <w:r>
        <w:t xml:space="preserve">2.5 Paso 11 · Evaluación frente a los criterios</w:t>
      </w:r>
    </w:p>
    <w:p>
      <w:pPr>
        <w:spacing w:after="80" w:before="0" w:line="288"/>
      </w:pPr>
      <w:r>
        <w:rPr>
          <w:color w:val="161A25"/>
          <w:sz w:val="21"/>
          <w:szCs w:val="21"/>
        </w:rPr>
        <w:t xml:space="preserve">Cada método se aplicó a </w:t>
      </w:r>
      <w:r>
        <w:rPr>
          <w:b/>
          <w:bCs/>
          <w:color w:val="161A25"/>
          <w:sz w:val="21"/>
          <w:szCs w:val="21"/>
        </w:rPr>
        <w:t xml:space="preserve">toda la historia disponible</w:t>
      </w:r>
      <w:r>
        <w:rPr>
          <w:color w:val="161A25"/>
          <w:sz w:val="21"/>
          <w:szCs w:val="21"/>
        </w:rPr>
        <w:t xml:space="preserve">, prediciendo cada mes solo con los datos anteriores (31 pronósticos para n = 2, 30 para n = 3 y 29 para n = 4). Referencias: ingenuo y promedio histórico.</w:t>
      </w:r>
    </w:p>
    <w:p>
      <w:pPr>
        <w:pStyle w:val="Heading3"/>
        <w:keepNext/>
      </w:pPr>
      <w:r>
        <w:t xml:space="preserve">Mico Clutch Hierro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60"/>
        <w:gridCol w:w="760"/>
        <w:gridCol w:w="760"/>
        <w:gridCol w:w="760"/>
        <w:gridCol w:w="560"/>
        <w:gridCol w:w="560"/>
        <w:gridCol w:w="560"/>
        <w:gridCol w:w="560"/>
        <w:gridCol w:w="560"/>
        <w:gridCol w:w="1272"/>
      </w:tblGrid>
      <w:tr>
        <w:trPr>
          <w:cantSplit/>
          <w:tblHeader/>
        </w:trPr>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Método</w:t>
            </w:r>
          </w:p>
        </w:tc>
        <w:tc>
          <w:tcPr>
            <w:tcW w:type="dxa" w:w="8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MAD</w:t>
            </w:r>
          </w:p>
        </w:tc>
        <w:tc>
          <w:tcPr>
            <w:tcW w:type="dxa" w:w="7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MAPE</w:t>
            </w:r>
          </w:p>
        </w:tc>
        <w:tc>
          <w:tcPr>
            <w:tcW w:type="dxa" w:w="7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MAD ÷ ingenuo</w:t>
            </w:r>
          </w:p>
        </w:tc>
        <w:tc>
          <w:tcPr>
            <w:tcW w:type="dxa" w:w="7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MAD ÷ prom. hist.</w:t>
            </w:r>
          </w:p>
        </w:tc>
        <w:tc>
          <w:tcPr>
            <w:tcW w:type="dxa" w:w="7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Señal</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CA-03</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CA-04</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CA-05</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CA-06</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CA-07</w:t>
            </w:r>
          </w:p>
        </w:tc>
        <w:tc>
          <w:tcPr>
            <w:tcW w:type="dxa" w:w="12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Veredicto</w:t>
            </w: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687083"/>
                <w:sz w:val="15"/>
                <w:szCs w:val="15"/>
              </w:rPr>
              <w:t xml:space="preserve">Ingenuo (referencia)</w:t>
            </w:r>
          </w:p>
        </w:tc>
        <w:tc>
          <w:tcPr>
            <w:tcW w:type="dxa" w:w="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10.273</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84 %</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−1,6</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12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687083"/>
                <w:sz w:val="15"/>
                <w:szCs w:val="15"/>
              </w:rPr>
              <w:t xml:space="preserve">Promedio histórico (referencia)</w:t>
            </w:r>
          </w:p>
        </w:tc>
        <w:tc>
          <w:tcPr>
            <w:tcW w:type="dxa" w:w="8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7.682</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82 %</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−13,9</w:t>
            </w: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12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PMS 2</w:t>
            </w:r>
          </w:p>
        </w:tc>
        <w:tc>
          <w:tcPr>
            <w:tcW w:type="dxa" w:w="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8.382</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75 %</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0,82</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1,09</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−1,4</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DF5E7" w:color="auto" w:val="clear"/>
            <w:tcMar>
              <w:top w:type="dxa" w:w="70"/>
              <w:left w:type="dxa" w:w="110"/>
              <w:bottom w:type="dxa" w:w="70"/>
              <w:right w:type="dxa" w:w="110"/>
            </w:tcMar>
            <w:vAlign w:val="top"/>
          </w:tcPr>
          <w:p>
            <w:pPr>
              <w:spacing w:after="40" w:line="252"/>
            </w:pPr>
            <w:r>
              <w:rPr>
                <w:b/>
                <w:bCs/>
                <w:color w:val="161A25"/>
                <w:sz w:val="15"/>
                <w:szCs w:val="15"/>
              </w:rPr>
              <w:t xml:space="preserve">Aceptado con reserva</w:t>
            </w:r>
          </w:p>
        </w:tc>
      </w:tr>
      <w:tr>
        <w:trPr>
          <w:cantSplit/>
        </w:trPr>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PMS 3</w:t>
            </w:r>
          </w:p>
        </w:tc>
        <w:tc>
          <w:tcPr>
            <w:tcW w:type="dxa" w:w="8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7.655</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73 %</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0,75</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1,00</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−1,8</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DF5E7" w:color="auto" w:val="clear"/>
            <w:tcMar>
              <w:top w:type="dxa" w:w="70"/>
              <w:left w:type="dxa" w:w="110"/>
              <w:bottom w:type="dxa" w:w="70"/>
              <w:right w:type="dxa" w:w="110"/>
            </w:tcMar>
            <w:vAlign w:val="top"/>
          </w:tcPr>
          <w:p>
            <w:pPr>
              <w:spacing w:after="40" w:line="252"/>
            </w:pPr>
            <w:r>
              <w:rPr>
                <w:b/>
                <w:bCs/>
                <w:color w:val="161A25"/>
                <w:sz w:val="15"/>
                <w:szCs w:val="15"/>
              </w:rPr>
              <w:t xml:space="preserve">Aceptado con reserva</w:t>
            </w: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PMS 4</w:t>
            </w:r>
          </w:p>
        </w:tc>
        <w:tc>
          <w:tcPr>
            <w:tcW w:type="dxa" w:w="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6.993</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74 %</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0,68</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0,91</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−4,8</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BE6E7" w:color="auto" w:val="clear"/>
            <w:tcMar>
              <w:top w:type="dxa" w:w="70"/>
              <w:left w:type="dxa" w:w="110"/>
              <w:bottom w:type="dxa" w:w="70"/>
              <w:right w:type="dxa" w:w="110"/>
            </w:tcMar>
            <w:vAlign w:val="top"/>
          </w:tcPr>
          <w:p>
            <w:pPr>
              <w:spacing w:after="40" w:line="252"/>
            </w:pPr>
            <w:r>
              <w:rPr>
                <w:b/>
                <w:bCs/>
                <w:color w:val="161A25"/>
                <w:sz w:val="15"/>
                <w:szCs w:val="15"/>
              </w:rPr>
              <w:t xml:space="preserve">No aceptado</w:t>
            </w:r>
          </w:p>
        </w:tc>
      </w:tr>
      <w:tr>
        <w:trPr>
          <w:cantSplit/>
        </w:trPr>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PMP 2</w:t>
            </w:r>
          </w:p>
        </w:tc>
        <w:tc>
          <w:tcPr>
            <w:tcW w:type="dxa" w:w="8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8.423</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76 %</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0,82</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1,10</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−1,8</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DF5E7" w:color="auto" w:val="clear"/>
            <w:tcMar>
              <w:top w:type="dxa" w:w="70"/>
              <w:left w:type="dxa" w:w="110"/>
              <w:bottom w:type="dxa" w:w="70"/>
              <w:right w:type="dxa" w:w="110"/>
            </w:tcMar>
            <w:vAlign w:val="top"/>
          </w:tcPr>
          <w:p>
            <w:pPr>
              <w:spacing w:after="40" w:line="252"/>
            </w:pPr>
            <w:r>
              <w:rPr>
                <w:b/>
                <w:bCs/>
                <w:color w:val="161A25"/>
                <w:sz w:val="15"/>
                <w:szCs w:val="15"/>
              </w:rPr>
              <w:t xml:space="preserve">Aceptado con reserva</w:t>
            </w: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PMP 3</w:t>
            </w:r>
          </w:p>
        </w:tc>
        <w:tc>
          <w:tcPr>
            <w:tcW w:type="dxa" w:w="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7.575</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72 %</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0,74</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0,99</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−2,0</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DF5E7" w:color="auto" w:val="clear"/>
            <w:tcMar>
              <w:top w:type="dxa" w:w="70"/>
              <w:left w:type="dxa" w:w="110"/>
              <w:bottom w:type="dxa" w:w="70"/>
              <w:right w:type="dxa" w:w="110"/>
            </w:tcMar>
            <w:vAlign w:val="top"/>
          </w:tcPr>
          <w:p>
            <w:pPr>
              <w:spacing w:after="40" w:line="252"/>
            </w:pPr>
            <w:r>
              <w:rPr>
                <w:b/>
                <w:bCs/>
                <w:color w:val="161A25"/>
                <w:sz w:val="15"/>
                <w:szCs w:val="15"/>
              </w:rPr>
              <w:t xml:space="preserve">Aceptado con reserva</w:t>
            </w:r>
          </w:p>
        </w:tc>
      </w:tr>
    </w:tbl>
    <w:p>
      <w:pPr>
        <w:spacing w:after="40"/>
      </w:pPr>
    </w:p>
    <w:p>
      <w:pPr>
        <w:pStyle w:val="Heading3"/>
        <w:keepNext/>
      </w:pPr>
      <w:r>
        <w:t xml:space="preserve">Mico Clutch Bronce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60"/>
        <w:gridCol w:w="760"/>
        <w:gridCol w:w="760"/>
        <w:gridCol w:w="760"/>
        <w:gridCol w:w="560"/>
        <w:gridCol w:w="560"/>
        <w:gridCol w:w="560"/>
        <w:gridCol w:w="560"/>
        <w:gridCol w:w="560"/>
        <w:gridCol w:w="1272"/>
      </w:tblGrid>
      <w:tr>
        <w:trPr>
          <w:cantSplit/>
          <w:tblHeader/>
        </w:trPr>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Método</w:t>
            </w:r>
          </w:p>
        </w:tc>
        <w:tc>
          <w:tcPr>
            <w:tcW w:type="dxa" w:w="8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MAD</w:t>
            </w:r>
          </w:p>
        </w:tc>
        <w:tc>
          <w:tcPr>
            <w:tcW w:type="dxa" w:w="7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MAPE</w:t>
            </w:r>
          </w:p>
        </w:tc>
        <w:tc>
          <w:tcPr>
            <w:tcW w:type="dxa" w:w="7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MAD ÷ ingenuo</w:t>
            </w:r>
          </w:p>
        </w:tc>
        <w:tc>
          <w:tcPr>
            <w:tcW w:type="dxa" w:w="7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MAD ÷ prom. hist.</w:t>
            </w:r>
          </w:p>
        </w:tc>
        <w:tc>
          <w:tcPr>
            <w:tcW w:type="dxa" w:w="7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Señal</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CA-03</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CA-04</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CA-05</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CA-06</w:t>
            </w:r>
          </w:p>
        </w:tc>
        <w:tc>
          <w:tcPr>
            <w:tcW w:type="dxa" w:w="56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CA-07</w:t>
            </w:r>
          </w:p>
        </w:tc>
        <w:tc>
          <w:tcPr>
            <w:tcW w:type="dxa" w:w="12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5"/>
                <w:szCs w:val="15"/>
              </w:rPr>
              <w:t xml:space="preserve">Veredicto</w:t>
            </w: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687083"/>
                <w:sz w:val="15"/>
                <w:szCs w:val="15"/>
              </w:rPr>
              <w:t xml:space="preserve">Ingenuo (referencia)</w:t>
            </w:r>
          </w:p>
        </w:tc>
        <w:tc>
          <w:tcPr>
            <w:tcW w:type="dxa" w:w="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2.496</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73 %</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−0,6</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c>
          <w:tcPr>
            <w:tcW w:type="dxa" w:w="12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687083"/>
                <w:sz w:val="15"/>
                <w:szCs w:val="15"/>
              </w:rPr>
              <w:t xml:space="preserve">Promedio histórico (referencia)</w:t>
            </w:r>
          </w:p>
        </w:tc>
        <w:tc>
          <w:tcPr>
            <w:tcW w:type="dxa" w:w="8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1.524</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45 %</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−2,6</w:t>
            </w: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5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c>
          <w:tcPr>
            <w:tcW w:type="dxa" w:w="12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PMS 2</w:t>
            </w:r>
          </w:p>
        </w:tc>
        <w:tc>
          <w:tcPr>
            <w:tcW w:type="dxa" w:w="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1.800</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53 %</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0,72</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1,18</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−0,4</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BE6E7" w:color="auto" w:val="clear"/>
            <w:tcMar>
              <w:top w:type="dxa" w:w="70"/>
              <w:left w:type="dxa" w:w="110"/>
              <w:bottom w:type="dxa" w:w="70"/>
              <w:right w:type="dxa" w:w="110"/>
            </w:tcMar>
            <w:vAlign w:val="top"/>
          </w:tcPr>
          <w:p>
            <w:pPr>
              <w:spacing w:after="40" w:line="252"/>
            </w:pPr>
            <w:r>
              <w:rPr>
                <w:b/>
                <w:bCs/>
                <w:color w:val="161A25"/>
                <w:sz w:val="15"/>
                <w:szCs w:val="15"/>
              </w:rPr>
              <w:t xml:space="preserve">No aceptado</w:t>
            </w:r>
          </w:p>
        </w:tc>
      </w:tr>
      <w:tr>
        <w:trPr>
          <w:cantSplit/>
        </w:trPr>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PMS 3</w:t>
            </w:r>
          </w:p>
        </w:tc>
        <w:tc>
          <w:tcPr>
            <w:tcW w:type="dxa" w:w="8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1.737</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52 %</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0,70</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1,14</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0,4</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BE6E7" w:color="auto" w:val="clear"/>
            <w:tcMar>
              <w:top w:type="dxa" w:w="70"/>
              <w:left w:type="dxa" w:w="110"/>
              <w:bottom w:type="dxa" w:w="70"/>
              <w:right w:type="dxa" w:w="110"/>
            </w:tcMar>
            <w:vAlign w:val="top"/>
          </w:tcPr>
          <w:p>
            <w:pPr>
              <w:spacing w:after="40" w:line="252"/>
            </w:pPr>
            <w:r>
              <w:rPr>
                <w:b/>
                <w:bCs/>
                <w:color w:val="161A25"/>
                <w:sz w:val="15"/>
                <w:szCs w:val="15"/>
              </w:rPr>
              <w:t xml:space="preserve">No aceptado</w:t>
            </w: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PMS 4</w:t>
            </w:r>
          </w:p>
        </w:tc>
        <w:tc>
          <w:tcPr>
            <w:tcW w:type="dxa" w:w="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1.552</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47 %</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0,62</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1,02</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−0,8</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E3F5EC" w:color="auto" w:val="clear"/>
            <w:tcMar>
              <w:top w:type="dxa" w:w="70"/>
              <w:left w:type="dxa" w:w="110"/>
              <w:bottom w:type="dxa" w:w="70"/>
              <w:right w:type="dxa" w:w="110"/>
            </w:tcMar>
            <w:vAlign w:val="top"/>
          </w:tcPr>
          <w:p>
            <w:pPr>
              <w:spacing w:after="40" w:line="252"/>
            </w:pPr>
            <w:r>
              <w:rPr>
                <w:b/>
                <w:bCs/>
                <w:color w:val="161A25"/>
                <w:sz w:val="15"/>
                <w:szCs w:val="15"/>
              </w:rPr>
              <w:t xml:space="preserve">Aceptado</w:t>
            </w:r>
          </w:p>
        </w:tc>
      </w:tr>
      <w:tr>
        <w:trPr>
          <w:cantSplit/>
        </w:trPr>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PMP 2</w:t>
            </w:r>
          </w:p>
        </w:tc>
        <w:tc>
          <w:tcPr>
            <w:tcW w:type="dxa" w:w="8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1.847</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51 %</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0,74</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1,21</w:t>
            </w:r>
          </w:p>
        </w:tc>
        <w:tc>
          <w:tcPr>
            <w:tcW w:type="dxa" w:w="76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5"/>
                <w:szCs w:val="15"/>
              </w:rPr>
              <w:t xml:space="preserve">−0,6</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BE6E7" w:color="auto" w:val="clear"/>
            <w:tcMar>
              <w:top w:type="dxa" w:w="70"/>
              <w:left w:type="dxa" w:w="110"/>
              <w:bottom w:type="dxa" w:w="70"/>
              <w:right w:type="dxa" w:w="110"/>
            </w:tcMar>
            <w:vAlign w:val="top"/>
          </w:tcPr>
          <w:p>
            <w:pPr>
              <w:spacing w:after="40" w:line="252"/>
            </w:pPr>
            <w:r>
              <w:rPr>
                <w:b/>
                <w:bCs/>
                <w:color w:val="161A25"/>
                <w:sz w:val="15"/>
                <w:szCs w:val="15"/>
              </w:rPr>
              <w:t xml:space="preserve">No aceptado</w:t>
            </w:r>
          </w:p>
        </w:tc>
      </w:tr>
      <w:tr>
        <w:trPr>
          <w:cantSplit/>
        </w:trPr>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PMP 3</w:t>
            </w:r>
          </w:p>
        </w:tc>
        <w:tc>
          <w:tcPr>
            <w:tcW w:type="dxa" w:w="8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1.740</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52 %</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0,70</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1,14</w:t>
            </w:r>
          </w:p>
        </w:tc>
        <w:tc>
          <w:tcPr>
            <w:tcW w:type="dxa" w:w="7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5"/>
                <w:szCs w:val="15"/>
              </w:rPr>
              <w:t xml:space="preserve">0,4</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DF5B63"/>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56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jc w:val="center"/>
            </w:pPr>
            <w:r>
              <w:rPr>
                <w:b/>
                <w:bCs/>
                <w:color w:val="32B77A"/>
                <w:sz w:val="15"/>
                <w:szCs w:val="15"/>
              </w:rPr>
              <w:t xml:space="preserve">✔</w:t>
            </w:r>
          </w:p>
        </w:tc>
        <w:tc>
          <w:tcPr>
            <w:tcW w:type="dxa" w:w="1272"/>
            <w:tcBorders>
              <w:top w:val="single" w:color="C9CBD2" w:sz="4"/>
              <w:left w:val="single" w:color="C9CBD2" w:sz="4"/>
              <w:bottom w:val="single" w:color="C9CBD2" w:sz="4"/>
              <w:right w:val="single" w:color="C9CBD2" w:sz="4"/>
            </w:tcBorders>
            <w:shd w:fill="FBE6E7" w:color="auto" w:val="clear"/>
            <w:tcMar>
              <w:top w:type="dxa" w:w="70"/>
              <w:left w:type="dxa" w:w="110"/>
              <w:bottom w:type="dxa" w:w="70"/>
              <w:right w:type="dxa" w:w="110"/>
            </w:tcMar>
            <w:vAlign w:val="top"/>
          </w:tcPr>
          <w:p>
            <w:pPr>
              <w:spacing w:after="40" w:line="252"/>
            </w:pPr>
            <w:r>
              <w:rPr>
                <w:b/>
                <w:bCs/>
                <w:color w:val="161A25"/>
                <w:sz w:val="15"/>
                <w:szCs w:val="15"/>
              </w:rPr>
              <w:t xml:space="preserve">No aceptado</w:t>
            </w:r>
          </w:p>
        </w:tc>
      </w:tr>
    </w:tbl>
    <w:p>
      <w:pPr>
        <w:spacing w:after="40"/>
      </w:pPr>
    </w:p>
    <w:p>
      <w:pPr>
        <w:pStyle w:val="Heading3"/>
        <w:keepNext/>
      </w:pPr>
      <w:r>
        <w:t xml:space="preserve">Qué dicen estos resultados</w:t>
      </w:r>
    </w:p>
    <w:p>
      <w:pPr>
        <w:pStyle w:val="ListParagraph"/>
        <w:numPr>
          <w:ilvl w:val="0"/>
          <w:numId w:val="2"/>
        </w:numPr>
        <w:spacing w:after="70" w:line="276"/>
      </w:pPr>
      <w:r>
        <w:rPr>
          <w:b/>
          <w:bCs/>
          <w:color w:val="161A25"/>
          <w:sz w:val="21"/>
          <w:szCs w:val="21"/>
        </w:rPr>
        <w:t xml:space="preserve">Clutch Hierro:</w:t>
      </w:r>
      <w:r>
        <w:rPr>
          <w:color w:val="161A25"/>
          <w:sz w:val="21"/>
          <w:szCs w:val="21"/>
        </w:rPr>
        <w:t xml:space="preserve"> ningún método llega a un MAPE de 50 % (todos entre 72 % y 76 %), por eso ninguno puede ser “Aceptado”. Cuatro quedan </w:t>
      </w:r>
      <w:r>
        <w:rPr>
          <w:b/>
          <w:bCs/>
          <w:color w:val="161A25"/>
          <w:sz w:val="21"/>
          <w:szCs w:val="21"/>
        </w:rPr>
        <w:t xml:space="preserve">aceptados con reserva</w:t>
      </w:r>
      <w:r>
        <w:rPr>
          <w:color w:val="161A25"/>
          <w:sz w:val="21"/>
          <w:szCs w:val="21"/>
        </w:rPr>
        <w:t xml:space="preserve">. El </w:t>
      </w:r>
      <w:r>
        <w:rPr>
          <w:b/>
          <w:bCs/>
          <w:color w:val="161A25"/>
          <w:sz w:val="21"/>
          <w:szCs w:val="21"/>
        </w:rPr>
        <w:t xml:space="preserve">PMS de 4 meses</w:t>
      </w:r>
      <w:r>
        <w:rPr>
          <w:color w:val="161A25"/>
          <w:sz w:val="21"/>
          <w:szCs w:val="21"/>
        </w:rPr>
        <w:t xml:space="preserve"> tiene el MAD más bajo, pero </w:t>
      </w:r>
      <w:r>
        <w:rPr>
          <w:b/>
          <w:bCs/>
          <w:color w:val="161A25"/>
          <w:sz w:val="21"/>
          <w:szCs w:val="21"/>
        </w:rPr>
        <w:t xml:space="preserve">se rechaza por sesgo</w:t>
      </w:r>
      <w:r>
        <w:rPr>
          <w:color w:val="161A25"/>
          <w:sz w:val="21"/>
          <w:szCs w:val="21"/>
        </w:rPr>
        <w:t xml:space="preserve"> (señal de seguimiento −4,8, fuera de ±4): al promediar más meses de una serie que baja, se queda “anclado” en el pasado y pronostica de más casi siempre. </w:t>
      </w:r>
      <w:r>
        <w:rPr>
          <w:b/>
          <w:bCs/>
          <w:color w:val="161A25"/>
          <w:sz w:val="21"/>
          <w:szCs w:val="21"/>
        </w:rPr>
        <w:t xml:space="preserve">Recomendado: PMP de 3 meses</w:t>
      </w:r>
      <w:r>
        <w:rPr>
          <w:color w:val="161A25"/>
          <w:sz w:val="21"/>
          <w:szCs w:val="21"/>
        </w:rPr>
        <w:t xml:space="preserve"> (MAD 7.575, el más bajo entre los aceptables).</w:t>
      </w:r>
    </w:p>
    <w:p>
      <w:pPr>
        <w:pStyle w:val="ListParagraph"/>
        <w:numPr>
          <w:ilvl w:val="0"/>
          <w:numId w:val="2"/>
        </w:numPr>
        <w:spacing w:after="70" w:line="276"/>
      </w:pPr>
      <w:r>
        <w:rPr>
          <w:b/>
          <w:bCs/>
          <w:color w:val="161A25"/>
          <w:sz w:val="21"/>
          <w:szCs w:val="21"/>
        </w:rPr>
        <w:t xml:space="preserve">Clutch Bronce:</w:t>
      </w:r>
      <w:r>
        <w:rPr>
          <w:color w:val="161A25"/>
          <w:sz w:val="21"/>
          <w:szCs w:val="21"/>
        </w:rPr>
        <w:t xml:space="preserve"> el único método que cumple todo es el </w:t>
      </w:r>
      <w:r>
        <w:rPr>
          <w:b/>
          <w:bCs/>
          <w:color w:val="161A25"/>
          <w:sz w:val="21"/>
          <w:szCs w:val="21"/>
        </w:rPr>
        <w:t xml:space="preserve">PMS de 4 meses</w:t>
      </w:r>
      <w:r>
        <w:rPr>
          <w:color w:val="161A25"/>
          <w:sz w:val="21"/>
          <w:szCs w:val="21"/>
        </w:rPr>
        <w:t xml:space="preserve"> (MAD 1.552, MAPE 47 %). Los demás </w:t>
      </w:r>
      <w:r>
        <w:rPr>
          <w:b/>
          <w:bCs/>
          <w:color w:val="161A25"/>
          <w:sz w:val="21"/>
          <w:szCs w:val="21"/>
        </w:rPr>
        <w:t xml:space="preserve">fallan CA-04</w:t>
      </w:r>
      <w:r>
        <w:rPr>
          <w:color w:val="161A25"/>
          <w:sz w:val="21"/>
          <w:szCs w:val="21"/>
        </w:rPr>
        <w:t xml:space="preserve">: son más de 10 % peores que simplemente usar el promedio de toda la historia (MAD 1.524). Es coherente con la alternancia de la serie: promediar pocos meses mete ruido.</w:t>
      </w:r>
    </w:p>
    <w:p>
      <w:pPr>
        <w:pStyle w:val="ListParagraph"/>
        <w:numPr>
          <w:ilvl w:val="0"/>
          <w:numId w:val="2"/>
        </w:numPr>
        <w:spacing w:after="70" w:line="276"/>
      </w:pPr>
      <w:r>
        <w:rPr>
          <w:b/>
          <w:bCs/>
          <w:color w:val="161A25"/>
          <w:sz w:val="21"/>
          <w:szCs w:val="21"/>
        </w:rPr>
        <w:t xml:space="preserve">Los promedios móviles superan al ingenuo en todos los casos</w:t>
      </w:r>
      <w:r>
        <w:rPr>
          <w:color w:val="161A25"/>
          <w:sz w:val="21"/>
          <w:szCs w:val="21"/>
        </w:rPr>
        <w:t xml:space="preserve"> (MAD entre 0,62 y 0,82 veces el del ingenuo): sí aprenden algo.</w:t>
      </w:r>
    </w:p>
    <w:p>
      <w:pPr>
        <w:pStyle w:val="ListParagraph"/>
        <w:numPr>
          <w:ilvl w:val="0"/>
          <w:numId w:val="2"/>
        </w:numPr>
        <w:spacing w:after="70" w:line="276"/>
      </w:pPr>
      <w:r>
        <w:rPr>
          <w:b/>
          <w:bCs/>
          <w:color w:val="161A25"/>
          <w:sz w:val="21"/>
          <w:szCs w:val="21"/>
        </w:rPr>
        <w:t xml:space="preserve">El mejor pronóstico de Hierro sigue siendo malo en términos porcentuales (≈ 72 %):</w:t>
      </w:r>
      <w:r>
        <w:rPr>
          <w:color w:val="161A25"/>
          <w:sz w:val="21"/>
          <w:szCs w:val="21"/>
        </w:rPr>
        <w:t xml:space="preserve"> no es un fallo del método sino de la serie, que es muy irregular (variabilidad de 48 % y poca memoria). Cualquier método basado solo en el pasado de esta serie tendrá un error grande.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none" w:color="FFFFFF" w:sz="0"/>
              <w:left w:val="single" w:color="303B8F" w:sz="24"/>
              <w:bottom w:val="none" w:color="FFFFFF" w:sz="0"/>
              <w:right w:val="none" w:color="FFFFFF" w:sz="0"/>
            </w:tcBorders>
            <w:shd w:fill="EEF0F8" w:val="clear"/>
            <w:tcMar>
              <w:top w:type="dxa" w:w="110"/>
              <w:left w:type="dxa" w:w="200"/>
              <w:bottom w:type="dxa" w:w="90"/>
              <w:right w:type="dxa" w:w="160"/>
            </w:tcMar>
          </w:tcPr>
          <w:p>
            <w:pPr>
              <w:spacing w:after="60" w:line="270"/>
            </w:pPr>
            <w:r>
              <w:rPr>
                <w:b/>
                <w:bCs/>
                <w:color w:val="303B8F"/>
                <w:sz w:val="20"/>
                <w:szCs w:val="20"/>
              </w:rPr>
              <w:t xml:space="preserve">Resumen de la recomendación  </w:t>
            </w:r>
            <w:r>
              <w:rPr>
                <w:b/>
                <w:bCs/>
                <w:color w:val="161A25"/>
                <w:sz w:val="20"/>
                <w:szCs w:val="20"/>
              </w:rPr>
              <w:t xml:space="preserve">Clutch Hierro:</w:t>
            </w:r>
            <w:r>
              <w:rPr>
                <w:color w:val="161A25"/>
                <w:sz w:val="20"/>
                <w:szCs w:val="20"/>
              </w:rPr>
              <w:t xml:space="preserve"> PMP de 3 meses → octubre de 2026 ≈ </w:t>
            </w:r>
            <w:r>
              <w:rPr>
                <w:b/>
                <w:bCs/>
                <w:color w:val="161A25"/>
                <w:sz w:val="20"/>
                <w:szCs w:val="20"/>
              </w:rPr>
              <w:t xml:space="preserve">9.300</w:t>
            </w:r>
            <w:r>
              <w:rPr>
                <w:color w:val="161A25"/>
                <w:sz w:val="20"/>
                <w:szCs w:val="20"/>
              </w:rPr>
              <w:t xml:space="preserve"> piezas (rango 0 a 21.500). Veredicto: aceptado con reserva.</w:t>
            </w:r>
          </w:p>
          <w:p>
            <w:pPr>
              <w:spacing w:after="60" w:line="270"/>
            </w:pPr>
            <w:r>
              <w:rPr>
                <w:b/>
                <w:bCs/>
                <w:color w:val="161A25"/>
                <w:sz w:val="20"/>
                <w:szCs w:val="20"/>
              </w:rPr>
              <w:t xml:space="preserve">Clutch Bronce:</w:t>
            </w:r>
            <w:r>
              <w:rPr>
                <w:color w:val="161A25"/>
                <w:sz w:val="20"/>
                <w:szCs w:val="20"/>
              </w:rPr>
              <w:t xml:space="preserve"> PMS de 4 meses → octubre de 2026 ≈ </w:t>
            </w:r>
            <w:r>
              <w:rPr>
                <w:b/>
                <w:bCs/>
                <w:color w:val="161A25"/>
                <w:sz w:val="20"/>
                <w:szCs w:val="20"/>
              </w:rPr>
              <w:t xml:space="preserve">4.500</w:t>
            </w:r>
            <w:r>
              <w:rPr>
                <w:color w:val="161A25"/>
                <w:sz w:val="20"/>
                <w:szCs w:val="20"/>
              </w:rPr>
              <w:t xml:space="preserve"> piezas (rango 2.000 a 7.000). Veredicto: aceptado.</w:t>
            </w:r>
          </w:p>
        </w:tc>
      </w:tr>
    </w:tbl>
    <w:p>
      <w:pPr>
        <w:pStyle w:val="Heading1"/>
      </w:pPr>
      <w:r>
        <w:t xml:space="preserve">2.6 Paso 12 · Qué quieren decir el MAD y el MAPE en cada método</w:t>
      </w:r>
    </w:p>
    <w:p>
      <w:pPr>
        <w:spacing w:after="120" w:before="0" w:line="288"/>
      </w:pPr>
      <w:r>
        <w:rPr>
          <w:color w:val="161A25"/>
          <w:sz w:val="21"/>
          <w:szCs w:val="21"/>
        </w:rPr>
        <w:t xml:space="preserve">No son una definición para memorizar: son </w:t>
      </w:r>
      <w:r>
        <w:rPr>
          <w:b/>
          <w:bCs/>
          <w:color w:val="161A25"/>
          <w:sz w:val="21"/>
          <w:szCs w:val="21"/>
        </w:rPr>
        <w:t xml:space="preserve">la medida de cuánto se equivoca el método</w:t>
      </w:r>
      <w:r>
        <w:rPr>
          <w:color w:val="161A25"/>
          <w:sz w:val="21"/>
          <w:szCs w:val="21"/>
        </w:rPr>
        <w:t xml:space="preserve"> y se calculan con tres pasos. Se explican primero con un ejemplo real y después se interpretan en el promedio móvil simple y en el ponderado.</w:t>
      </w:r>
    </w:p>
    <w:p>
      <w:pPr>
        <w:pStyle w:val="Heading3"/>
        <w:keepNext/>
      </w:pPr>
      <w:r>
        <w:t xml:space="preserve">Cómo se calculan, con datos reales</w:t>
      </w:r>
    </w:p>
    <w:p>
      <w:pPr>
        <w:spacing w:after="60" w:before="0" w:line="288"/>
      </w:pPr>
      <w:r>
        <w:rPr>
          <w:color w:val="161A25"/>
          <w:sz w:val="21"/>
          <w:szCs w:val="21"/>
        </w:rPr>
        <w:t xml:space="preserve">Ejemplo con </w:t>
      </w:r>
      <w:r>
        <w:rPr>
          <w:b/>
          <w:bCs/>
          <w:color w:val="161A25"/>
          <w:sz w:val="21"/>
          <w:szCs w:val="21"/>
        </w:rPr>
        <w:t xml:space="preserve">Clutch Bronce, PMS de 3 meses</w:t>
      </w:r>
      <w:r>
        <w:rPr>
          <w:color w:val="161A25"/>
          <w:sz w:val="21"/>
          <w:szCs w:val="21"/>
        </w:rPr>
        <w:t xml:space="preserve">, de abril a agosto de 2025:</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700"/>
        <w:gridCol w:w="1500"/>
        <w:gridCol w:w="1472"/>
      </w:tblGrid>
      <w:tr>
        <w:trPr>
          <w:cantSplit/>
          <w:tblHeader/>
        </w:trPr>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Mes</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Venta real (D)</w:t>
            </w:r>
          </w:p>
        </w:tc>
        <w:tc>
          <w:tcPr>
            <w:tcW w:type="dxa" w:w="19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Pronóstico PMS 3 (P)</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Error E = D − P</w:t>
            </w: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|E| (sin signo)</w:t>
            </w:r>
          </w:p>
        </w:tc>
        <w:tc>
          <w:tcPr>
            <w:tcW w:type="dxa" w:w="14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|E| ÷ D</w:t>
            </w:r>
          </w:p>
        </w:tc>
      </w:tr>
      <w:tr>
        <w:trPr>
          <w:cantSplit/>
        </w:trPr>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Abr 2025</w:t>
            </w:r>
          </w:p>
        </w:tc>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1.500</w:t>
            </w:r>
          </w:p>
        </w:tc>
        <w:tc>
          <w:tcPr>
            <w:tcW w:type="dxa" w:w="19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6.067</w:t>
            </w:r>
          </w:p>
        </w:tc>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−4.567</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4.567</w:t>
            </w:r>
          </w:p>
        </w:tc>
        <w:tc>
          <w:tcPr>
            <w:tcW w:type="dxa" w:w="14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304 %</w:t>
            </w:r>
          </w:p>
        </w:tc>
      </w:tr>
      <w:tr>
        <w:trPr>
          <w:cantSplit/>
        </w:trPr>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May 2025</w:t>
            </w:r>
          </w:p>
        </w:tc>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9.700</w:t>
            </w:r>
          </w:p>
        </w:tc>
        <w:tc>
          <w:tcPr>
            <w:tcW w:type="dxa" w:w="19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4.733</w:t>
            </w:r>
          </w:p>
        </w:tc>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4.967</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4.967</w:t>
            </w:r>
          </w:p>
        </w:tc>
        <w:tc>
          <w:tcPr>
            <w:tcW w:type="dxa" w:w="14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51 %</w:t>
            </w:r>
          </w:p>
        </w:tc>
      </w:tr>
      <w:tr>
        <w:trPr>
          <w:cantSplit/>
        </w:trPr>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Jun 2025</w:t>
            </w:r>
          </w:p>
        </w:tc>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1.500</w:t>
            </w:r>
          </w:p>
        </w:tc>
        <w:tc>
          <w:tcPr>
            <w:tcW w:type="dxa" w:w="19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5.700</w:t>
            </w:r>
          </w:p>
        </w:tc>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−4.200</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4.200</w:t>
            </w:r>
          </w:p>
        </w:tc>
        <w:tc>
          <w:tcPr>
            <w:tcW w:type="dxa" w:w="14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280 %</w:t>
            </w:r>
          </w:p>
        </w:tc>
      </w:tr>
      <w:tr>
        <w:trPr>
          <w:cantSplit/>
        </w:trPr>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Jul 2025</w:t>
            </w:r>
          </w:p>
        </w:tc>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6.000</w:t>
            </w:r>
          </w:p>
        </w:tc>
        <w:tc>
          <w:tcPr>
            <w:tcW w:type="dxa" w:w="19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4.233</w:t>
            </w:r>
          </w:p>
        </w:tc>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1.767</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1.767</w:t>
            </w:r>
          </w:p>
        </w:tc>
        <w:tc>
          <w:tcPr>
            <w:tcW w:type="dxa" w:w="14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29 %</w:t>
            </w:r>
          </w:p>
        </w:tc>
      </w:tr>
      <w:tr>
        <w:trPr>
          <w:cantSplit/>
        </w:trPr>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Ago 2025</w:t>
            </w:r>
          </w:p>
        </w:tc>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3.500</w:t>
            </w:r>
          </w:p>
        </w:tc>
        <w:tc>
          <w:tcPr>
            <w:tcW w:type="dxa" w:w="19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5.733</w:t>
            </w:r>
          </w:p>
        </w:tc>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−2.233</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2.233</w:t>
            </w:r>
          </w:p>
        </w:tc>
        <w:tc>
          <w:tcPr>
            <w:tcW w:type="dxa" w:w="14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64 %</w:t>
            </w:r>
          </w:p>
        </w:tc>
      </w:tr>
    </w:tbl>
    <w:p>
      <w:pPr>
        <w:pBdr>
          <w:left w:val="single" w:color="303B8F" w:sz="18" w:space="8"/>
        </w:pBdr>
        <w:shd w:fill="F5F2EA" w:val="clear"/>
        <w:spacing w:after="0" w:before="80" w:line="240"/>
        <w:ind w:left="200"/>
      </w:pPr>
      <w:r>
        <w:rPr>
          <w:rFonts w:ascii="Consolas" w:cs="Consolas" w:eastAsia="Consolas" w:hAnsi="Consolas"/>
          <w:color w:val="161A25"/>
          <w:sz w:val="16"/>
          <w:szCs w:val="16"/>
        </w:rPr>
        <w:t xml:space="preserve">Paso 1  Error de cada mes:                E = real − pronóstico</w:t>
      </w:r>
    </w:p>
    <w:p>
      <w:pPr>
        <w:pBdr>
          <w:left w:val="single" w:color="303B8F" w:sz="18" w:space="8"/>
        </w:pBdr>
        <w:shd w:fill="F5F2EA" w:val="clear"/>
        <w:spacing w:after="0" w:before="0" w:line="240"/>
        <w:ind w:left="200"/>
      </w:pPr>
      <w:r>
        <w:rPr>
          <w:rFonts w:ascii="Consolas" w:cs="Consolas" w:eastAsia="Consolas" w:hAnsi="Consolas"/>
          <w:color w:val="161A25"/>
          <w:sz w:val="16"/>
          <w:szCs w:val="16"/>
        </w:rPr>
        <w:t xml:space="preserve">Paso 2  MAD = promedio de los |E|:         (4.567 + 4.967 + 4.200 + 1.767 + 2.233) ÷ 5  =  3.547 piezas</w:t>
      </w:r>
    </w:p>
    <w:p>
      <w:pPr>
        <w:pBdr>
          <w:left w:val="single" w:color="303B8F" w:sz="18" w:space="8"/>
        </w:pBdr>
        <w:shd w:fill="F5F2EA" w:val="clear"/>
        <w:spacing w:after="160" w:before="0" w:line="240"/>
        <w:ind w:left="200"/>
      </w:pPr>
      <w:r>
        <w:rPr>
          <w:rFonts w:ascii="Consolas" w:cs="Consolas" w:eastAsia="Consolas" w:hAnsi="Consolas"/>
          <w:color w:val="161A25"/>
          <w:sz w:val="16"/>
          <w:szCs w:val="16"/>
        </w:rPr>
        <w:t xml:space="preserve">Paso 3  MAPE = promedio de los |E| ÷ real: (304 % + 51 % + 280 % + 29 % + 64 %) ÷ 5  =  146 %</w:t>
      </w:r>
    </w:p>
    <w:p>
      <w:pPr>
        <w:spacing w:after="120" w:before="0" w:line="288"/>
      </w:pPr>
      <w:r>
        <w:rPr>
          <w:color w:val="161A25"/>
          <w:sz w:val="21"/>
          <w:szCs w:val="21"/>
        </w:rPr>
        <w:t xml:space="preserve">Con los 30 meses completos, el MAD del PMS 3 de Bronce es </w:t>
      </w:r>
      <w:r>
        <w:rPr>
          <w:b/>
          <w:bCs/>
          <w:color w:val="161A25"/>
          <w:sz w:val="21"/>
          <w:szCs w:val="21"/>
        </w:rPr>
        <w:t xml:space="preserve">1.737 piezas</w:t>
      </w:r>
      <w:r>
        <w:rPr>
          <w:color w:val="161A25"/>
          <w:sz w:val="21"/>
          <w:szCs w:val="21"/>
        </w:rPr>
        <w:t xml:space="preserve"> y su MAPE </w:t>
      </w:r>
      <w:r>
        <w:rPr>
          <w:b/>
          <w:bCs/>
          <w:color w:val="161A25"/>
          <w:sz w:val="21"/>
          <w:szCs w:val="21"/>
        </w:rPr>
        <w:t xml:space="preserve">52 %</w:t>
      </w:r>
      <w:r>
        <w:rPr>
          <w:color w:val="161A25"/>
          <w:sz w:val="21"/>
          <w:szCs w:val="21"/>
        </w:rPr>
        <w:t xml:space="preserve"> (los mismos que da el libro).</w:t>
      </w:r>
    </w:p>
    <w:p>
      <w:pPr>
        <w:pStyle w:val="Heading3"/>
        <w:keepNext/>
      </w:pPr>
      <w:r>
        <w:t xml:space="preserve">Qué dice cada uno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4136"/>
        <w:gridCol w:w="4136"/>
      </w:tblGrid>
      <w:tr>
        <w:trPr>
          <w:cantSplit/>
          <w:tblHeader/>
        </w:trPr>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p>
        </w:tc>
        <w:tc>
          <w:tcPr>
            <w:tcW w:type="dxa" w:w="41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MAD (error absoluto medio)</w:t>
            </w:r>
          </w:p>
        </w:tc>
        <w:tc>
          <w:tcPr>
            <w:tcW w:type="dxa" w:w="41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MAPE (error porcentual absoluto medio)</w:t>
            </w:r>
          </w:p>
        </w:tc>
      </w:tr>
      <w:tr>
        <w:trPr>
          <w:cantSplit/>
        </w:trPr>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Unidad</w:t>
            </w:r>
          </w:p>
        </w:tc>
        <w:tc>
          <w:tcPr>
            <w:tcW w:type="dxa" w:w="41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Piezas.</w:t>
            </w:r>
          </w:p>
        </w:tc>
        <w:tc>
          <w:tcPr>
            <w:tcW w:type="dxa" w:w="41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Porcentaje.</w:t>
            </w:r>
          </w:p>
        </w:tc>
      </w:tr>
      <w:tr>
        <w:trPr>
          <w:cantSplit/>
        </w:trPr>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Pregunta que responde</w:t>
            </w:r>
          </w:p>
        </w:tc>
        <w:tc>
          <w:tcPr>
            <w:tcW w:type="dxa" w:w="41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“En un mes típico, ¿cuántas piezas me equivoco?”</w:t>
            </w:r>
          </w:p>
        </w:tc>
        <w:tc>
          <w:tcPr>
            <w:tcW w:type="dxa" w:w="41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“En un mes típico, ¿qué porcentaje de la venta real me equivoco?”</w:t>
            </w:r>
          </w:p>
        </w:tc>
      </w:tr>
      <w:tr>
        <w:trPr>
          <w:cantSplit/>
        </w:trPr>
        <w:tc>
          <w:tcPr>
            <w:tcW w:type="dxa" w:w="17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Para qué sirve</w:t>
            </w:r>
          </w:p>
        </w:tc>
        <w:tc>
          <w:tcPr>
            <w:tcW w:type="dxa" w:w="41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Dimensionar inventario de seguridad y materia prima: está en la misma unidad que la decisión.</w:t>
            </w:r>
          </w:p>
        </w:tc>
        <w:tc>
          <w:tcPr>
            <w:tcW w:type="dxa" w:w="41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Comparar productos de tamaños distintos (Hierro y Bronce) en una sola escala.</w:t>
            </w:r>
          </w:p>
        </w:tc>
      </w:tr>
      <w:tr>
        <w:trPr>
          <w:cantSplit/>
        </w:trPr>
        <w:tc>
          <w:tcPr>
            <w:tcW w:type="dxa" w:w="17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Su punto débil</w:t>
            </w:r>
          </w:p>
        </w:tc>
        <w:tc>
          <w:tcPr>
            <w:tcW w:type="dxa" w:w="41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No distingue si 1.700 piezas es mucho o poco: depende del tamaño del producto.</w:t>
            </w:r>
          </w:p>
        </w:tc>
        <w:tc>
          <w:tcPr>
            <w:tcW w:type="dxa" w:w="41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Se infla cuando la venta real es pequeña y </w:t>
            </w:r>
            <w:r>
              <w:rPr>
                <w:b/>
                <w:bCs/>
                <w:color w:val="161A25"/>
                <w:sz w:val="17"/>
                <w:szCs w:val="17"/>
              </w:rPr>
              <w:t xml:space="preserve">castiga más el pronosticar de más que de menos</w:t>
            </w:r>
            <w:r>
              <w:rPr>
                <w:color w:val="161A25"/>
                <w:sz w:val="17"/>
                <w:szCs w:val="17"/>
              </w:rPr>
              <w:t xml:space="preserve"> (puede pasar de 100 %).</w:t>
            </w:r>
          </w:p>
        </w:tc>
      </w:tr>
    </w:tbl>
    <w:p>
      <w:pPr>
        <w:spacing w:after="60"/>
      </w:pPr>
    </w:p>
    <w:p>
      <w:pPr>
        <w:spacing w:after="120" w:before="0" w:line="288"/>
      </w:pPr>
      <w:r>
        <w:rPr>
          <w:b/>
          <w:bCs/>
          <w:color w:val="161A25"/>
          <w:sz w:val="21"/>
          <w:szCs w:val="21"/>
        </w:rPr>
        <w:t xml:space="preserve">Por qué el MAPE sube tanto en estas series.</w:t>
      </w:r>
      <w:r>
        <w:rPr>
          <w:color w:val="161A25"/>
          <w:sz w:val="21"/>
          <w:szCs w:val="21"/>
        </w:rPr>
        <w:t xml:space="preserve"> En abril de 2025 Bronce vendió 1.500 y el PMS de 3 meses esperaba 6.067: un error de 4.567 piezas, que es </w:t>
      </w:r>
      <w:r>
        <w:rPr>
          <w:b/>
          <w:bCs/>
          <w:color w:val="161A25"/>
          <w:sz w:val="21"/>
          <w:szCs w:val="21"/>
        </w:rPr>
        <w:t xml:space="preserve">304 %</w:t>
      </w:r>
      <w:r>
        <w:rPr>
          <w:color w:val="161A25"/>
          <w:sz w:val="21"/>
          <w:szCs w:val="21"/>
        </w:rPr>
        <w:t xml:space="preserve"> de la venta real. En julio de 2024 Hierro vendió 11.300 contra un pronóstico de 31.277: </w:t>
      </w:r>
      <w:r>
        <w:rPr>
          <w:b/>
          <w:bCs/>
          <w:color w:val="161A25"/>
          <w:sz w:val="21"/>
          <w:szCs w:val="21"/>
        </w:rPr>
        <w:t xml:space="preserve">177 %</w:t>
      </w:r>
      <w:r>
        <w:rPr>
          <w:color w:val="161A25"/>
          <w:sz w:val="21"/>
          <w:szCs w:val="21"/>
        </w:rPr>
        <w:t xml:space="preserve">. Un solo mes así sube el MAPE de todo el periodo, aunque el MAD apenas lo sienta. Por eso se usan los dos juntos.</w:t>
      </w:r>
    </w:p>
    <w:p>
      <w:pPr>
        <w:pStyle w:val="Heading2"/>
        <w:keepNext/>
      </w:pPr>
      <w:r>
        <w:t xml:space="preserve">El MAD y el MAPE en el promedio móvil simple</w:t>
      </w:r>
    </w:p>
    <w:p>
      <w:pPr>
        <w:spacing w:after="80" w:before="0" w:line="288"/>
      </w:pPr>
      <w:r>
        <w:rPr>
          <w:color w:val="161A25"/>
          <w:sz w:val="21"/>
          <w:szCs w:val="21"/>
        </w:rPr>
        <w:t xml:space="preserve">En el PMS el pronóstico es un promedio común de los últimos n meses, así que el MAD y el MAPE miden </w:t>
      </w:r>
      <w:r>
        <w:rPr>
          <w:b/>
          <w:bCs/>
          <w:color w:val="161A25"/>
          <w:sz w:val="21"/>
          <w:szCs w:val="21"/>
        </w:rPr>
        <w:t xml:space="preserve">cuánto se equivoca ese promedio al adivinar el mes que sigue</w:t>
      </w:r>
      <w:r>
        <w:rPr>
          <w:color w:val="161A25"/>
          <w:sz w:val="21"/>
          <w:szCs w:val="21"/>
        </w:rPr>
        <w:t xml:space="preserv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372"/>
      </w:tblGrid>
      <w:tr>
        <w:trPr>
          <w:cantSplit/>
          <w:tblHeader/>
        </w:trPr>
        <w:tc>
          <w:tcPr>
            <w:tcW w:type="dxa" w:w="2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PMS 2</w:t>
            </w: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PMS 3</w:t>
            </w: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PMS 4</w:t>
            </w: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Ingenuo</w:t>
            </w:r>
          </w:p>
        </w:tc>
        <w:tc>
          <w:tcPr>
            <w:tcW w:type="dxa" w:w="13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Prom. hist.</w:t>
            </w:r>
          </w:p>
        </w:tc>
      </w:tr>
      <w:tr>
        <w:trPr>
          <w:cantSplit/>
        </w:trPr>
        <w:tc>
          <w:tcPr>
            <w:tcW w:type="dxa" w:w="2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Hierro · MAD (piezas)</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8.382</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7.655</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6.993</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10.273</w:t>
            </w:r>
          </w:p>
        </w:tc>
        <w:tc>
          <w:tcPr>
            <w:tcW w:type="dxa" w:w="1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7.682</w:t>
            </w:r>
          </w:p>
        </w:tc>
      </w:tr>
      <w:tr>
        <w:trPr>
          <w:cantSplit/>
        </w:trPr>
        <w:tc>
          <w:tcPr>
            <w:tcW w:type="dxa" w:w="2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Hierro · MAPE</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75 %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73 %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74 %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84 %</w:t>
            </w:r>
          </w:p>
        </w:tc>
        <w:tc>
          <w:tcPr>
            <w:tcW w:type="dxa" w:w="1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82 %</w:t>
            </w:r>
          </w:p>
        </w:tc>
      </w:tr>
      <w:tr>
        <w:trPr>
          <w:cantSplit/>
        </w:trPr>
        <w:tc>
          <w:tcPr>
            <w:tcW w:type="dxa" w:w="2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Hierro · MAD ÷ venta media</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45 %</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41 %</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38 %</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55 %</w:t>
            </w:r>
          </w:p>
        </w:tc>
        <w:tc>
          <w:tcPr>
            <w:tcW w:type="dxa" w:w="1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41 %</w:t>
            </w:r>
          </w:p>
        </w:tc>
      </w:tr>
      <w:tr>
        <w:trPr>
          <w:cantSplit/>
        </w:trPr>
        <w:tc>
          <w:tcPr>
            <w:tcW w:type="dxa" w:w="2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Bronce · MAD (piezas)</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1.800</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1.737</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1.552</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2.496</w:t>
            </w:r>
          </w:p>
        </w:tc>
        <w:tc>
          <w:tcPr>
            <w:tcW w:type="dxa" w:w="1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1.524</w:t>
            </w:r>
          </w:p>
        </w:tc>
      </w:tr>
      <w:tr>
        <w:trPr>
          <w:cantSplit/>
        </w:trPr>
        <w:tc>
          <w:tcPr>
            <w:tcW w:type="dxa" w:w="2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Bronce · MAPE</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53 %</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52 %</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47 %</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73 %</w:t>
            </w:r>
          </w:p>
        </w:tc>
        <w:tc>
          <w:tcPr>
            <w:tcW w:type="dxa" w:w="1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45 %</w:t>
            </w:r>
          </w:p>
        </w:tc>
      </w:tr>
      <w:tr>
        <w:trPr>
          <w:cantSplit/>
        </w:trPr>
        <w:tc>
          <w:tcPr>
            <w:tcW w:type="dxa" w:w="2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Bronce · MAD ÷ venta media</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37 %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36 %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32 %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51 %</w:t>
            </w:r>
          </w:p>
        </w:tc>
        <w:tc>
          <w:tcPr>
            <w:tcW w:type="dxa" w:w="1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31 %</w:t>
            </w:r>
          </w:p>
        </w:tc>
      </w:tr>
    </w:tbl>
    <w:p>
      <w:pPr>
        <w:spacing w:after="60"/>
      </w:pPr>
    </w:p>
    <w:p>
      <w:pPr>
        <w:pStyle w:val="ListParagraph"/>
        <w:numPr>
          <w:ilvl w:val="0"/>
          <w:numId w:val="2"/>
        </w:numPr>
        <w:spacing w:after="70" w:line="276"/>
      </w:pPr>
      <w:r>
        <w:rPr>
          <w:b/>
          <w:bCs/>
          <w:color w:val="161A25"/>
          <w:sz w:val="21"/>
          <w:szCs w:val="21"/>
        </w:rPr>
        <w:t xml:space="preserve">Hierro, PMS 3 · MAD 7.655:</w:t>
      </w:r>
      <w:r>
        <w:rPr>
          <w:color w:val="161A25"/>
          <w:sz w:val="21"/>
          <w:szCs w:val="21"/>
        </w:rPr>
        <w:t xml:space="preserve"> en un mes típico, promediar los últimos 3 meses se equivoca en unas </w:t>
      </w:r>
      <w:r>
        <w:rPr>
          <w:b/>
          <w:bCs/>
          <w:color w:val="161A25"/>
          <w:sz w:val="21"/>
          <w:szCs w:val="21"/>
        </w:rPr>
        <w:t xml:space="preserve">7.700 piezas</w:t>
      </w:r>
      <w:r>
        <w:rPr>
          <w:color w:val="161A25"/>
          <w:sz w:val="21"/>
          <w:szCs w:val="21"/>
        </w:rPr>
        <w:t xml:space="preserve">, que es el </w:t>
      </w:r>
      <w:r>
        <w:rPr>
          <w:b/>
          <w:bCs/>
          <w:color w:val="161A25"/>
          <w:sz w:val="21"/>
          <w:szCs w:val="21"/>
        </w:rPr>
        <w:t xml:space="preserve">41 %</w:t>
      </w:r>
      <w:r>
        <w:rPr>
          <w:color w:val="161A25"/>
          <w:sz w:val="21"/>
          <w:szCs w:val="21"/>
        </w:rPr>
        <w:t xml:space="preserve"> de la venta media mensual (18.627). Con un nivel actual de unas 11.400 piezas, el error típico equivale a cerca de dos tercios del propio nivel: hay que leer el pronóstico como “un orden de magnitud”, no como una cifra exacta.</w:t>
      </w:r>
    </w:p>
    <w:p>
      <w:pPr>
        <w:pStyle w:val="ListParagraph"/>
        <w:numPr>
          <w:ilvl w:val="0"/>
          <w:numId w:val="2"/>
        </w:numPr>
        <w:spacing w:after="70" w:line="276"/>
      </w:pPr>
      <w:r>
        <w:rPr>
          <w:b/>
          <w:bCs/>
          <w:color w:val="161A25"/>
          <w:sz w:val="21"/>
          <w:szCs w:val="21"/>
        </w:rPr>
        <w:t xml:space="preserve">Hierro, PMS 3 · MAPE 73 %:</w:t>
      </w:r>
      <w:r>
        <w:rPr>
          <w:color w:val="161A25"/>
          <w:sz w:val="21"/>
          <w:szCs w:val="21"/>
        </w:rPr>
        <w:t xml:space="preserve"> en promedio el pronóstico se aleja casi tres cuartas partes de lo que realmente se vendió. Es alto porque el PMS </w:t>
      </w:r>
      <w:r>
        <w:rPr>
          <w:b/>
          <w:bCs/>
          <w:color w:val="161A25"/>
          <w:sz w:val="21"/>
          <w:szCs w:val="21"/>
        </w:rPr>
        <w:t xml:space="preserve">llega tarde a una serie que baja</w:t>
      </w:r>
      <w:r>
        <w:rPr>
          <w:color w:val="161A25"/>
          <w:sz w:val="21"/>
          <w:szCs w:val="21"/>
        </w:rPr>
        <w:t xml:space="preserve"> (pronostica de más) y porque hay meses de venta muy baja (3.000 a 8.000) donde un error de 10.000 pesa muchísimo en porcentaje.</w:t>
      </w:r>
    </w:p>
    <w:p>
      <w:pPr>
        <w:pStyle w:val="ListParagraph"/>
        <w:numPr>
          <w:ilvl w:val="0"/>
          <w:numId w:val="2"/>
        </w:numPr>
        <w:spacing w:after="70" w:line="276"/>
      </w:pPr>
      <w:r>
        <w:rPr>
          <w:b/>
          <w:bCs/>
          <w:color w:val="161A25"/>
          <w:sz w:val="21"/>
          <w:szCs w:val="21"/>
        </w:rPr>
        <w:t xml:space="preserve">Qué cambia al subir n (2 → 3 → 4):</w:t>
      </w:r>
      <w:r>
        <w:rPr>
          <w:color w:val="161A25"/>
          <w:sz w:val="21"/>
          <w:szCs w:val="21"/>
        </w:rPr>
        <w:t xml:space="preserve"> el MAD de Hierro baja (8.382 → 7.655 → 6.993) porque el promedio se suaviza, </w:t>
      </w:r>
      <w:r>
        <w:rPr>
          <w:b/>
          <w:bCs/>
          <w:color w:val="161A25"/>
          <w:sz w:val="21"/>
          <w:szCs w:val="21"/>
        </w:rPr>
        <w:t xml:space="preserve">pero el sesgo crece</w:t>
      </w:r>
      <w:r>
        <w:rPr>
          <w:color w:val="161A25"/>
          <w:sz w:val="21"/>
          <w:szCs w:val="21"/>
        </w:rPr>
        <w:t xml:space="preserve"> (señal de seguimiento −1,4 → −1,8 → −4,8). Un MAD menor no siempre significa un método mejor: puede ser un método que se equivoca menos en tamaño pero siempre hacia el mismo lado.</w:t>
      </w:r>
    </w:p>
    <w:p>
      <w:pPr>
        <w:pStyle w:val="ListParagraph"/>
        <w:numPr>
          <w:ilvl w:val="0"/>
          <w:numId w:val="2"/>
        </w:numPr>
        <w:spacing w:after="70" w:line="276"/>
      </w:pPr>
      <w:r>
        <w:rPr>
          <w:b/>
          <w:bCs/>
          <w:color w:val="161A25"/>
          <w:sz w:val="21"/>
          <w:szCs w:val="21"/>
        </w:rPr>
        <w:t xml:space="preserve">Bronce, PMS 4 · MAD 1.552, MAPE 47 %:</w:t>
      </w:r>
      <w:r>
        <w:rPr>
          <w:color w:val="161A25"/>
          <w:sz w:val="21"/>
          <w:szCs w:val="21"/>
        </w:rPr>
        <w:t xml:space="preserve"> se equivoca en unas </w:t>
      </w:r>
      <w:r>
        <w:rPr>
          <w:b/>
          <w:bCs/>
          <w:color w:val="161A25"/>
          <w:sz w:val="21"/>
          <w:szCs w:val="21"/>
        </w:rPr>
        <w:t xml:space="preserve">1.600 piezas</w:t>
      </w:r>
      <w:r>
        <w:rPr>
          <w:color w:val="161A25"/>
          <w:sz w:val="21"/>
          <w:szCs w:val="21"/>
        </w:rPr>
        <w:t xml:space="preserve"> (32 % de la venta media). Aquí sí tiene sentido promediar más meses: el nivel es estable, y por eso el MAD baja al subir n (1.800 → 1.737 → 1.552) </w:t>
      </w:r>
      <w:r>
        <w:rPr>
          <w:b/>
          <w:bCs/>
          <w:color w:val="161A25"/>
          <w:sz w:val="21"/>
          <w:szCs w:val="21"/>
        </w:rPr>
        <w:t xml:space="preserve">sin</w:t>
      </w:r>
      <w:r>
        <w:rPr>
          <w:color w:val="161A25"/>
          <w:sz w:val="21"/>
          <w:szCs w:val="21"/>
        </w:rPr>
        <w:t xml:space="preserve"> que aparezca sesgo.</w:t>
      </w:r>
    </w:p>
    <w:p>
      <w:pPr>
        <w:pStyle w:val="ListParagraph"/>
        <w:numPr>
          <w:ilvl w:val="0"/>
          <w:numId w:val="2"/>
        </w:numPr>
        <w:spacing w:after="70" w:line="276"/>
      </w:pPr>
      <w:r>
        <w:rPr>
          <w:b/>
          <w:bCs/>
          <w:color w:val="161A25"/>
          <w:sz w:val="21"/>
          <w:szCs w:val="21"/>
        </w:rPr>
        <w:t xml:space="preserve">Comparar con el ingenuo:</w:t>
      </w:r>
      <w:r>
        <w:rPr>
          <w:color w:val="161A25"/>
          <w:sz w:val="21"/>
          <w:szCs w:val="21"/>
        </w:rPr>
        <w:t xml:space="preserve"> el MAD del PMS es entre el 62 % y el 82 % del MAD del ingenuo. Esa diferencia es la ganancia real de usar el promedio en vez de “repetir el último mes”.</w:t>
      </w:r>
    </w:p>
    <w:p>
      <w:pPr>
        <w:pStyle w:val="Heading2"/>
        <w:keepNext/>
      </w:pPr>
      <w:r>
        <w:t xml:space="preserve">El MAD y el MAPE en el promedio móvil ponderado</w:t>
      </w:r>
    </w:p>
    <w:p>
      <w:pPr>
        <w:spacing w:after="80" w:before="0" w:line="288"/>
      </w:pPr>
      <w:r>
        <w:rPr>
          <w:color w:val="161A25"/>
          <w:sz w:val="21"/>
          <w:szCs w:val="21"/>
        </w:rPr>
        <w:t xml:space="preserve">La fórmula del error es </w:t>
      </w:r>
      <w:r>
        <w:rPr>
          <w:b/>
          <w:bCs/>
          <w:color w:val="161A25"/>
          <w:sz w:val="21"/>
          <w:szCs w:val="21"/>
        </w:rPr>
        <w:t xml:space="preserve">idéntica</w:t>
      </w:r>
      <w:r>
        <w:rPr>
          <w:color w:val="161A25"/>
          <w:sz w:val="21"/>
          <w:szCs w:val="21"/>
        </w:rPr>
        <w:t xml:space="preserve">; lo único que cambia es cómo se construye el pronóstico: en el PMP cada mes tiene un peso. Entonces el MAD y el MAPE del PMP miden </w:t>
      </w:r>
      <w:r>
        <w:rPr>
          <w:b/>
          <w:bCs/>
          <w:color w:val="161A25"/>
          <w:sz w:val="21"/>
          <w:szCs w:val="21"/>
        </w:rPr>
        <w:t xml:space="preserve">cuánto se equivoca un promedio con pesos distintos</w:t>
      </w:r>
      <w:r>
        <w:rPr>
          <w:color w:val="161A25"/>
          <w:sz w:val="21"/>
          <w:szCs w:val="21"/>
        </w:rPr>
        <w:t xml:space="preserve">, y la pregunta útil es si esos pesos mejoran al promedio simple.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372"/>
      </w:tblGrid>
      <w:tr>
        <w:trPr>
          <w:cantSplit/>
          <w:tblHeader/>
        </w:trPr>
        <w:tc>
          <w:tcPr>
            <w:tcW w:type="dxa" w:w="2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PMS 2</w:t>
            </w: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PMP 2</w:t>
            </w: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PMS 3</w:t>
            </w:r>
          </w:p>
        </w:tc>
        <w:tc>
          <w:tcPr>
            <w:tcW w:type="dxa" w:w="15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PMP 3</w:t>
            </w:r>
          </w:p>
        </w:tc>
        <w:tc>
          <w:tcPr>
            <w:tcW w:type="dxa" w:w="13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Mejora PMP 3</w:t>
            </w:r>
          </w:p>
        </w:tc>
      </w:tr>
      <w:tr>
        <w:trPr>
          <w:cantSplit/>
        </w:trPr>
        <w:tc>
          <w:tcPr>
            <w:tcW w:type="dxa" w:w="2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Hierro · MAD (piezas)</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8.382</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8.423</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7.655</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7.575</w:t>
            </w:r>
          </w:p>
        </w:tc>
        <w:tc>
          <w:tcPr>
            <w:tcW w:type="dxa" w:w="1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1,0 %</w:t>
            </w:r>
          </w:p>
        </w:tc>
      </w:tr>
      <w:tr>
        <w:trPr>
          <w:cantSplit/>
        </w:trPr>
        <w:tc>
          <w:tcPr>
            <w:tcW w:type="dxa" w:w="2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Hierro · MAPE</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75 %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76 %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73 %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72 %</w:t>
            </w:r>
          </w:p>
        </w:tc>
        <w:tc>
          <w:tcPr>
            <w:tcW w:type="dxa" w:w="1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0,3 pp</w:t>
            </w:r>
          </w:p>
        </w:tc>
      </w:tr>
      <w:tr>
        <w:trPr>
          <w:cantSplit/>
        </w:trPr>
        <w:tc>
          <w:tcPr>
            <w:tcW w:type="dxa" w:w="2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7"/>
                <w:szCs w:val="17"/>
              </w:rPr>
              <w:t xml:space="preserve">Bronce · MAD (piezas)</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1.800</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1.847</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1.737</w:t>
            </w:r>
          </w:p>
        </w:tc>
        <w:tc>
          <w:tcPr>
            <w:tcW w:type="dxa" w:w="15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1.740</w:t>
            </w:r>
          </w:p>
        </w:tc>
        <w:tc>
          <w:tcPr>
            <w:tcW w:type="dxa" w:w="13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−0,2 %</w:t>
            </w:r>
          </w:p>
        </w:tc>
      </w:tr>
      <w:tr>
        <w:trPr>
          <w:cantSplit/>
        </w:trPr>
        <w:tc>
          <w:tcPr>
            <w:tcW w:type="dxa" w:w="26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b/>
                <w:bCs/>
                <w:color w:val="161A25"/>
                <w:sz w:val="17"/>
                <w:szCs w:val="17"/>
              </w:rPr>
              <w:t xml:space="preserve">Bronce · MAPE</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53 %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51 %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52 %</w:t>
            </w:r>
          </w:p>
        </w:tc>
        <w:tc>
          <w:tcPr>
            <w:tcW w:type="dxa" w:w="15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52 %</w:t>
            </w:r>
          </w:p>
        </w:tc>
        <w:tc>
          <w:tcPr>
            <w:tcW w:type="dxa" w:w="13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−0,2 pp</w:t>
            </w:r>
          </w:p>
        </w:tc>
      </w:tr>
    </w:tbl>
    <w:p>
      <w:pPr>
        <w:spacing w:after="60"/>
      </w:pPr>
    </w:p>
    <w:p>
      <w:pPr>
        <w:pStyle w:val="ListParagraph"/>
        <w:numPr>
          <w:ilvl w:val="0"/>
          <w:numId w:val="2"/>
        </w:numPr>
        <w:spacing w:after="70" w:line="276"/>
      </w:pPr>
      <w:r>
        <w:rPr>
          <w:b/>
          <w:bCs/>
          <w:color w:val="161A25"/>
          <w:sz w:val="21"/>
          <w:szCs w:val="21"/>
        </w:rPr>
        <w:t xml:space="preserve">Hierro, PMP 3 · MAD 7.575, MAPE 72 %:</w:t>
      </w:r>
      <w:r>
        <w:rPr>
          <w:color w:val="161A25"/>
          <w:sz w:val="21"/>
          <w:szCs w:val="21"/>
        </w:rPr>
        <w:t xml:space="preserve"> se equivoca en unas </w:t>
      </w:r>
      <w:r>
        <w:rPr>
          <w:b/>
          <w:bCs/>
          <w:color w:val="161A25"/>
          <w:sz w:val="21"/>
          <w:szCs w:val="21"/>
        </w:rPr>
        <w:t xml:space="preserve">7.600 piezas</w:t>
      </w:r>
      <w:r>
        <w:rPr>
          <w:color w:val="161A25"/>
          <w:sz w:val="21"/>
          <w:szCs w:val="21"/>
        </w:rPr>
        <w:t xml:space="preserve"> por mes. Es el mejor de los métodos aceptables, pero su ventaja sobre el PMS 3 es de apenas </w:t>
      </w:r>
      <w:r>
        <w:rPr>
          <w:b/>
          <w:bCs/>
          <w:color w:val="161A25"/>
          <w:sz w:val="21"/>
          <w:szCs w:val="21"/>
        </w:rPr>
        <w:t xml:space="preserve">1,0 %</w:t>
      </w:r>
      <w:r>
        <w:rPr>
          <w:color w:val="161A25"/>
          <w:sz w:val="21"/>
          <w:szCs w:val="21"/>
        </w:rPr>
        <w:t xml:space="preserve"> (≈ 80 piezas): </w:t>
      </w:r>
      <w:r>
        <w:rPr>
          <w:b/>
          <w:bCs/>
          <w:color w:val="161A25"/>
          <w:sz w:val="21"/>
          <w:szCs w:val="21"/>
        </w:rPr>
        <w:t xml:space="preserve">menor que el ruido</w:t>
      </w:r>
      <w:r>
        <w:rPr>
          <w:color w:val="161A25"/>
          <w:sz w:val="21"/>
          <w:szCs w:val="21"/>
        </w:rPr>
        <w:t xml:space="preserve">. Estadísticamente, PMS y PMP rinden igual en esta serie.</w:t>
      </w:r>
    </w:p>
    <w:p>
      <w:pPr>
        <w:pStyle w:val="ListParagraph"/>
        <w:numPr>
          <w:ilvl w:val="0"/>
          <w:numId w:val="2"/>
        </w:numPr>
        <w:spacing w:after="70" w:line="276"/>
      </w:pPr>
      <w:r>
        <w:rPr>
          <w:b/>
          <w:bCs/>
          <w:color w:val="161A25"/>
          <w:sz w:val="21"/>
          <w:szCs w:val="21"/>
        </w:rPr>
        <w:t xml:space="preserve">Bronce:</w:t>
      </w:r>
      <w:r>
        <w:rPr>
          <w:color w:val="161A25"/>
          <w:sz w:val="21"/>
          <w:szCs w:val="21"/>
        </w:rPr>
        <w:t xml:space="preserve"> el PMP no mejora al PMS (PMP 2: MAD 1.847 contra 1.800 del PMS 2; PMP 3: 1.740 contra 1.737). Los dos fallan CA-04: frente al promedio histórico no aportan.</w:t>
      </w:r>
    </w:p>
    <w:p>
      <w:pPr>
        <w:pStyle w:val="ListParagraph"/>
        <w:numPr>
          <w:ilvl w:val="0"/>
          <w:numId w:val="2"/>
        </w:numPr>
        <w:spacing w:after="70" w:line="276"/>
      </w:pPr>
      <w:r>
        <w:rPr>
          <w:b/>
          <w:bCs/>
          <w:color w:val="161A25"/>
          <w:sz w:val="21"/>
          <w:szCs w:val="21"/>
        </w:rPr>
        <w:t xml:space="preserve">Qué significa que los pesos “no ayuden”:</w:t>
      </w:r>
      <w:r>
        <w:rPr>
          <w:color w:val="161A25"/>
          <w:sz w:val="21"/>
          <w:szCs w:val="21"/>
        </w:rPr>
        <w:t xml:space="preserve"> un promedio ponderado vale la pena cuando el último mes </w:t>
      </w:r>
      <w:r>
        <w:rPr>
          <w:b/>
          <w:bCs/>
          <w:color w:val="161A25"/>
          <w:sz w:val="21"/>
          <w:szCs w:val="21"/>
        </w:rPr>
        <w:t xml:space="preserve">trae información sobre el siguiente</w:t>
      </w:r>
      <w:r>
        <w:rPr>
          <w:color w:val="161A25"/>
          <w:sz w:val="21"/>
          <w:szCs w:val="21"/>
        </w:rPr>
        <w:t xml:space="preserve"> (cuando la demanda tiene memoria). Aquí la correlación de un mes con el siguiente es de 0,11 en Hierro y −0,59 en Bronce: casi nula o incluso inversa. Por eso, dar más peso al mes reciente (orden contrario de la sección 2.2) </w:t>
      </w:r>
      <w:r>
        <w:rPr>
          <w:b/>
          <w:bCs/>
          <w:color w:val="161A25"/>
          <w:sz w:val="21"/>
          <w:szCs w:val="21"/>
        </w:rPr>
        <w:t xml:space="preserve">empeora</w:t>
      </w:r>
      <w:r>
        <w:rPr>
          <w:color w:val="161A25"/>
          <w:sz w:val="21"/>
          <w:szCs w:val="21"/>
        </w:rPr>
        <w:t xml:space="preserve"> el MAD y el MAPE (Bronce PMP 2: MAPE 51 % con los pesos del libro y 59 % al invertirlos): seguir al último mes es seguir el ruido.</w:t>
      </w:r>
    </w:p>
    <w:p>
      <w:pPr>
        <w:pStyle w:val="ListParagraph"/>
        <w:numPr>
          <w:ilvl w:val="0"/>
          <w:numId w:val="2"/>
        </w:numPr>
        <w:spacing w:after="70" w:line="276"/>
      </w:pPr>
      <w:r>
        <w:rPr>
          <w:b/>
          <w:bCs/>
          <w:color w:val="161A25"/>
          <w:sz w:val="21"/>
          <w:szCs w:val="21"/>
        </w:rPr>
        <w:t xml:space="preserve">Cómo leer el MAD del PMP:</w:t>
      </w:r>
      <w:r>
        <w:rPr>
          <w:color w:val="161A25"/>
          <w:sz w:val="21"/>
          <w:szCs w:val="21"/>
        </w:rPr>
        <w:t xml:space="preserve"> es el error típico de un promedio más “tranquilo” que el simple, porque los pesos del libro reparten la confianza hacia meses más antiguos. Se compara con el del PMS </w:t>
      </w:r>
      <w:r>
        <w:rPr>
          <w:b/>
          <w:bCs/>
          <w:color w:val="161A25"/>
          <w:sz w:val="21"/>
          <w:szCs w:val="21"/>
        </w:rPr>
        <w:t xml:space="preserve">sobre los mismos meses</w:t>
      </w:r>
      <w:r>
        <w:rPr>
          <w:color w:val="161A25"/>
          <w:sz w:val="21"/>
          <w:szCs w:val="21"/>
        </w:rPr>
        <w:t xml:space="preserve"> (31 pronósticos para n = 2, 30 para n = 3); comparar errores medidos en meses distintos sería injusto.</w:t>
      </w:r>
    </w:p>
    <w:p>
      <w:pPr>
        <w:pStyle w:val="Heading2"/>
        <w:keepNext/>
      </w:pPr>
      <w:r>
        <w:t xml:space="preserve">Cómo usar MAD y MAPE al decidir</w:t>
      </w:r>
    </w:p>
    <w:p>
      <w:pPr>
        <w:pStyle w:val="ListParagraph"/>
        <w:numPr>
          <w:ilvl w:val="0"/>
          <w:numId w:val="2"/>
        </w:numPr>
        <w:spacing w:after="70" w:line="276"/>
      </w:pPr>
      <w:r>
        <w:rPr>
          <w:b/>
          <w:bCs/>
          <w:color w:val="161A25"/>
          <w:sz w:val="21"/>
          <w:szCs w:val="21"/>
        </w:rPr>
        <w:t xml:space="preserve">Para dimensionar:</w:t>
      </w:r>
      <w:r>
        <w:rPr>
          <w:color w:val="161A25"/>
          <w:sz w:val="21"/>
          <w:szCs w:val="21"/>
        </w:rPr>
        <w:t xml:space="preserve"> publique siempre el pronóstico con su rango (± 1,6 × MAD). Para Hierro en octubre: 9.300 ± 12.100.</w:t>
      </w:r>
    </w:p>
    <w:p>
      <w:pPr>
        <w:pStyle w:val="ListParagraph"/>
        <w:numPr>
          <w:ilvl w:val="0"/>
          <w:numId w:val="2"/>
        </w:numPr>
        <w:spacing w:after="70" w:line="276"/>
      </w:pPr>
      <w:r>
        <w:rPr>
          <w:b/>
          <w:bCs/>
          <w:color w:val="161A25"/>
          <w:sz w:val="21"/>
          <w:szCs w:val="21"/>
        </w:rPr>
        <w:t xml:space="preserve">Para comparar métodos:</w:t>
      </w:r>
      <w:r>
        <w:rPr>
          <w:color w:val="161A25"/>
          <w:sz w:val="21"/>
          <w:szCs w:val="21"/>
        </w:rPr>
        <w:t xml:space="preserve"> use el MAD (misma unidad, menos distorsión) y confírmelo con el MAPE. Si el MAD mejora pero la señal de seguimiento sale de ±4, el método tiene sesgo y no se acepta.</w:t>
      </w:r>
    </w:p>
    <w:p>
      <w:pPr>
        <w:pStyle w:val="ListParagraph"/>
        <w:numPr>
          <w:ilvl w:val="0"/>
          <w:numId w:val="2"/>
        </w:numPr>
        <w:spacing w:after="70" w:line="276"/>
      </w:pPr>
      <w:r>
        <w:rPr>
          <w:b/>
          <w:bCs/>
          <w:color w:val="161A25"/>
          <w:sz w:val="21"/>
          <w:szCs w:val="21"/>
        </w:rPr>
        <w:t xml:space="preserve">Para vigilar en el tiempo:</w:t>
      </w:r>
      <w:r>
        <w:rPr>
          <w:color w:val="161A25"/>
          <w:sz w:val="21"/>
          <w:szCs w:val="21"/>
        </w:rPr>
        <w:t xml:space="preserve"> recalcule el MAD cada mes; si el de los últimos 12 meses supera 1,2 veces el histórico (CA-07), revise el método.</w:t>
      </w:r>
    </w:p>
    <w:p>
      <w:pPr>
        <w:pStyle w:val="Heading2"/>
        <w:keepNext/>
      </w:pPr>
      <w:r>
        <w:t xml:space="preserve">2.7 Alertas sobre el libro de Excel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none" w:color="FFFFFF" w:sz="0"/>
              <w:left w:val="single" w:color="F0A43A" w:sz="24"/>
              <w:bottom w:val="none" w:color="FFFFFF" w:sz="0"/>
              <w:right w:val="none" w:color="FFFFFF" w:sz="0"/>
            </w:tcBorders>
            <w:shd w:fill="FDF5E7" w:val="clear"/>
            <w:tcMar>
              <w:top w:type="dxa" w:w="110"/>
              <w:left w:type="dxa" w:w="200"/>
              <w:bottom w:type="dxa" w:w="90"/>
              <w:right w:type="dxa" w:w="160"/>
            </w:tcMar>
          </w:tcPr>
          <w:p>
            <w:pPr>
              <w:spacing w:after="60" w:line="270"/>
            </w:pPr>
            <w:r>
              <w:rPr>
                <w:b/>
                <w:bCs/>
                <w:color w:val="F0A43A"/>
                <w:sz w:val="20"/>
                <w:szCs w:val="20"/>
              </w:rPr>
              <w:t xml:space="preserve">⚠ Hoja de Holt: el error se calcula contra el valor equivocado  </w:t>
            </w:r>
            <w:r>
              <w:rPr>
                <w:color w:val="161A25"/>
                <w:sz w:val="20"/>
                <w:szCs w:val="20"/>
              </w:rPr>
              <w:t xml:space="preserve">Al replicar la hoja de Holt (α = 0,45; β = 0,45) se encontró que la columna del error [Et] compara el pronóstico con el </w:t>
            </w:r>
            <w:r>
              <w:rPr>
                <w:b/>
                <w:bCs/>
                <w:color w:val="161A25"/>
                <w:sz w:val="20"/>
                <w:szCs w:val="20"/>
              </w:rPr>
              <w:t xml:space="preserve">nivel suavizado (At)</w:t>
            </w:r>
            <w:r>
              <w:rPr>
                <w:color w:val="161A25"/>
                <w:sz w:val="20"/>
                <w:szCs w:val="20"/>
              </w:rPr>
              <w:t xml:space="preserve"> y no con la </w:t>
            </w:r>
            <w:r>
              <w:rPr>
                <w:b/>
                <w:bCs/>
                <w:color w:val="161A25"/>
                <w:sz w:val="20"/>
                <w:szCs w:val="20"/>
              </w:rPr>
              <w:t xml:space="preserve">venta real</w:t>
            </w:r>
            <w:r>
              <w:rPr>
                <w:color w:val="161A25"/>
                <w:sz w:val="20"/>
                <w:szCs w:val="20"/>
              </w:rPr>
              <w:t xml:space="preserve">. Ejemplo, acelerador de abril de 2024: el libro muestra [Et] = 400,17 = |12.989,28 − 12.589,10|, pero la venta real fue 12.100, así que el error verdadero es |12.100 − 12.989,28| = 889,28. Se replicó el cálculo del libro (da el mismo MAD) y se recalculó contra la venta real:</w:t>
            </w:r>
          </w:p>
        </w:tc>
      </w:tr>
    </w:tbl>
    <w:p>
      <w:pPr>
        <w:spacing w:after="4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100"/>
        <w:gridCol w:w="3436"/>
        <w:gridCol w:w="3436"/>
      </w:tblGrid>
      <w:tr>
        <w:trPr>
          <w:cantSplit/>
          <w:tblHeader/>
        </w:trPr>
        <w:tc>
          <w:tcPr>
            <w:tcW w:type="dxa" w:w="31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Producto</w:t>
            </w:r>
          </w:p>
        </w:tc>
        <w:tc>
          <w:tcPr>
            <w:tcW w:type="dxa" w:w="34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Holt según el libro (MAD · MAPE)</w:t>
            </w:r>
          </w:p>
        </w:tc>
        <w:tc>
          <w:tcPr>
            <w:tcW w:type="dxa" w:w="3436"/>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7"/>
                <w:szCs w:val="17"/>
              </w:rPr>
              <w:t xml:space="preserve">Holt corregido (MAD · MAPE)</w:t>
            </w:r>
          </w:p>
        </w:tc>
      </w:tr>
      <w:tr>
        <w:trPr>
          <w:cantSplit/>
        </w:trPr>
        <w:tc>
          <w:tcPr>
            <w:tcW w:type="dxa" w:w="3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Acelerador</w:t>
            </w:r>
          </w:p>
        </w:tc>
        <w:tc>
          <w:tcPr>
            <w:tcW w:type="dxa" w:w="34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1.612 · 24 %</w:t>
            </w:r>
          </w:p>
        </w:tc>
        <w:tc>
          <w:tcPr>
            <w:tcW w:type="dxa" w:w="34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3.697 · 54 %</w:t>
            </w:r>
          </w:p>
        </w:tc>
      </w:tr>
      <w:tr>
        <w:trPr>
          <w:cantSplit/>
        </w:trPr>
        <w:tc>
          <w:tcPr>
            <w:tcW w:type="dxa" w:w="310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Clutch Hierro</w:t>
            </w:r>
          </w:p>
        </w:tc>
        <w:tc>
          <w:tcPr>
            <w:tcW w:type="dxa" w:w="34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4.406 · 36 %</w:t>
            </w:r>
          </w:p>
        </w:tc>
        <w:tc>
          <w:tcPr>
            <w:tcW w:type="dxa" w:w="3436"/>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7"/>
                <w:szCs w:val="17"/>
              </w:rPr>
              <w:t xml:space="preserve">10.107 · 81 %</w:t>
            </w:r>
          </w:p>
        </w:tc>
      </w:tr>
      <w:tr>
        <w:trPr>
          <w:cantSplit/>
        </w:trPr>
        <w:tc>
          <w:tcPr>
            <w:tcW w:type="dxa" w:w="31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Clutch Bronce</w:t>
            </w:r>
          </w:p>
        </w:tc>
        <w:tc>
          <w:tcPr>
            <w:tcW w:type="dxa" w:w="34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856 · 25 %</w:t>
            </w:r>
          </w:p>
        </w:tc>
        <w:tc>
          <w:tcPr>
            <w:tcW w:type="dxa" w:w="3436"/>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7"/>
                <w:szCs w:val="17"/>
              </w:rPr>
              <w:t xml:space="preserve">1.963 · 57 %</w:t>
            </w:r>
          </w:p>
        </w:tc>
      </w:tr>
    </w:tbl>
    <w:p>
      <w:pPr>
        <w:spacing w:after="120" w:before="80" w:line="288"/>
      </w:pPr>
      <w:r>
        <w:rPr>
          <w:color w:val="161A25"/>
          <w:sz w:val="21"/>
          <w:szCs w:val="21"/>
        </w:rPr>
        <w:t xml:space="preserve">Con el error corregido, Holt resulta </w:t>
      </w:r>
      <w:r>
        <w:rPr>
          <w:b/>
          <w:bCs/>
          <w:color w:val="161A25"/>
          <w:sz w:val="21"/>
          <w:szCs w:val="21"/>
        </w:rPr>
        <w:t xml:space="preserve">peor</w:t>
      </w:r>
      <w:r>
        <w:rPr>
          <w:color w:val="161A25"/>
          <w:sz w:val="21"/>
          <w:szCs w:val="21"/>
        </w:rPr>
        <w:t xml:space="preserve"> que los promedios móviles de este documento (por ejemplo, Hierro: 10.107 frente a 7.575). Por eso no debe usarse la hoja de Holt tal como está para comparar métodos. Las hojas de promedio móvil simple y ponderado sí se verificaron y están bien. La hoja de suavización exponencial simple no se auditó aquí.</w:t>
      </w:r>
    </w:p>
    <w:p>
      <w:pPr>
        <w:pStyle w:val="Heading2"/>
        <w:keepNext/>
      </w:pPr>
      <w:r>
        <w:t xml:space="preserve">2.8 Pendientes y recomendaciones</w:t>
      </w:r>
    </w:p>
    <w:p>
      <w:pPr>
        <w:pStyle w:val="ListParagraph"/>
        <w:numPr>
          <w:ilvl w:val="0"/>
          <w:numId w:val="3"/>
        </w:numPr>
        <w:spacing w:after="80" w:line="276"/>
      </w:pPr>
      <w:r>
        <w:rPr>
          <w:b/>
          <w:bCs/>
          <w:color w:val="161A25"/>
          <w:sz w:val="21"/>
          <w:szCs w:val="21"/>
        </w:rPr>
        <w:t xml:space="preserve">Confirmar los datos señalados:</w:t>
      </w:r>
      <w:r>
        <w:rPr>
          <w:color w:val="161A25"/>
          <w:sz w:val="21"/>
          <w:szCs w:val="21"/>
        </w:rPr>
        <w:t xml:space="preserve"> Bronce sep-2025 (7.521) y may-2025 (9.700).</w:t>
      </w:r>
    </w:p>
    <w:p>
      <w:pPr>
        <w:pStyle w:val="ListParagraph"/>
        <w:numPr>
          <w:ilvl w:val="0"/>
          <w:numId w:val="3"/>
        </w:numPr>
        <w:spacing w:after="80" w:line="276"/>
      </w:pPr>
      <w:r>
        <w:rPr>
          <w:b/>
          <w:bCs/>
          <w:color w:val="161A25"/>
          <w:sz w:val="21"/>
          <w:szCs w:val="21"/>
        </w:rPr>
        <w:t xml:space="preserve">Confirmar la orientación de los pesos del PMP</w:t>
      </w:r>
      <w:r>
        <w:rPr>
          <w:color w:val="161A25"/>
          <w:sz w:val="21"/>
          <w:szCs w:val="21"/>
        </w:rPr>
        <w:t xml:space="preserve"> (más peso al dato antiguo en el libro) y decidir si es intencional.</w:t>
      </w:r>
    </w:p>
    <w:p>
      <w:pPr>
        <w:pStyle w:val="ListParagraph"/>
        <w:numPr>
          <w:ilvl w:val="0"/>
          <w:numId w:val="3"/>
        </w:numPr>
        <w:spacing w:after="80" w:line="276"/>
      </w:pPr>
      <w:r>
        <w:rPr>
          <w:b/>
          <w:bCs/>
          <w:color w:val="161A25"/>
          <w:sz w:val="21"/>
          <w:szCs w:val="21"/>
        </w:rPr>
        <w:t xml:space="preserve">Confirmar el horizonte de decisión</w:t>
      </w:r>
      <w:r>
        <w:rPr>
          <w:color w:val="161A25"/>
          <w:sz w:val="21"/>
          <w:szCs w:val="21"/>
        </w:rPr>
        <w:t xml:space="preserve"> con los plazos reales de compra y fabricación (se propuso 3 meses).</w:t>
      </w:r>
    </w:p>
    <w:p>
      <w:pPr>
        <w:pStyle w:val="ListParagraph"/>
        <w:numPr>
          <w:ilvl w:val="0"/>
          <w:numId w:val="3"/>
        </w:numPr>
        <w:spacing w:after="80" w:line="276"/>
      </w:pPr>
      <w:r>
        <w:rPr>
          <w:b/>
          <w:bCs/>
          <w:color w:val="161A25"/>
          <w:sz w:val="21"/>
          <w:szCs w:val="21"/>
        </w:rPr>
        <w:t xml:space="preserve">Validar los umbrales de aceptación</w:t>
      </w:r>
      <w:r>
        <w:rPr>
          <w:color w:val="161A25"/>
          <w:sz w:val="21"/>
          <w:szCs w:val="21"/>
        </w:rPr>
        <w:t xml:space="preserve"> (CA-03 a CA-07), en especial el de MAPE ≤ 50 %.</w:t>
      </w:r>
    </w:p>
    <w:p>
      <w:pPr>
        <w:pStyle w:val="ListParagraph"/>
        <w:numPr>
          <w:ilvl w:val="0"/>
          <w:numId w:val="3"/>
        </w:numPr>
        <w:spacing w:after="80" w:line="276"/>
      </w:pPr>
      <w:r>
        <w:rPr>
          <w:b/>
          <w:bCs/>
          <w:color w:val="161A25"/>
          <w:sz w:val="21"/>
          <w:szCs w:val="21"/>
        </w:rPr>
        <w:t xml:space="preserve">Ampliar la historia a 36–48 meses</w:t>
      </w:r>
      <w:r>
        <w:rPr>
          <w:color w:val="161A25"/>
          <w:sz w:val="21"/>
          <w:szCs w:val="21"/>
        </w:rPr>
        <w:t xml:space="preserve"> para poder confirmar o descartar estacionalidad.</w:t>
      </w:r>
    </w:p>
    <w:p>
      <w:pPr>
        <w:pStyle w:val="ListParagraph"/>
        <w:numPr>
          <w:ilvl w:val="0"/>
          <w:numId w:val="3"/>
        </w:numPr>
        <w:spacing w:after="80" w:line="276"/>
      </w:pPr>
      <w:r>
        <w:rPr>
          <w:b/>
          <w:bCs/>
          <w:color w:val="161A25"/>
          <w:sz w:val="21"/>
          <w:szCs w:val="21"/>
        </w:rPr>
        <w:t xml:space="preserve">Registrar la demanda y no solo la venta</w:t>
      </w:r>
      <w:r>
        <w:rPr>
          <w:color w:val="161A25"/>
          <w:sz w:val="21"/>
          <w:szCs w:val="21"/>
        </w:rPr>
        <w:t xml:space="preserve"> (pedidos no atendidos) para no subestimarla.</w:t>
      </w:r>
    </w:p>
    <w:p>
      <w:pPr>
        <w:pStyle w:val="ListParagraph"/>
        <w:numPr>
          <w:ilvl w:val="0"/>
          <w:numId w:val="3"/>
        </w:numPr>
        <w:spacing w:after="80" w:line="276"/>
      </w:pPr>
      <w:r>
        <w:rPr>
          <w:b/>
          <w:bCs/>
          <w:color w:val="161A25"/>
          <w:sz w:val="21"/>
          <w:szCs w:val="21"/>
        </w:rPr>
        <w:t xml:space="preserve">Corregir la hoja de Holt</w:t>
      </w:r>
      <w:r>
        <w:rPr>
          <w:color w:val="161A25"/>
          <w:sz w:val="21"/>
          <w:szCs w:val="21"/>
        </w:rPr>
        <w:t xml:space="preserve"> (error contra la venta real) antes de usarla en comparaciones.</w:t>
      </w:r>
    </w:p>
    <w:p>
      <w:pPr>
        <w:pStyle w:val="ListParagraph"/>
        <w:numPr>
          <w:ilvl w:val="0"/>
          <w:numId w:val="3"/>
        </w:numPr>
        <w:spacing w:after="80" w:line="276"/>
      </w:pPr>
      <w:r>
        <w:rPr>
          <w:b/>
          <w:bCs/>
          <w:color w:val="161A25"/>
          <w:sz w:val="21"/>
          <w:szCs w:val="21"/>
        </w:rPr>
        <w:t xml:space="preserve">Considerar un método que incorpore la tendencia</w:t>
      </w:r>
      <w:r>
        <w:rPr>
          <w:color w:val="161A25"/>
          <w:sz w:val="21"/>
          <w:szCs w:val="21"/>
        </w:rPr>
        <w:t xml:space="preserve"> para Hierro (la baja es significativa) una vez corregida la hoja de Holt.</w:t>
      </w:r>
    </w:p>
    <w:p>
      <w:pPr>
        <w:pStyle w:val="Heading1"/>
        <w:pageBreakBefore/>
      </w:pPr>
      <w:r>
        <w:t xml:space="preserve">Anexo A. Índices estacionales por mes y año</w:t>
      </w:r>
    </w:p>
    <w:p>
      <w:pPr>
        <w:spacing w:after="80" w:before="0" w:line="288"/>
      </w:pPr>
      <w:r>
        <w:rPr>
          <w:color w:val="161A25"/>
          <w:sz w:val="21"/>
          <w:szCs w:val="21"/>
        </w:rPr>
        <w:t xml:space="preserve">Índice = venta del mes ÷ promedio de ese año (2026 solo ene-sep). Si hubiera estacionalidad, cada fila tendría valores parecidos entre columnas. Es mucho lo que varían.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72"/>
        <w:gridCol w:w="1450"/>
        <w:gridCol w:w="1450"/>
        <w:gridCol w:w="1450"/>
        <w:gridCol w:w="1450"/>
        <w:gridCol w:w="1450"/>
        <w:gridCol w:w="1450"/>
      </w:tblGrid>
      <w:tr>
        <w:trPr>
          <w:cantSplit/>
          <w:tblHeader/>
        </w:trPr>
        <w:tc>
          <w:tcPr>
            <w:tcW w:type="dxa" w:w="12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Mes</w:t>
            </w:r>
          </w:p>
        </w:tc>
        <w:tc>
          <w:tcPr>
            <w:tcW w:type="dxa" w:w="145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Hierro 2024</w:t>
            </w:r>
          </w:p>
        </w:tc>
        <w:tc>
          <w:tcPr>
            <w:tcW w:type="dxa" w:w="145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Hierro 2025</w:t>
            </w:r>
          </w:p>
        </w:tc>
        <w:tc>
          <w:tcPr>
            <w:tcW w:type="dxa" w:w="145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Hierro 2026</w:t>
            </w:r>
          </w:p>
        </w:tc>
        <w:tc>
          <w:tcPr>
            <w:tcW w:type="dxa" w:w="145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Bronce 2024</w:t>
            </w:r>
          </w:p>
        </w:tc>
        <w:tc>
          <w:tcPr>
            <w:tcW w:type="dxa" w:w="145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Bronce 2025</w:t>
            </w:r>
          </w:p>
        </w:tc>
        <w:tc>
          <w:tcPr>
            <w:tcW w:type="dxa" w:w="145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6"/>
                <w:szCs w:val="16"/>
              </w:rPr>
              <w:t xml:space="preserve">Bronce 2026</w:t>
            </w:r>
          </w:p>
        </w:tc>
      </w:tr>
      <w:tr>
        <w:trPr>
          <w:cantSplit/>
        </w:trPr>
        <w:tc>
          <w:tcPr>
            <w:tcW w:type="dxa" w:w="12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Ene</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1,09</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0,84</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2,45</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1,18</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1,12</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1,03</w:t>
            </w:r>
          </w:p>
        </w:tc>
      </w:tr>
      <w:tr>
        <w:trPr>
          <w:cantSplit/>
        </w:trPr>
        <w:tc>
          <w:tcPr>
            <w:tcW w:type="dxa" w:w="12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Feb</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0,53</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0,44</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1,37</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0,88</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1,38</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1,16</w:t>
            </w:r>
          </w:p>
        </w:tc>
      </w:tr>
      <w:tr>
        <w:trPr>
          <w:cantSplit/>
        </w:trPr>
        <w:tc>
          <w:tcPr>
            <w:tcW w:type="dxa" w:w="12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Mar</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0,63</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1,53</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0,25</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0,69</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1,20</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1,05</w:t>
            </w:r>
          </w:p>
        </w:tc>
      </w:tr>
      <w:tr>
        <w:trPr>
          <w:cantSplit/>
        </w:trPr>
        <w:tc>
          <w:tcPr>
            <w:tcW w:type="dxa" w:w="12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Abr</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1,45</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1,11</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1,18</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1,25</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0,30</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1,21</w:t>
            </w:r>
          </w:p>
        </w:tc>
      </w:tr>
      <w:tr>
        <w:trPr>
          <w:cantSplit/>
        </w:trPr>
        <w:tc>
          <w:tcPr>
            <w:tcW w:type="dxa" w:w="12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May</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0,99</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0,49</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0,22</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1,07</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1,97</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0,76</w:t>
            </w:r>
          </w:p>
        </w:tc>
      </w:tr>
      <w:tr>
        <w:trPr>
          <w:cantSplit/>
        </w:trPr>
        <w:tc>
          <w:tcPr>
            <w:tcW w:type="dxa" w:w="12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Jun</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1,41</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1,15</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1,50</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0,71</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0,30</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0,88</w:t>
            </w:r>
          </w:p>
        </w:tc>
      </w:tr>
      <w:tr>
        <w:trPr>
          <w:cantSplit/>
        </w:trPr>
        <w:tc>
          <w:tcPr>
            <w:tcW w:type="dxa" w:w="12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Jul</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0,46</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1,41</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0,61</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0,73</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1,22</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1,07</w:t>
            </w:r>
          </w:p>
        </w:tc>
      </w:tr>
      <w:tr>
        <w:trPr>
          <w:cantSplit/>
        </w:trPr>
        <w:tc>
          <w:tcPr>
            <w:tcW w:type="dxa" w:w="12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Ago</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0,91</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0,76</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0,72</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1,38</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0,71</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0,91</w:t>
            </w:r>
          </w:p>
        </w:tc>
      </w:tr>
      <w:tr>
        <w:trPr>
          <w:cantSplit/>
        </w:trPr>
        <w:tc>
          <w:tcPr>
            <w:tcW w:type="dxa" w:w="12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Sep</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1,14</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1,51</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0,70</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1,05</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1,53</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0,93</w:t>
            </w:r>
          </w:p>
        </w:tc>
      </w:tr>
      <w:tr>
        <w:trPr>
          <w:cantSplit/>
        </w:trPr>
        <w:tc>
          <w:tcPr>
            <w:tcW w:type="dxa" w:w="12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Oct</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1,24</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0,87</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0,61</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0,37</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w:t>
            </w:r>
          </w:p>
        </w:tc>
      </w:tr>
      <w:tr>
        <w:trPr>
          <w:cantSplit/>
        </w:trPr>
        <w:tc>
          <w:tcPr>
            <w:tcW w:type="dxa" w:w="12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Nov</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0,98</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0,71</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1,84</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0,81</w:t>
            </w:r>
          </w:p>
        </w:tc>
        <w:tc>
          <w:tcPr>
            <w:tcW w:type="dxa" w:w="145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color w:val="161A25"/>
                <w:sz w:val="16"/>
                <w:szCs w:val="16"/>
              </w:rPr>
              <w:t xml:space="preserve">—</w:t>
            </w:r>
          </w:p>
        </w:tc>
      </w:tr>
      <w:tr>
        <w:trPr>
          <w:cantSplit/>
        </w:trPr>
        <w:tc>
          <w:tcPr>
            <w:tcW w:type="dxa" w:w="1272"/>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Dic</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1,17</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1,19</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0,63</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1,10</w:t>
            </w:r>
          </w:p>
        </w:tc>
        <w:tc>
          <w:tcPr>
            <w:tcW w:type="dxa" w:w="1450"/>
            <w:tcBorders>
              <w:top w:val="single" w:color="C9CBD2" w:sz="4"/>
              <w:left w:val="single" w:color="C9CBD2" w:sz="4"/>
              <w:bottom w:val="single" w:color="C9CBD2" w:sz="4"/>
              <w:right w:val="single" w:color="C9CBD2" w:sz="4"/>
            </w:tcBorders>
            <w:shd w:fill="FAF8F3" w:color="auto" w:val="clear"/>
            <w:tcMar>
              <w:top w:type="dxa" w:w="70"/>
              <w:left w:type="dxa" w:w="110"/>
              <w:bottom w:type="dxa" w:w="70"/>
              <w:right w:type="dxa" w:w="110"/>
            </w:tcMar>
            <w:vAlign w:val="top"/>
          </w:tcPr>
          <w:p>
            <w:pPr>
              <w:spacing w:after="40" w:line="252"/>
            </w:pPr>
            <w:r>
              <w:rPr>
                <w:color w:val="161A25"/>
                <w:sz w:val="16"/>
                <w:szCs w:val="16"/>
              </w:rPr>
              <w:t xml:space="preserve">—</w:t>
            </w:r>
          </w:p>
        </w:tc>
      </w:tr>
    </w:tbl>
    <w:p>
      <w:pPr>
        <w:pStyle w:val="Heading1"/>
        <w:pageBreakBefore/>
      </w:pPr>
      <w:r>
        <w:t xml:space="preserve">Anexo B. Datos validados y pronósticos · Clutch Hierro</w:t>
      </w:r>
    </w:p>
    <w:p>
      <w:pPr>
        <w:spacing w:after="60" w:before="0" w:line="288"/>
      </w:pPr>
      <w:r>
        <w:rPr>
          <w:color w:val="161A25"/>
          <w:sz w:val="18"/>
          <w:szCs w:val="18"/>
        </w:rPr>
        <w:t xml:space="preserve">Pronóstico de cada mes con datos anteriores. PMS 3 = promedio simple de 3 meses; PMP 3 = pesos 0,3 · 0,3 · 0,4 del libro (0,4 sobre el dato más antiguo). |E| = error absoluto.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600"/>
        <w:gridCol w:w="1700"/>
        <w:gridCol w:w="1672"/>
      </w:tblGrid>
      <w:tr>
        <w:trPr>
          <w:cantSplit/>
          <w:tblHeader/>
        </w:trPr>
        <w:tc>
          <w:tcPr>
            <w:tcW w:type="dxa" w:w="1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Mes</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Venta real</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PMS 3</w:t>
            </w:r>
          </w:p>
        </w:tc>
        <w:tc>
          <w:tcPr>
            <w:tcW w:type="dxa" w:w="1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|E| PMS 3</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PMP 3</w:t>
            </w:r>
          </w:p>
        </w:tc>
        <w:tc>
          <w:tcPr>
            <w:tcW w:type="dxa" w:w="16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|E| PMP 3</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Ene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26.700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Feb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12.900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Mar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15.420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Abr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35.400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18.340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17.060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19.176</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16.224</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May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24.130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21.240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2.890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20.406</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3.724</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Jun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34.300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24.983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9.317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24.027</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10.273</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Jul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11.300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31.277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19.977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31.689</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20.389</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Ago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22.300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23.243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943</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23.332</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1.032</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Sep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27.800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22.633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5.167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23.800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4.000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Oct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30.200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20.467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9.733</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19.550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10.650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Nov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24.000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26.767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2.767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26.320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2.320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Dic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28.500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27.333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1.167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27.380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1.120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Ene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13.800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27.567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13.767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27.830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14.030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Feb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7.200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22.100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14.900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22.290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15.090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Mar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25.000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16.500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8.500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17.700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7.300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Abr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18.200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15.333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2.867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15.180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3.020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May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8.100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16.800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8.700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15.840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7.740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Jun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18.800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17.100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1.700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17.890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910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Jul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23.100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15.033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8.067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15.350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7.750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Ago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12.400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16.667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4.267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15.810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3.410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Sep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24.700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18.100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6.600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18.170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6.530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Oct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14.200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20.067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5.867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20.370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6.170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Nov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11.600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17.100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5.500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16.630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5.030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Dic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19.500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16.833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2.667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17.620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1.880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Ene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34.100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15.100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19.000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15.010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19.090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Feb 2026</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19.000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21.733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2.733</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20.720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1.720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Mar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3.500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24.200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20.700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23.730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20.230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Abr 2026</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16.350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18.867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2.517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20.390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4.040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May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3.000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12.950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9.950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13.555</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10.555</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Jun 2026</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20.900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7.617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13.283</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7.205</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13.695</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Jul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8.500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13.417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4.917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13.710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5.210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Ago 2026</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10.000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10.800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800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10.020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Sep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9.800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13.133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3.333</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13.910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4.110</w:t>
            </w:r>
          </w:p>
        </w:tc>
      </w:tr>
      <w:tr>
        <w:trPr>
          <w:cantSplit/>
        </w:trPr>
        <w:tc>
          <w:tcPr>
            <w:tcW w:type="dxa" w:w="1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4"/>
                <w:szCs w:val="14"/>
              </w:rPr>
              <w:t xml:space="preserve">MAD · MAPE</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p>
        </w:tc>
        <w:tc>
          <w:tcPr>
            <w:tcW w:type="dxa" w:w="1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4"/>
                <w:szCs w:val="14"/>
              </w:rPr>
              <w:t xml:space="preserve">7.655 · 73 %</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p>
        </w:tc>
        <w:tc>
          <w:tcPr>
            <w:tcW w:type="dxa" w:w="16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4"/>
                <w:szCs w:val="14"/>
              </w:rPr>
              <w:t xml:space="preserve">7.575 · 72 %</w:t>
            </w:r>
          </w:p>
        </w:tc>
      </w:tr>
    </w:tbl>
    <w:p>
      <w:pPr>
        <w:pStyle w:val="Heading1"/>
        <w:pageBreakBefore/>
      </w:pPr>
      <w:r>
        <w:t xml:space="preserve">Anexo C. Datos validados y pronósticos · Clutch Bronce</w:t>
      </w:r>
    </w:p>
    <w:p>
      <w:pPr>
        <w:spacing w:after="60" w:before="0" w:line="288"/>
      </w:pPr>
      <w:r>
        <w:rPr>
          <w:color w:val="161A25"/>
          <w:sz w:val="18"/>
          <w:szCs w:val="18"/>
        </w:rPr>
        <w:t xml:space="preserve">Pronóstico de cada mes con datos anteriores. PMS 3 = promedio simple de 3 meses; PMP 3 = pesos 0,3 · 0,3 · 0,4 del libro (0,4 sobre el dato más antiguo). |E| = error absoluto.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600"/>
        <w:gridCol w:w="1700"/>
        <w:gridCol w:w="1672"/>
      </w:tblGrid>
      <w:tr>
        <w:trPr>
          <w:cantSplit/>
          <w:tblHeader/>
        </w:trPr>
        <w:tc>
          <w:tcPr>
            <w:tcW w:type="dxa" w:w="1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Mes</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Venta real</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PMS 3</w:t>
            </w:r>
          </w:p>
        </w:tc>
        <w:tc>
          <w:tcPr>
            <w:tcW w:type="dxa" w:w="16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|E| PMS 3</w:t>
            </w:r>
          </w:p>
        </w:tc>
        <w:tc>
          <w:tcPr>
            <w:tcW w:type="dxa" w:w="1700"/>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PMP 3</w:t>
            </w:r>
          </w:p>
        </w:tc>
        <w:tc>
          <w:tcPr>
            <w:tcW w:type="dxa" w:w="1672"/>
            <w:tcBorders>
              <w:top w:val="single" w:color="10131C" w:sz="4"/>
              <w:left w:val="single" w:color="10131C" w:sz="4"/>
              <w:bottom w:val="single" w:color="10131C" w:sz="4"/>
              <w:right w:val="single" w:color="10131C" w:sz="4"/>
            </w:tcBorders>
            <w:shd w:fill="10131C" w:color="auto" w:val="clear"/>
            <w:tcMar>
              <w:top w:type="dxa" w:w="70"/>
              <w:left w:type="dxa" w:w="110"/>
              <w:bottom w:type="dxa" w:w="70"/>
              <w:right w:type="dxa" w:w="110"/>
            </w:tcMar>
            <w:vAlign w:val="top"/>
          </w:tcPr>
          <w:p>
            <w:pPr>
              <w:spacing w:after="40" w:line="252"/>
            </w:pPr>
            <w:r>
              <w:rPr>
                <w:b/>
                <w:bCs/>
                <w:color w:val="FFFFFF"/>
                <w:sz w:val="14"/>
                <w:szCs w:val="14"/>
              </w:rPr>
              <w:t xml:space="preserve">|E| PMP 3</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Ene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5.850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Feb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4.350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Mar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3.410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Abr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6.200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4.537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1.663</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4.668</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1.532</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May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5.300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4.653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647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4.623</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677</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Jun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3.500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4.970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1.470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4.814</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1.314</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Jul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3.600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5.000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1.400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5.120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1.520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Ago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6.850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4.133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2.717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4.250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2.600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Sep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5.200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4.650</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550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4.535</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665</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Oct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3.000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5.217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2.217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5.055</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2.055</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Nov 2024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9.100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5.017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4.083</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5.200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3.900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Dic 2024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3.100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5.767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2.667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5.710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2.610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Ene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5.500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5.067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433</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4.860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640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Feb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6.800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5.900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900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6.220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580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Mar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5.900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5.133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767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4.930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970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Abr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1.500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6.067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4.567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6.010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4.510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May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9.700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4.733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4.967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4.940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4.760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Jun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1.500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5.700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4.200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5.720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4.220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Jul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6.000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4.233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1.767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3.960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2.040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Ago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3.500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5.733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2.233</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6.130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2.630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Sep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7.521</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3.667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3.854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3.450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4.071</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Oct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1.800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5.674</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3.874</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5.706</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3.906</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Nov 2025</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4.000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4.274</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274</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4.196</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196</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Dic 2025</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5.400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4.440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960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4.748</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652</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Ene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4.900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3.733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1.167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3.540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1.360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Feb 2026</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5.500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4.767</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733</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4.690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810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Mar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5.000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5.267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267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5.280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280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Abr 2026</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5.750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5.133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617</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5.110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640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May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3.600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5.417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1.817</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5.425</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1.825</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Jun 2026</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4.200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4.783</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583</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4.805</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605</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Jul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5.100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4.517</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583</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4.640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460</w:t>
            </w:r>
          </w:p>
        </w:tc>
      </w:tr>
      <w:tr>
        <w:trPr>
          <w:cantSplit/>
        </w:trPr>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Ago 2026</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4.300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4.300</w:t>
            </w:r>
          </w:p>
        </w:tc>
        <w:tc>
          <w:tcPr>
            <w:tcW w:type="dxa" w:w="16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0</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4.230</w:t>
            </w:r>
          </w:p>
        </w:tc>
        <w:tc>
          <w:tcPr>
            <w:tcW w:type="dxa" w:w="1672"/>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r>
              <w:rPr>
                <w:color w:val="161A25"/>
                <w:sz w:val="14"/>
                <w:szCs w:val="14"/>
              </w:rPr>
              <w:t xml:space="preserve">70</w:t>
            </w:r>
          </w:p>
        </w:tc>
      </w:tr>
      <w:tr>
        <w:trPr>
          <w:cantSplit/>
        </w:trPr>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Sep 2026</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4.400</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4.533</w:t>
            </w:r>
          </w:p>
        </w:tc>
        <w:tc>
          <w:tcPr>
            <w:tcW w:type="dxa" w:w="16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133</w:t>
            </w:r>
          </w:p>
        </w:tc>
        <w:tc>
          <w:tcPr>
            <w:tcW w:type="dxa" w:w="1700"/>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4.500</w:t>
            </w:r>
          </w:p>
        </w:tc>
        <w:tc>
          <w:tcPr>
            <w:tcW w:type="dxa" w:w="1672"/>
            <w:tcBorders>
              <w:top w:val="single" w:color="C9CBD2" w:sz="4"/>
              <w:left w:val="single" w:color="C9CBD2" w:sz="4"/>
              <w:bottom w:val="single" w:color="C9CBD2" w:sz="4"/>
              <w:right w:val="single" w:color="C9CBD2" w:sz="4"/>
            </w:tcBorders>
            <w:tcMar>
              <w:top w:type="dxa" w:w="12"/>
              <w:left w:type="dxa" w:w="110"/>
              <w:bottom w:type="dxa" w:w="12"/>
              <w:right w:type="dxa" w:w="110"/>
            </w:tcMar>
            <w:vAlign w:val="top"/>
          </w:tcPr>
          <w:p>
            <w:pPr>
              <w:spacing w:after="40" w:line="252"/>
            </w:pPr>
            <w:r>
              <w:rPr>
                <w:color w:val="161A25"/>
                <w:sz w:val="14"/>
                <w:szCs w:val="14"/>
              </w:rPr>
              <w:t xml:space="preserve">100</w:t>
            </w:r>
          </w:p>
        </w:tc>
      </w:tr>
      <w:tr>
        <w:trPr>
          <w:cantSplit/>
        </w:trPr>
        <w:tc>
          <w:tcPr>
            <w:tcW w:type="dxa" w:w="1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4"/>
                <w:szCs w:val="14"/>
              </w:rPr>
              <w:t xml:space="preserve">MAD · MAPE</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p>
        </w:tc>
        <w:tc>
          <w:tcPr>
            <w:tcW w:type="dxa" w:w="1600"/>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4"/>
                <w:szCs w:val="14"/>
              </w:rPr>
              <w:t xml:space="preserve">1.737 · 52 %</w:t>
            </w:r>
          </w:p>
        </w:tc>
        <w:tc>
          <w:tcPr>
            <w:tcW w:type="dxa" w:w="1700"/>
            <w:tcBorders>
              <w:top w:val="single" w:color="C9CBD2" w:sz="4"/>
              <w:left w:val="single" w:color="C9CBD2" w:sz="4"/>
              <w:bottom w:val="single" w:color="C9CBD2" w:sz="4"/>
              <w:right w:val="single" w:color="C9CBD2" w:sz="4"/>
            </w:tcBorders>
            <w:shd w:fill="FAF8F3" w:color="auto" w:val="clear"/>
            <w:tcMar>
              <w:top w:type="dxa" w:w="12"/>
              <w:left w:type="dxa" w:w="110"/>
              <w:bottom w:type="dxa" w:w="12"/>
              <w:right w:type="dxa" w:w="110"/>
            </w:tcMar>
            <w:vAlign w:val="top"/>
          </w:tcPr>
          <w:p>
            <w:pPr>
              <w:spacing w:after="40" w:line="252"/>
            </w:pPr>
          </w:p>
        </w:tc>
        <w:tc>
          <w:tcPr>
            <w:tcW w:type="dxa" w:w="1672"/>
            <w:tcBorders>
              <w:top w:val="single" w:color="C9CBD2" w:sz="4"/>
              <w:left w:val="single" w:color="C9CBD2" w:sz="4"/>
              <w:bottom w:val="single" w:color="C9CBD2" w:sz="4"/>
              <w:right w:val="single" w:color="C9CBD2" w:sz="4"/>
            </w:tcBorders>
            <w:tcMar>
              <w:top w:type="dxa" w:w="70"/>
              <w:left w:type="dxa" w:w="110"/>
              <w:bottom w:type="dxa" w:w="70"/>
              <w:right w:type="dxa" w:w="110"/>
            </w:tcMar>
            <w:vAlign w:val="top"/>
          </w:tcPr>
          <w:p>
            <w:pPr>
              <w:spacing w:after="40" w:line="252"/>
            </w:pPr>
            <w:r>
              <w:rPr>
                <w:b/>
                <w:bCs/>
                <w:color w:val="161A25"/>
                <w:sz w:val="14"/>
                <w:szCs w:val="14"/>
              </w:rPr>
              <w:t xml:space="preserve">1.740 · 52 %</w:t>
            </w:r>
          </w:p>
        </w:tc>
      </w:tr>
    </w:tbl>
    <w:sectPr>
      <w:headerReference w:type="default" r:id="rId7"/>
      <w:footerReference w:type="default" r:id="rId8"/>
      <w:pgSz w:w="12240" w:h="15840" w:orient="portrait"/>
      <w:pgMar w:top="115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87083"/>
        <w:sz w:val="16"/>
        <w:szCs w:val="16"/>
      </w:rPr>
      <w:t xml:space="preserve">JR Mecanizados Industriales · Datos: libro “Pronósticos JR Mecanizados” · Página </w:t>
    </w:r>
    <w:r>
      <w:rPr>
        <w:color w:val="6870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BD2" w:sz="4" w:space="4"/>
      </w:pBdr>
    </w:pPr>
    <w:r>
      <w:rPr>
        <w:b/>
        <w:bCs/>
        <w:color w:val="303B8F"/>
        <w:spacing w:val="40"/>
        <w:sz w:val="18"/>
        <w:szCs w:val="18"/>
      </w:rPr>
      <w:t xml:space="preserve">JR</w:t>
    </w:r>
    <w:r>
      <w:rPr>
        <w:color w:val="687083"/>
        <w:sz w:val="16"/>
        <w:szCs w:val="16"/>
      </w:rPr>
      <w:t xml:space="preserve">   ·   Pronósticos de producción · Caracterización y criterios de aceptación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rPr>
        <w:b/>
        <w:bCs/>
        <w:color w:val="303B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A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4D9E8" w:sz="12" w:space="6"/>
      </w:pBdr>
      <w:spacing w:after="160" w:before="240"/>
      <w:outlineLvl w:val="0"/>
    </w:pPr>
    <w:rPr>
      <w:rFonts w:ascii="Arial" w:cs="Arial" w:eastAsia="Arial" w:hAnsi="Arial"/>
      <w:b/>
      <w:bCs/>
      <w:color w:val="303B8F"/>
      <w:sz w:val="34"/>
      <w:szCs w:val="34"/>
    </w:rPr>
  </w:style>
  <w:style w:type="paragraph" w:styleId="Heading2">
    <w:name w:val="Heading 2"/>
    <w:basedOn w:val="Normal"/>
    <w:next w:val="Normal"/>
    <w:qFormat/>
    <w:pPr>
      <w:spacing w:after="90" w:before="220"/>
      <w:outlineLvl w:val="1"/>
    </w:pPr>
    <w:rPr>
      <w:rFonts w:ascii="Arial" w:cs="Arial" w:eastAsia="Arial" w:hAnsi="Arial"/>
      <w:b/>
      <w:bCs/>
      <w:color w:val="161A25"/>
      <w:sz w:val="25"/>
      <w:szCs w:val="25"/>
    </w:rPr>
  </w:style>
  <w:style w:type="paragraph" w:styleId="Heading3">
    <w:name w:val="Heading 3"/>
    <w:basedOn w:val="Normal"/>
    <w:next w:val="Normal"/>
    <w:qFormat/>
    <w:pPr>
      <w:spacing w:after="60" w:before="160"/>
      <w:outlineLvl w:val="2"/>
    </w:pPr>
    <w:rPr>
      <w:rFonts w:ascii="Arial" w:cs="Arial" w:eastAsia="Arial" w:hAnsi="Arial"/>
      <w:b/>
      <w:bCs/>
      <w:color w:val="303B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006682f74b2a0cb2773169ab6b58567a5e576b.png"/><Relationship Id="rId10" Type="http://schemas.openxmlformats.org/officeDocument/2006/relationships/image" Target="media/e487e14c001b073ba6a2b6aa2e89bd5860f852b2.png"/><Relationship Id="rId11" Type="http://schemas.openxmlformats.org/officeDocument/2006/relationships/image" Target="media/ccace75c3a84a76547539ad8672ba6790b676b36.png"/><Relationship Id="rId12" Type="http://schemas.openxmlformats.org/officeDocument/2006/relationships/image" Target="media/4cca6bfec53425180b34bea7547a716130b118c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 — Pronósticos de producción: caracterización de la demanda y criterios de aceptación</dc:title>
  <dc:creator>Claude</dc:creator>
  <dc:description>Caracterización de la demanda (Clutch Hierro y Clutch Bronce), criterios de aceptación, PMS, PMP, MAD y MAPE</dc:description>
  <cp:lastModifiedBy>Un-named</cp:lastModifiedBy>
  <cp:revision>1</cp:revision>
  <dcterms:created xsi:type="dcterms:W3CDTF">2026-10-23T23:23:06.986Z</dcterms:created>
  <dcterms:modified xsi:type="dcterms:W3CDTF">2026-10-23T23:23:06.986Z</dcterms:modified>
</cp:coreProperties>
</file>

<file path=docProps/custom.xml><?xml version="1.0" encoding="utf-8"?>
<Properties xmlns="http://schemas.openxmlformats.org/officeDocument/2006/custom-properties" xmlns:vt="http://schemas.openxmlformats.org/officeDocument/2006/docPropsVTypes"/>
</file>