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4E5A" w14:textId="6642B506" w:rsidR="00206C4C" w:rsidRPr="009621DE" w:rsidRDefault="009621DE" w:rsidP="00BE188C">
      <w:pPr>
        <w:jc w:val="center"/>
      </w:pPr>
      <w:r w:rsidRPr="009621DE">
        <w:t>Exploring Covid-19 Deaths by State, Sex, and Age Groups</w:t>
      </w:r>
    </w:p>
    <w:p w14:paraId="6774D628" w14:textId="77777777" w:rsidR="009621DE" w:rsidRDefault="009621DE" w:rsidP="00BE188C">
      <w:pPr>
        <w:jc w:val="left"/>
      </w:pPr>
    </w:p>
    <w:p w14:paraId="4CE87C0D" w14:textId="5BE125D2" w:rsidR="009621DE" w:rsidRPr="00844934" w:rsidRDefault="009621DE" w:rsidP="00BE188C">
      <w:pPr>
        <w:jc w:val="left"/>
        <w:rPr>
          <w:b/>
          <w:bCs/>
        </w:rPr>
      </w:pPr>
      <w:r w:rsidRPr="00844934">
        <w:rPr>
          <w:b/>
          <w:bCs/>
        </w:rPr>
        <w:t>Introduction:</w:t>
      </w:r>
    </w:p>
    <w:p w14:paraId="43B7DA1F" w14:textId="033D4CA8" w:rsidR="009621DE" w:rsidRDefault="009621DE" w:rsidP="005927DE">
      <w:pPr>
        <w:jc w:val="left"/>
      </w:pPr>
      <w:r w:rsidRPr="009621DE">
        <w:t>At the end of 2019, a novel coronavirus was identified as the cause of a cluster of pneumonia cases in China. It rapidly spread</w:t>
      </w:r>
      <w:r w:rsidR="00CB5EE0">
        <w:t xml:space="preserve"> </w:t>
      </w:r>
      <w:r w:rsidRPr="009621DE">
        <w:t>and resulted in an epidemic throughout the world. In February 2020, the World Health Organization designated the disease COVID-19, which stands for coronavirus disease</w:t>
      </w:r>
      <w:r w:rsidR="00CB5EE0">
        <w:t xml:space="preserve"> in</w:t>
      </w:r>
      <w:r w:rsidRPr="009621DE">
        <w:t xml:space="preserve"> 2019. This report is designed to explore the association between COVID-19 death and state, sex, age groups.</w:t>
      </w:r>
    </w:p>
    <w:p w14:paraId="2B67236B" w14:textId="2EC68688" w:rsidR="009621DE" w:rsidRDefault="009621DE" w:rsidP="00BE188C">
      <w:pPr>
        <w:jc w:val="left"/>
      </w:pPr>
    </w:p>
    <w:p w14:paraId="1123CDE6" w14:textId="73BCA0B4" w:rsidR="009621DE" w:rsidRPr="00844934" w:rsidRDefault="009621DE" w:rsidP="00BE188C">
      <w:pPr>
        <w:jc w:val="left"/>
        <w:rPr>
          <w:b/>
          <w:bCs/>
        </w:rPr>
      </w:pPr>
      <w:r w:rsidRPr="00844934">
        <w:rPr>
          <w:b/>
          <w:bCs/>
        </w:rPr>
        <w:t>Methods</w:t>
      </w:r>
      <w:r w:rsidRPr="00844934">
        <w:rPr>
          <w:b/>
          <w:bCs/>
        </w:rPr>
        <w:t>:</w:t>
      </w:r>
    </w:p>
    <w:p w14:paraId="2FA68858" w14:textId="61B27EFA" w:rsidR="00B556F3" w:rsidRDefault="009621DE" w:rsidP="005927DE">
      <w:pPr>
        <w:spacing w:line="240" w:lineRule="auto"/>
        <w:jc w:val="left"/>
      </w:pPr>
      <w:r>
        <w:t xml:space="preserve">The </w:t>
      </w:r>
      <w:r w:rsidR="00B556F3">
        <w:t>data</w:t>
      </w:r>
      <w:r w:rsidR="00B556F3">
        <w:t xml:space="preserve"> of </w:t>
      </w:r>
      <w:r w:rsidR="00BE188C">
        <w:t xml:space="preserve">Covid-19 </w:t>
      </w:r>
      <w:r w:rsidR="00B556F3">
        <w:t xml:space="preserve">deaths </w:t>
      </w:r>
      <w:r>
        <w:t>was obtained from the US CDC, Centers of Disease Control and Prevention on Oct 17, 2020. The data include deaths due to coronavirus disease 2019 (COVID-19), pneumonia, and influenza reported to NCHS by sex, age group</w:t>
      </w:r>
      <w:r w:rsidR="00CB5EE0">
        <w:t>,</w:t>
      </w:r>
      <w:r>
        <w:t xml:space="preserve"> and state.</w:t>
      </w:r>
      <w:r w:rsidR="00BE188C">
        <w:t xml:space="preserve"> (</w:t>
      </w:r>
      <w:r w:rsidR="00BE188C" w:rsidRPr="00BE188C">
        <w:t xml:space="preserve"> </w:t>
      </w:r>
      <w:hyperlink r:id="rId6" w:history="1">
        <w:r w:rsidR="00BE188C" w:rsidRPr="002F1278">
          <w:rPr>
            <w:rStyle w:val="Hyperlink"/>
          </w:rPr>
          <w:t>https://data.cdc.gov/api/views/9bhg-hcku/rows.csv?accessType=DOWNLOAD</w:t>
        </w:r>
      </w:hyperlink>
      <w:r w:rsidR="00BE188C">
        <w:t xml:space="preserve"> )</w:t>
      </w:r>
    </w:p>
    <w:p w14:paraId="6D4C58AA" w14:textId="04A808D0" w:rsidR="009621DE" w:rsidRDefault="009621DE" w:rsidP="00BE188C">
      <w:pPr>
        <w:spacing w:line="240" w:lineRule="auto"/>
        <w:jc w:val="left"/>
      </w:pPr>
      <w:r>
        <w:t>The</w:t>
      </w:r>
      <w:r>
        <w:t xml:space="preserve"> age group variable contains overlapping data. Therefore, </w:t>
      </w:r>
      <w:r w:rsidR="00CB5EE0">
        <w:t>only a</w:t>
      </w:r>
      <w:r>
        <w:t xml:space="preserve"> portion of the data was used.</w:t>
      </w:r>
    </w:p>
    <w:p w14:paraId="266DFDCC" w14:textId="3370ED5B" w:rsidR="009621DE" w:rsidRDefault="009621DE" w:rsidP="00BE188C">
      <w:pPr>
        <w:spacing w:line="240" w:lineRule="auto"/>
        <w:jc w:val="left"/>
      </w:pPr>
      <w:r>
        <w:t>The proportionate mortality ratio (PMR) was obtained by using COVID-19 deaths/total deaths.</w:t>
      </w:r>
    </w:p>
    <w:p w14:paraId="0E4E88A3" w14:textId="2554347E" w:rsidR="00B556F3" w:rsidRDefault="00B556F3" w:rsidP="00BE188C">
      <w:pPr>
        <w:spacing w:line="240" w:lineRule="auto"/>
        <w:jc w:val="left"/>
      </w:pPr>
      <w:r>
        <w:t xml:space="preserve">The data of Covid_19 cases was also </w:t>
      </w:r>
      <w:r>
        <w:t>obtained from the US CDC</w:t>
      </w:r>
      <w:r>
        <w:t xml:space="preserve"> on </w:t>
      </w:r>
      <w:r w:rsidR="00D76CFC">
        <w:t>Oct 17, 2020</w:t>
      </w:r>
      <w:r w:rsidR="00D76CFC">
        <w:t>.</w:t>
      </w:r>
    </w:p>
    <w:p w14:paraId="2A6E93A0" w14:textId="3F0E3698" w:rsidR="00D76CFC" w:rsidRDefault="00D76CFC" w:rsidP="00BE188C">
      <w:pPr>
        <w:spacing w:line="240" w:lineRule="auto"/>
        <w:jc w:val="left"/>
      </w:pPr>
      <w:r>
        <w:t xml:space="preserve">( </w:t>
      </w:r>
      <w:hyperlink r:id="rId7" w:history="1">
        <w:r w:rsidRPr="002F1278">
          <w:rPr>
            <w:rStyle w:val="Hyperlink"/>
          </w:rPr>
          <w:t>https://data.cdc.gov/api/views/9mfq-cb36/rows.csv?accessType=DOWNLOAD</w:t>
        </w:r>
      </w:hyperlink>
      <w:r>
        <w:t xml:space="preserve"> )</w:t>
      </w:r>
    </w:p>
    <w:p w14:paraId="6F56D2BD" w14:textId="56A8D084" w:rsidR="00D76CFC" w:rsidRDefault="00D76CFC" w:rsidP="00BE188C">
      <w:pPr>
        <w:spacing w:line="240" w:lineRule="auto"/>
        <w:jc w:val="left"/>
      </w:pPr>
      <w:r>
        <w:t>The 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>ate</w:t>
      </w:r>
      <w:r>
        <w:t xml:space="preserve"> (CFR) was obtained by using Coviding-19 deaths/Covid-19 cases.</w:t>
      </w:r>
    </w:p>
    <w:p w14:paraId="4B551158" w14:textId="13294A4C" w:rsidR="00BE188C" w:rsidRDefault="00BE188C" w:rsidP="00BE188C">
      <w:pPr>
        <w:spacing w:line="240" w:lineRule="auto"/>
        <w:jc w:val="left"/>
      </w:pPr>
      <w:r>
        <w:t xml:space="preserve">The population data </w:t>
      </w:r>
      <w:r w:rsidR="00CB5EE0">
        <w:t>were</w:t>
      </w:r>
      <w:r>
        <w:t xml:space="preserve"> obtained from the United States Census Bureau. The data </w:t>
      </w:r>
      <w:r w:rsidR="00CB5EE0">
        <w:t>were</w:t>
      </w:r>
      <w:r>
        <w:t xml:space="preserve"> estimated </w:t>
      </w:r>
      <w:r>
        <w:t>based on the 2010 Census and reflect changes to the April 1, 2010 population due to the</w:t>
      </w:r>
      <w:r>
        <w:t xml:space="preserve"> </w:t>
      </w:r>
      <w:r>
        <w:t xml:space="preserve">Count Question Resolution program and geographic program revisions. </w:t>
      </w:r>
      <w:r>
        <w:t xml:space="preserve"> ( </w:t>
      </w:r>
      <w:hyperlink r:id="rId8" w:history="1">
        <w:r w:rsidRPr="002F1278">
          <w:rPr>
            <w:rStyle w:val="Hyperlink"/>
          </w:rPr>
          <w:t>http://www2.census.gov/programs-surveys/popest/datasets/2010-2019/national/totals/nst-est2019-alldata.csv</w:t>
        </w:r>
      </w:hyperlink>
      <w:r>
        <w:t xml:space="preserve"> )</w:t>
      </w:r>
    </w:p>
    <w:p w14:paraId="205217EC" w14:textId="7A106B3B" w:rsidR="00BE188C" w:rsidRDefault="00BE188C" w:rsidP="00BE188C">
      <w:pPr>
        <w:spacing w:line="240" w:lineRule="auto"/>
        <w:jc w:val="left"/>
      </w:pPr>
      <w:r>
        <w:t xml:space="preserve">The state area </w:t>
      </w:r>
      <w:r w:rsidR="005927DE">
        <w:t xml:space="preserve">data </w:t>
      </w:r>
      <w:r w:rsidR="00CB5EE0">
        <w:t>were</w:t>
      </w:r>
      <w:r>
        <w:t xml:space="preserve"> obtained from </w:t>
      </w:r>
      <w:r w:rsidR="005927DE">
        <w:t xml:space="preserve">the datasets package. The population density was obtained by using population/state area in square miles. </w:t>
      </w:r>
    </w:p>
    <w:p w14:paraId="72344D3B" w14:textId="77777777" w:rsidR="00254178" w:rsidRDefault="00254178" w:rsidP="009621DE">
      <w:pPr>
        <w:spacing w:line="240" w:lineRule="auto"/>
      </w:pPr>
    </w:p>
    <w:p w14:paraId="54D6383F" w14:textId="5B83D056" w:rsidR="009621DE" w:rsidRPr="00844934" w:rsidRDefault="00254178" w:rsidP="009621DE">
      <w:pPr>
        <w:spacing w:line="240" w:lineRule="auto"/>
        <w:rPr>
          <w:b/>
          <w:bCs/>
        </w:rPr>
      </w:pPr>
      <w:r w:rsidRPr="00844934">
        <w:rPr>
          <w:b/>
          <w:bCs/>
        </w:rPr>
        <w:t>Results</w:t>
      </w:r>
      <w:r w:rsidRPr="00844934">
        <w:rPr>
          <w:b/>
          <w:bCs/>
        </w:rPr>
        <w:t>:</w:t>
      </w:r>
    </w:p>
    <w:p w14:paraId="752D0625" w14:textId="4B6A63E0" w:rsidR="00254178" w:rsidRDefault="00254178" w:rsidP="00254178">
      <w:pPr>
        <w:spacing w:line="240" w:lineRule="auto"/>
      </w:pPr>
      <w:r>
        <w:t xml:space="preserve">According to Figure 1, New York and New Jersey have a high proportionate mortality ratio of COVID-19. </w:t>
      </w:r>
      <w:r>
        <w:t>In addition, Figure 2 provides the information that it</w:t>
      </w:r>
      <w:r>
        <w:t xml:space="preserve"> may be caused by high population density</w:t>
      </w:r>
      <w:r w:rsidR="00DD6C25">
        <w:t xml:space="preserve"> in the state of New York</w:t>
      </w:r>
      <w:r w:rsidR="00FE2AF4">
        <w:t xml:space="preserve"> and New Jersey</w:t>
      </w:r>
      <w:r>
        <w:t xml:space="preserve">. Since the virus can spread from an infected person’s mouth or nose in small liquid particles, others are very easily </w:t>
      </w:r>
      <w:r>
        <w:t>to get</w:t>
      </w:r>
      <w:r>
        <w:t xml:space="preserve"> infected when staying with infected people.</w:t>
      </w:r>
    </w:p>
    <w:p w14:paraId="4D8B0273" w14:textId="47E378DA" w:rsidR="009621DE" w:rsidRDefault="00254178">
      <w:r w:rsidRPr="00254178">
        <w:lastRenderedPageBreak/>
        <w:drawing>
          <wp:inline distT="0" distB="0" distL="0" distR="0" wp14:anchorId="7CA0250C" wp14:editId="7BDB106A">
            <wp:extent cx="5731510" cy="317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0705" w14:textId="15D85FF5" w:rsidR="009621DE" w:rsidRDefault="00254178" w:rsidP="00254178">
      <w:pPr>
        <w:jc w:val="center"/>
      </w:pPr>
      <w:r>
        <w:t>Figure 1</w:t>
      </w:r>
      <w:r w:rsidR="00FE2AF4">
        <w:t>: Covid-19 PMR by State</w:t>
      </w:r>
    </w:p>
    <w:p w14:paraId="3533DAFD" w14:textId="77F3C1F5" w:rsidR="00254178" w:rsidRDefault="00254178">
      <w:r w:rsidRPr="00254178">
        <w:drawing>
          <wp:inline distT="0" distB="0" distL="0" distR="0" wp14:anchorId="2BE3967D" wp14:editId="72F68FB3">
            <wp:extent cx="5731510" cy="348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EA0" w14:textId="1074ED2F" w:rsidR="00254178" w:rsidRDefault="00254178" w:rsidP="00254178">
      <w:pPr>
        <w:jc w:val="center"/>
      </w:pPr>
      <w:r>
        <w:t>Figure 2</w:t>
      </w:r>
      <w:r w:rsidR="00FE2AF4">
        <w:t>: Population Density by State</w:t>
      </w:r>
    </w:p>
    <w:p w14:paraId="473D20C1" w14:textId="682EDE83" w:rsidR="00254178" w:rsidRDefault="00254178" w:rsidP="00254178">
      <w:pPr>
        <w:spacing w:line="240" w:lineRule="auto"/>
      </w:pPr>
      <w:r>
        <w:t xml:space="preserve">According to Table </w:t>
      </w:r>
      <w:r w:rsidR="00FE2AF4">
        <w:t>1, New Jersey has</w:t>
      </w:r>
      <w:r w:rsidR="00CB5EE0">
        <w:t xml:space="preserve"> a</w:t>
      </w:r>
      <w:r w:rsidR="00FE2AF4">
        <w:t xml:space="preserve"> much higher population density than New York but almost </w:t>
      </w:r>
      <w:r w:rsidR="00CB5EE0">
        <w:t xml:space="preserve">the </w:t>
      </w:r>
      <w:r w:rsidR="00FE2AF4">
        <w:t xml:space="preserve">same proportionate mortality ratio as New York. One reason may be that </w:t>
      </w:r>
      <w:r w:rsidR="000638AB">
        <w:t xml:space="preserve">medical resources </w:t>
      </w:r>
      <w:r w:rsidR="00CB5EE0">
        <w:t xml:space="preserve">are </w:t>
      </w:r>
      <w:r w:rsidR="000638AB">
        <w:t xml:space="preserve">better in New Jersey. </w:t>
      </w:r>
      <w:r w:rsidR="00CB5EE0">
        <w:t>Fewer</w:t>
      </w:r>
      <w:r w:rsidR="000638AB">
        <w:t xml:space="preserve"> people died from Covid-19. </w:t>
      </w:r>
      <w:r>
        <w:t xml:space="preserve">California also has a large number of deaths due to Covid-19, but California has a very low PMR comparing to New </w:t>
      </w:r>
      <w:r>
        <w:lastRenderedPageBreak/>
        <w:t>York</w:t>
      </w:r>
      <w:r w:rsidR="00DD6C25">
        <w:t xml:space="preserve"> and New Jersey</w:t>
      </w:r>
      <w:r>
        <w:t xml:space="preserve">. This may be because </w:t>
      </w:r>
      <w:r w:rsidR="002C5A1B">
        <w:t>California has a large population and</w:t>
      </w:r>
      <w:r>
        <w:t xml:space="preserve"> the state government did a better job </w:t>
      </w:r>
      <w:r w:rsidR="00CB5EE0">
        <w:t>of</w:t>
      </w:r>
      <w:r>
        <w:t xml:space="preserve"> stopping the spread of Covid-19.</w:t>
      </w:r>
    </w:p>
    <w:p w14:paraId="0808DF6F" w14:textId="77777777" w:rsidR="00CB5EE0" w:rsidRDefault="00CB5EE0" w:rsidP="00254178">
      <w:pPr>
        <w:spacing w:line="240" w:lineRule="auto"/>
      </w:pPr>
    </w:p>
    <w:tbl>
      <w:tblPr>
        <w:tblStyle w:val="TableGrid"/>
        <w:tblW w:w="91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2"/>
        <w:gridCol w:w="1234"/>
        <w:gridCol w:w="1234"/>
        <w:gridCol w:w="1530"/>
        <w:gridCol w:w="1818"/>
        <w:gridCol w:w="1857"/>
      </w:tblGrid>
      <w:tr w:rsidR="002C5A1B" w14:paraId="4DE6DEBE" w14:textId="77777777" w:rsidTr="000638AB">
        <w:trPr>
          <w:trHeight w:val="788"/>
        </w:trPr>
        <w:tc>
          <w:tcPr>
            <w:tcW w:w="1492" w:type="dxa"/>
            <w:vAlign w:val="center"/>
          </w:tcPr>
          <w:p w14:paraId="0962AB11" w14:textId="34BC44AB" w:rsidR="002C5A1B" w:rsidRDefault="002C5A1B">
            <w:r>
              <w:t>State</w:t>
            </w:r>
          </w:p>
        </w:tc>
        <w:tc>
          <w:tcPr>
            <w:tcW w:w="1234" w:type="dxa"/>
            <w:vAlign w:val="center"/>
          </w:tcPr>
          <w:p w14:paraId="29495D9B" w14:textId="0351D8B9" w:rsidR="002C5A1B" w:rsidRDefault="002C5A1B">
            <w:r>
              <w:t>Covid-19 Deaths</w:t>
            </w:r>
          </w:p>
        </w:tc>
        <w:tc>
          <w:tcPr>
            <w:tcW w:w="1234" w:type="dxa"/>
            <w:vAlign w:val="center"/>
          </w:tcPr>
          <w:p w14:paraId="7E98C026" w14:textId="2D743675" w:rsidR="002C5A1B" w:rsidRDefault="002C5A1B">
            <w:r>
              <w:t>Total Deaths</w:t>
            </w:r>
          </w:p>
        </w:tc>
        <w:tc>
          <w:tcPr>
            <w:tcW w:w="1530" w:type="dxa"/>
            <w:vAlign w:val="center"/>
          </w:tcPr>
          <w:p w14:paraId="45105E87" w14:textId="7C94B9C0" w:rsidR="002C5A1B" w:rsidRDefault="002C5A1B">
            <w:r>
              <w:t>P</w:t>
            </w:r>
            <w:r w:rsidRPr="00DD6C25">
              <w:t xml:space="preserve">roportionate </w:t>
            </w:r>
            <w:r>
              <w:t>M</w:t>
            </w:r>
            <w:r w:rsidRPr="00DD6C25">
              <w:t>ortality</w:t>
            </w:r>
            <w:r>
              <w:t xml:space="preserve"> R</w:t>
            </w:r>
            <w:r w:rsidRPr="00DD6C25">
              <w:t>atio (PMR)</w:t>
            </w:r>
          </w:p>
        </w:tc>
        <w:tc>
          <w:tcPr>
            <w:tcW w:w="1818" w:type="dxa"/>
            <w:vAlign w:val="center"/>
          </w:tcPr>
          <w:p w14:paraId="0F48B5E7" w14:textId="36000E45" w:rsidR="002C5A1B" w:rsidRPr="00DD6C25" w:rsidRDefault="002C5A1B">
            <w:r w:rsidRPr="002C5A1B">
              <w:t>Population</w:t>
            </w:r>
          </w:p>
        </w:tc>
        <w:tc>
          <w:tcPr>
            <w:tcW w:w="1857" w:type="dxa"/>
            <w:vAlign w:val="center"/>
          </w:tcPr>
          <w:p w14:paraId="20072A1A" w14:textId="729D1558" w:rsidR="002C5A1B" w:rsidRDefault="002C5A1B">
            <w:r w:rsidRPr="00DD6C25">
              <w:t>Population</w:t>
            </w:r>
            <w:r>
              <w:t xml:space="preserve"> </w:t>
            </w:r>
            <w:r w:rsidRPr="00DD6C25">
              <w:t>Density</w:t>
            </w:r>
            <w:r>
              <w:t xml:space="preserve"> (people per square miles)</w:t>
            </w:r>
          </w:p>
        </w:tc>
      </w:tr>
      <w:tr w:rsidR="002C5A1B" w14:paraId="2AFC712C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2CFBFAD0" w14:textId="5DA1FAA7" w:rsidR="002C5A1B" w:rsidRDefault="002C5A1B">
            <w:r>
              <w:t>New York</w:t>
            </w:r>
          </w:p>
        </w:tc>
        <w:tc>
          <w:tcPr>
            <w:tcW w:w="1234" w:type="dxa"/>
            <w:vAlign w:val="center"/>
          </w:tcPr>
          <w:p w14:paraId="59D1C498" w14:textId="0484B3C9" w:rsidR="002C5A1B" w:rsidRDefault="002C5A1B">
            <w:r>
              <w:t>32428</w:t>
            </w:r>
          </w:p>
        </w:tc>
        <w:tc>
          <w:tcPr>
            <w:tcW w:w="1234" w:type="dxa"/>
            <w:vAlign w:val="center"/>
          </w:tcPr>
          <w:p w14:paraId="5F6FDC8D" w14:textId="7EDCC70D" w:rsidR="002C5A1B" w:rsidRDefault="002C5A1B">
            <w:r>
              <w:t>144301</w:t>
            </w:r>
          </w:p>
        </w:tc>
        <w:tc>
          <w:tcPr>
            <w:tcW w:w="1530" w:type="dxa"/>
            <w:vAlign w:val="center"/>
          </w:tcPr>
          <w:p w14:paraId="616CE530" w14:textId="377C93F6" w:rsidR="002C5A1B" w:rsidRDefault="002C5A1B">
            <w:r>
              <w:t>0.225</w:t>
            </w:r>
          </w:p>
        </w:tc>
        <w:tc>
          <w:tcPr>
            <w:tcW w:w="1818" w:type="dxa"/>
            <w:vAlign w:val="center"/>
          </w:tcPr>
          <w:p w14:paraId="38269417" w14:textId="25A368AA" w:rsidR="002C5A1B" w:rsidRDefault="002C5A1B">
            <w:r w:rsidRPr="002C5A1B">
              <w:t>19453561</w:t>
            </w:r>
          </w:p>
        </w:tc>
        <w:tc>
          <w:tcPr>
            <w:tcW w:w="1857" w:type="dxa"/>
            <w:vAlign w:val="center"/>
          </w:tcPr>
          <w:p w14:paraId="29A145B8" w14:textId="737705CE" w:rsidR="002C5A1B" w:rsidRDefault="002C5A1B">
            <w:r>
              <w:t>392.399</w:t>
            </w:r>
          </w:p>
        </w:tc>
      </w:tr>
      <w:tr w:rsidR="002C5A1B" w14:paraId="79FB249D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318E69D8" w14:textId="537FF875" w:rsidR="002C5A1B" w:rsidRDefault="002C5A1B">
            <w:r>
              <w:t>Texas</w:t>
            </w:r>
          </w:p>
        </w:tc>
        <w:tc>
          <w:tcPr>
            <w:tcW w:w="1234" w:type="dxa"/>
            <w:vAlign w:val="center"/>
          </w:tcPr>
          <w:p w14:paraId="3F7F5A89" w14:textId="5FC2D3B1" w:rsidR="002C5A1B" w:rsidRDefault="002C5A1B">
            <w:r>
              <w:t>16560</w:t>
            </w:r>
          </w:p>
        </w:tc>
        <w:tc>
          <w:tcPr>
            <w:tcW w:w="1234" w:type="dxa"/>
            <w:vAlign w:val="center"/>
          </w:tcPr>
          <w:p w14:paraId="13C11629" w14:textId="23D61CD8" w:rsidR="002C5A1B" w:rsidRDefault="002C5A1B">
            <w:r>
              <w:t>160010</w:t>
            </w:r>
          </w:p>
        </w:tc>
        <w:tc>
          <w:tcPr>
            <w:tcW w:w="1530" w:type="dxa"/>
            <w:vAlign w:val="center"/>
          </w:tcPr>
          <w:p w14:paraId="717BD4F2" w14:textId="19D88FAD" w:rsidR="002C5A1B" w:rsidRDefault="002C5A1B">
            <w:r>
              <w:t>0.104</w:t>
            </w:r>
          </w:p>
        </w:tc>
        <w:tc>
          <w:tcPr>
            <w:tcW w:w="1818" w:type="dxa"/>
            <w:vAlign w:val="center"/>
          </w:tcPr>
          <w:p w14:paraId="590F9D40" w14:textId="128F2625" w:rsidR="002C5A1B" w:rsidRDefault="002C5A1B">
            <w:r w:rsidRPr="002C5A1B">
              <w:t>28995881</w:t>
            </w:r>
          </w:p>
        </w:tc>
        <w:tc>
          <w:tcPr>
            <w:tcW w:w="1857" w:type="dxa"/>
            <w:vAlign w:val="center"/>
          </w:tcPr>
          <w:p w14:paraId="36A52EA4" w14:textId="3B0C11B2" w:rsidR="002C5A1B" w:rsidRDefault="002C5A1B">
            <w:r>
              <w:t>108.461</w:t>
            </w:r>
          </w:p>
        </w:tc>
      </w:tr>
      <w:tr w:rsidR="002C5A1B" w14:paraId="67D1F2AF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32B88F7A" w14:textId="132FC181" w:rsidR="002C5A1B" w:rsidRDefault="002C5A1B">
            <w:r>
              <w:t>California</w:t>
            </w:r>
          </w:p>
        </w:tc>
        <w:tc>
          <w:tcPr>
            <w:tcW w:w="1234" w:type="dxa"/>
            <w:vAlign w:val="center"/>
          </w:tcPr>
          <w:p w14:paraId="6D64F949" w14:textId="34FBED59" w:rsidR="002C5A1B" w:rsidRDefault="002C5A1B">
            <w:r>
              <w:t>15534</w:t>
            </w:r>
          </w:p>
        </w:tc>
        <w:tc>
          <w:tcPr>
            <w:tcW w:w="1234" w:type="dxa"/>
            <w:vAlign w:val="center"/>
          </w:tcPr>
          <w:p w14:paraId="55BC47AD" w14:textId="04ADB3F8" w:rsidR="002C5A1B" w:rsidRDefault="002C5A1B">
            <w:r>
              <w:t>202764</w:t>
            </w:r>
          </w:p>
        </w:tc>
        <w:tc>
          <w:tcPr>
            <w:tcW w:w="1530" w:type="dxa"/>
            <w:vAlign w:val="center"/>
          </w:tcPr>
          <w:p w14:paraId="33168FE4" w14:textId="3E64D3B7" w:rsidR="002C5A1B" w:rsidRDefault="002C5A1B">
            <w:r>
              <w:t>0.077</w:t>
            </w:r>
          </w:p>
        </w:tc>
        <w:tc>
          <w:tcPr>
            <w:tcW w:w="1818" w:type="dxa"/>
            <w:vAlign w:val="center"/>
          </w:tcPr>
          <w:p w14:paraId="5D3CE0A1" w14:textId="40C29406" w:rsidR="002C5A1B" w:rsidRDefault="002C5A1B">
            <w:r w:rsidRPr="002C5A1B">
              <w:t>39512223</w:t>
            </w:r>
          </w:p>
        </w:tc>
        <w:tc>
          <w:tcPr>
            <w:tcW w:w="1857" w:type="dxa"/>
            <w:vAlign w:val="center"/>
          </w:tcPr>
          <w:p w14:paraId="039AE1B8" w14:textId="471073F2" w:rsidR="002C5A1B" w:rsidRDefault="002C5A1B">
            <w:r>
              <w:t>248.985</w:t>
            </w:r>
          </w:p>
        </w:tc>
      </w:tr>
      <w:tr w:rsidR="002C5A1B" w14:paraId="4AEFA92B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7C580F2B" w14:textId="42AA7251" w:rsidR="002C5A1B" w:rsidRDefault="002C5A1B">
            <w:r>
              <w:t>Florida</w:t>
            </w:r>
          </w:p>
        </w:tc>
        <w:tc>
          <w:tcPr>
            <w:tcW w:w="1234" w:type="dxa"/>
            <w:vAlign w:val="center"/>
          </w:tcPr>
          <w:p w14:paraId="594ADE87" w14:textId="18C1E0AE" w:rsidR="002C5A1B" w:rsidRDefault="002C5A1B">
            <w:r>
              <w:t>14828</w:t>
            </w:r>
          </w:p>
        </w:tc>
        <w:tc>
          <w:tcPr>
            <w:tcW w:w="1234" w:type="dxa"/>
            <w:vAlign w:val="center"/>
          </w:tcPr>
          <w:p w14:paraId="2847CF44" w14:textId="7DF49446" w:rsidR="002C5A1B" w:rsidRDefault="002C5A1B">
            <w:r>
              <w:t>162904</w:t>
            </w:r>
          </w:p>
        </w:tc>
        <w:tc>
          <w:tcPr>
            <w:tcW w:w="1530" w:type="dxa"/>
            <w:vAlign w:val="center"/>
          </w:tcPr>
          <w:p w14:paraId="65E71E98" w14:textId="70D0298D" w:rsidR="002C5A1B" w:rsidRDefault="002C5A1B">
            <w:r>
              <w:t>0.091</w:t>
            </w:r>
          </w:p>
        </w:tc>
        <w:tc>
          <w:tcPr>
            <w:tcW w:w="1818" w:type="dxa"/>
            <w:vAlign w:val="center"/>
          </w:tcPr>
          <w:p w14:paraId="3F64E56C" w14:textId="675F90EC" w:rsidR="002C5A1B" w:rsidRDefault="002C5A1B">
            <w:r w:rsidRPr="002C5A1B">
              <w:t>21477737</w:t>
            </w:r>
          </w:p>
        </w:tc>
        <w:tc>
          <w:tcPr>
            <w:tcW w:w="1857" w:type="dxa"/>
            <w:vAlign w:val="center"/>
          </w:tcPr>
          <w:p w14:paraId="6E8DA494" w14:textId="038278E7" w:rsidR="002C5A1B" w:rsidRDefault="002C5A1B">
            <w:r>
              <w:t>366.765</w:t>
            </w:r>
          </w:p>
        </w:tc>
      </w:tr>
      <w:tr w:rsidR="002C5A1B" w14:paraId="0CDA0658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6739A392" w14:textId="220786FE" w:rsidR="002C5A1B" w:rsidRDefault="002C5A1B">
            <w:r>
              <w:t>New Jersey</w:t>
            </w:r>
          </w:p>
        </w:tc>
        <w:tc>
          <w:tcPr>
            <w:tcW w:w="1234" w:type="dxa"/>
            <w:vAlign w:val="center"/>
          </w:tcPr>
          <w:p w14:paraId="294506C9" w14:textId="098BEAB7" w:rsidR="002C5A1B" w:rsidRDefault="002C5A1B">
            <w:r>
              <w:t>14362</w:t>
            </w:r>
          </w:p>
        </w:tc>
        <w:tc>
          <w:tcPr>
            <w:tcW w:w="1234" w:type="dxa"/>
            <w:vAlign w:val="center"/>
          </w:tcPr>
          <w:p w14:paraId="58221254" w14:textId="429CBCB4" w:rsidR="002C5A1B" w:rsidRDefault="002C5A1B">
            <w:r>
              <w:t>66941</w:t>
            </w:r>
          </w:p>
        </w:tc>
        <w:tc>
          <w:tcPr>
            <w:tcW w:w="1530" w:type="dxa"/>
            <w:vAlign w:val="center"/>
          </w:tcPr>
          <w:p w14:paraId="2E25FB08" w14:textId="0FF1AC63" w:rsidR="002C5A1B" w:rsidRDefault="002C5A1B">
            <w:r>
              <w:t>0.215</w:t>
            </w:r>
          </w:p>
        </w:tc>
        <w:tc>
          <w:tcPr>
            <w:tcW w:w="1818" w:type="dxa"/>
            <w:vAlign w:val="center"/>
          </w:tcPr>
          <w:p w14:paraId="632671F8" w14:textId="528BE5CF" w:rsidR="002C5A1B" w:rsidRDefault="002C5A1B">
            <w:r w:rsidRPr="002C5A1B">
              <w:t>8882190</w:t>
            </w:r>
          </w:p>
        </w:tc>
        <w:tc>
          <w:tcPr>
            <w:tcW w:w="1857" w:type="dxa"/>
            <w:vAlign w:val="center"/>
          </w:tcPr>
          <w:p w14:paraId="021C2592" w14:textId="1CC24038" w:rsidR="002C5A1B" w:rsidRDefault="002C5A1B">
            <w:r>
              <w:t>1133.511</w:t>
            </w:r>
          </w:p>
        </w:tc>
      </w:tr>
      <w:tr w:rsidR="002C5A1B" w14:paraId="02ABFE2C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23320935" w14:textId="741F72CA" w:rsidR="002C5A1B" w:rsidRDefault="002C5A1B">
            <w:r>
              <w:t>Pennsylvania</w:t>
            </w:r>
          </w:p>
        </w:tc>
        <w:tc>
          <w:tcPr>
            <w:tcW w:w="1234" w:type="dxa"/>
            <w:vAlign w:val="center"/>
          </w:tcPr>
          <w:p w14:paraId="5197F94E" w14:textId="62E865AE" w:rsidR="002C5A1B" w:rsidRDefault="002C5A1B">
            <w:r>
              <w:t>8402</w:t>
            </w:r>
          </w:p>
        </w:tc>
        <w:tc>
          <w:tcPr>
            <w:tcW w:w="1234" w:type="dxa"/>
            <w:vAlign w:val="center"/>
          </w:tcPr>
          <w:p w14:paraId="4E4405BB" w14:textId="2F7956C3" w:rsidR="002C5A1B" w:rsidRDefault="002C5A1B">
            <w:r>
              <w:t>98410</w:t>
            </w:r>
          </w:p>
        </w:tc>
        <w:tc>
          <w:tcPr>
            <w:tcW w:w="1530" w:type="dxa"/>
            <w:vAlign w:val="center"/>
          </w:tcPr>
          <w:p w14:paraId="229CB7BE" w14:textId="6071A47B" w:rsidR="002C5A1B" w:rsidRDefault="002C5A1B">
            <w:r>
              <w:t>0.085</w:t>
            </w:r>
          </w:p>
        </w:tc>
        <w:tc>
          <w:tcPr>
            <w:tcW w:w="1818" w:type="dxa"/>
            <w:vAlign w:val="center"/>
          </w:tcPr>
          <w:p w14:paraId="7371E698" w14:textId="6769FF87" w:rsidR="002C5A1B" w:rsidRDefault="002C5A1B">
            <w:r w:rsidRPr="002C5A1B">
              <w:t>12801989</w:t>
            </w:r>
          </w:p>
        </w:tc>
        <w:tc>
          <w:tcPr>
            <w:tcW w:w="1857" w:type="dxa"/>
            <w:vAlign w:val="center"/>
          </w:tcPr>
          <w:p w14:paraId="7141C192" w14:textId="54EF17D3" w:rsidR="002C5A1B" w:rsidRDefault="002C5A1B">
            <w:r>
              <w:t>282.399</w:t>
            </w:r>
          </w:p>
        </w:tc>
      </w:tr>
    </w:tbl>
    <w:p w14:paraId="20360814" w14:textId="292F54C5" w:rsidR="00D76CFC" w:rsidRDefault="00FE2AF4" w:rsidP="00D76CFC">
      <w:pPr>
        <w:jc w:val="center"/>
      </w:pPr>
      <w:r>
        <w:t>Table 1: Top 5 Covid-19 Deaths State</w:t>
      </w:r>
    </w:p>
    <w:p w14:paraId="17D3E3A2" w14:textId="77777777" w:rsidR="00D76CFC" w:rsidRDefault="00D76CFC" w:rsidP="00D76CFC">
      <w:pPr>
        <w:jc w:val="center"/>
      </w:pPr>
    </w:p>
    <w:p w14:paraId="088AB30D" w14:textId="691B319C" w:rsidR="00D76CFC" w:rsidRDefault="00D76CFC">
      <w:r>
        <w:t>According to Figure 3, New York, New Jersey, Massachusetts, and Connecticut have a very high 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>ate</w:t>
      </w:r>
      <w:r>
        <w:t>. This may be caused by either lack of medical resources or unaffordable medical expenses.  California, Florida, and Texas have a large number of cases but the CFR is very low. The reason may be that those areas provide affordable expenses and sufficient medical resources.</w:t>
      </w:r>
    </w:p>
    <w:p w14:paraId="6B1DD1FA" w14:textId="59AEC08E" w:rsidR="00B93AB0" w:rsidRDefault="00D76CFC">
      <w:r w:rsidRPr="00D76CFC">
        <w:drawing>
          <wp:inline distT="0" distB="0" distL="0" distR="0" wp14:anchorId="130C514B" wp14:editId="2238AE90">
            <wp:extent cx="5694809" cy="34764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383" cy="34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F582" w14:textId="73E06BEF" w:rsidR="00D76CFC" w:rsidRDefault="00D76CFC" w:rsidP="00D76CFC">
      <w:pPr>
        <w:jc w:val="center"/>
      </w:pPr>
      <w:r>
        <w:lastRenderedPageBreak/>
        <w:t>Figure 3:</w:t>
      </w:r>
      <w:r w:rsidRPr="00D76CFC">
        <w:t xml:space="preserve"> </w:t>
      </w:r>
      <w:r w:rsidRPr="00D76CFC">
        <w:t xml:space="preserve">Total </w:t>
      </w:r>
      <w:r>
        <w:t>D</w:t>
      </w:r>
      <w:r w:rsidRPr="00D76CFC">
        <w:t xml:space="preserve">eaths vs </w:t>
      </w:r>
      <w:r>
        <w:t>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 xml:space="preserve">ate with </w:t>
      </w:r>
      <w:r>
        <w:t>C</w:t>
      </w:r>
      <w:r w:rsidRPr="00D76CFC">
        <w:t xml:space="preserve">ases by </w:t>
      </w:r>
      <w:r>
        <w:t>S</w:t>
      </w:r>
      <w:r w:rsidRPr="00D76CFC">
        <w:t>tate</w:t>
      </w:r>
    </w:p>
    <w:p w14:paraId="03CC2E13" w14:textId="5A4ACD59" w:rsidR="00B93AB0" w:rsidRDefault="00B93AB0">
      <w:r w:rsidRPr="00B93AB0">
        <w:t xml:space="preserve">According to Figure </w:t>
      </w:r>
      <w:r w:rsidR="00D76CFC">
        <w:t>4</w:t>
      </w:r>
      <w:r w:rsidRPr="00B93AB0">
        <w:t>, New York, California, Florida, and Texas show that more males died from Covid-19 than females. Other states had close numbers between males and females. This may be because males are more likely to have social communications with others, and they have a larger chance to contact with infect</w:t>
      </w:r>
      <w:r w:rsidR="00CB5EE0">
        <w:t>ed</w:t>
      </w:r>
      <w:r w:rsidRPr="00B93AB0">
        <w:t xml:space="preserve"> people.</w:t>
      </w:r>
    </w:p>
    <w:p w14:paraId="471D73F3" w14:textId="4FF60246" w:rsidR="00B93AB0" w:rsidRDefault="00B93AB0"/>
    <w:p w14:paraId="2BC21ED5" w14:textId="71B18A11" w:rsidR="00B93AB0" w:rsidRDefault="00B93AB0">
      <w:r w:rsidRPr="00B93AB0">
        <w:drawing>
          <wp:inline distT="0" distB="0" distL="0" distR="0" wp14:anchorId="2F404D6B" wp14:editId="3B345E34">
            <wp:extent cx="5417389" cy="3544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857" cy="35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38E" w14:textId="7DC9F86E" w:rsidR="00B93AB0" w:rsidRDefault="00B93AB0" w:rsidP="00B93AB0">
      <w:pPr>
        <w:jc w:val="center"/>
      </w:pPr>
      <w:r>
        <w:t xml:space="preserve">Figure </w:t>
      </w:r>
      <w:r w:rsidR="00D76CFC">
        <w:t>4</w:t>
      </w:r>
      <w:r>
        <w:t xml:space="preserve">: </w:t>
      </w:r>
      <w:r w:rsidRPr="00B93AB0">
        <w:t>State vs COVID-19 Deaths by Sex</w:t>
      </w:r>
    </w:p>
    <w:p w14:paraId="46DAF841" w14:textId="48229B5C" w:rsidR="00B93AB0" w:rsidRDefault="00B93AB0">
      <w:r w:rsidRPr="00B93AB0">
        <w:t xml:space="preserve">According to Figure </w:t>
      </w:r>
      <w:r w:rsidR="00D76CFC">
        <w:t>5</w:t>
      </w:r>
      <w:r w:rsidRPr="00B93AB0">
        <w:t xml:space="preserve">, the number of deaths increases as age increases. Older people are more likely to die due to Covid-19. Sex does not affect the number of Covid-19 </w:t>
      </w:r>
      <w:r>
        <w:t xml:space="preserve">deaths </w:t>
      </w:r>
      <w:r w:rsidRPr="00B93AB0">
        <w:t>in this plot.</w:t>
      </w:r>
    </w:p>
    <w:p w14:paraId="7C7020B6" w14:textId="77777777" w:rsidR="00B93AB0" w:rsidRDefault="00B93AB0"/>
    <w:p w14:paraId="22540933" w14:textId="54E82E4D" w:rsidR="00B93AB0" w:rsidRDefault="00B93AB0">
      <w:r w:rsidRPr="00B93AB0">
        <w:lastRenderedPageBreak/>
        <w:drawing>
          <wp:inline distT="0" distB="0" distL="0" distR="0" wp14:anchorId="6A45262C" wp14:editId="17D1A124">
            <wp:extent cx="5731510" cy="3523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49A" w14:textId="19B89813" w:rsidR="00B93AB0" w:rsidRDefault="00B93AB0" w:rsidP="00B93AB0">
      <w:pPr>
        <w:jc w:val="center"/>
      </w:pPr>
      <w:r>
        <w:t xml:space="preserve">Figure </w:t>
      </w:r>
      <w:r w:rsidR="00D76CFC">
        <w:t>5</w:t>
      </w:r>
      <w:r>
        <w:t xml:space="preserve">: </w:t>
      </w:r>
      <w:r w:rsidRPr="00B93AB0">
        <w:t xml:space="preserve">Age group vs </w:t>
      </w:r>
      <w:r>
        <w:t>Covid-19 Deaths</w:t>
      </w:r>
      <w:r w:rsidRPr="00B93AB0">
        <w:t xml:space="preserve"> by Sex</w:t>
      </w:r>
    </w:p>
    <w:p w14:paraId="63CAC671" w14:textId="1E336F59" w:rsidR="00B93AB0" w:rsidRDefault="00B93AB0" w:rsidP="00B93AB0"/>
    <w:p w14:paraId="36435A30" w14:textId="60DB02B6" w:rsidR="00B93AB0" w:rsidRPr="00844934" w:rsidRDefault="00B93AB0" w:rsidP="00B93AB0">
      <w:pPr>
        <w:rPr>
          <w:b/>
          <w:bCs/>
        </w:rPr>
      </w:pPr>
      <w:r w:rsidRPr="00844934">
        <w:rPr>
          <w:b/>
          <w:bCs/>
        </w:rPr>
        <w:t>Conclusion:</w:t>
      </w:r>
    </w:p>
    <w:p w14:paraId="45BD13E6" w14:textId="3159DE56" w:rsidR="001D6BB6" w:rsidRDefault="00B93AB0" w:rsidP="00B93AB0">
      <w:r>
        <w:t xml:space="preserve">In conclusion, the number of deaths due to Covid-19 varies in different states, sex, and age groups. </w:t>
      </w:r>
    </w:p>
    <w:p w14:paraId="2AB030E4" w14:textId="5BE86D91" w:rsidR="00B93AB0" w:rsidRDefault="00B93AB0" w:rsidP="00B93AB0">
      <w:r>
        <w:t xml:space="preserve">The </w:t>
      </w:r>
      <w:r>
        <w:t>state</w:t>
      </w:r>
      <w:r w:rsidR="00CB5EE0">
        <w:t xml:space="preserve"> of</w:t>
      </w:r>
      <w:r>
        <w:t xml:space="preserve"> </w:t>
      </w:r>
      <w:r>
        <w:t>New York has the highest</w:t>
      </w:r>
      <w:r>
        <w:t xml:space="preserve"> Covid-19 deaths and</w:t>
      </w:r>
      <w:r>
        <w:t xml:space="preserve"> proportionate mortality </w:t>
      </w:r>
      <w:r>
        <w:t>among all states</w:t>
      </w:r>
      <w:r>
        <w:t xml:space="preserve">. </w:t>
      </w:r>
      <w:r>
        <w:t>Generally,</w:t>
      </w:r>
      <w:r>
        <w:t xml:space="preserve"> more people die from COVID-19 in </w:t>
      </w:r>
      <w:r w:rsidR="00B556F3">
        <w:t>states with high population density</w:t>
      </w:r>
      <w:r>
        <w:t xml:space="preserve">. </w:t>
      </w:r>
    </w:p>
    <w:p w14:paraId="006E487C" w14:textId="76A4FD7C" w:rsidR="001D6BB6" w:rsidRDefault="001D6BB6" w:rsidP="00B93AB0">
      <w:r>
        <w:t>New York, New Jersey, Massachusetts, and Connecticut have a very high 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>ate</w:t>
      </w:r>
      <w:r>
        <w:t>. California, Florida, and Texas have a large number of cases but very low</w:t>
      </w:r>
      <w:r>
        <w:t xml:space="preserve"> CFR</w:t>
      </w:r>
      <w:r>
        <w:t xml:space="preserve">. </w:t>
      </w:r>
    </w:p>
    <w:p w14:paraId="44506B60" w14:textId="1F514474" w:rsidR="00B93AB0" w:rsidRDefault="00B93AB0" w:rsidP="00B93AB0">
      <w:r>
        <w:t xml:space="preserve">Slightly more males died from COVID-19 than females. But the PMR does not vary between males and females. </w:t>
      </w:r>
    </w:p>
    <w:p w14:paraId="4D03DE74" w14:textId="5F05FBAD" w:rsidR="00B93AB0" w:rsidRDefault="00B93AB0" w:rsidP="00B93AB0">
      <w:r>
        <w:t>In addition, older people (greater than 65 years old) are more likely to die because of COVID-19.</w:t>
      </w:r>
    </w:p>
    <w:sectPr w:rsidR="00B93AB0" w:rsidSect="00BE188C">
      <w:headerReference w:type="default" r:id="rId14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2040D" w14:textId="77777777" w:rsidR="001A3E7F" w:rsidRDefault="001A3E7F" w:rsidP="009621DE">
      <w:pPr>
        <w:spacing w:after="0" w:line="240" w:lineRule="auto"/>
      </w:pPr>
      <w:r>
        <w:separator/>
      </w:r>
    </w:p>
  </w:endnote>
  <w:endnote w:type="continuationSeparator" w:id="0">
    <w:p w14:paraId="2648D48B" w14:textId="77777777" w:rsidR="001A3E7F" w:rsidRDefault="001A3E7F" w:rsidP="0096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8DF9" w14:textId="77777777" w:rsidR="001A3E7F" w:rsidRDefault="001A3E7F" w:rsidP="009621DE">
      <w:pPr>
        <w:spacing w:after="0" w:line="240" w:lineRule="auto"/>
      </w:pPr>
      <w:r>
        <w:separator/>
      </w:r>
    </w:p>
  </w:footnote>
  <w:footnote w:type="continuationSeparator" w:id="0">
    <w:p w14:paraId="15348897" w14:textId="77777777" w:rsidR="001A3E7F" w:rsidRDefault="001A3E7F" w:rsidP="0096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61599" w14:textId="569CD5C7" w:rsidR="009621DE" w:rsidRDefault="00CB5EE0" w:rsidP="009621DE">
    <w:pPr>
      <w:spacing w:line="240" w:lineRule="auto"/>
    </w:pPr>
    <w:r>
      <w:t>Changqing</w:t>
    </w:r>
    <w:r w:rsidR="009621DE">
      <w:t xml:space="preserve"> Su</w:t>
    </w:r>
  </w:p>
  <w:p w14:paraId="26B75085" w14:textId="77777777" w:rsidR="009621DE" w:rsidRDefault="009621DE" w:rsidP="009621DE">
    <w:pPr>
      <w:spacing w:line="240" w:lineRule="auto"/>
    </w:pPr>
    <w:r>
      <w:t>PM 566</w:t>
    </w:r>
  </w:p>
  <w:p w14:paraId="6198D229" w14:textId="77777777" w:rsidR="009621DE" w:rsidRDefault="009621DE" w:rsidP="009621DE">
    <w:pPr>
      <w:spacing w:line="240" w:lineRule="auto"/>
    </w:pPr>
    <w:r>
      <w:t>25 Nov. 2020</w:t>
    </w:r>
  </w:p>
  <w:p w14:paraId="0CD56029" w14:textId="77777777" w:rsidR="009621DE" w:rsidRDefault="00962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DD"/>
    <w:rsid w:val="000638AB"/>
    <w:rsid w:val="001A3E7F"/>
    <w:rsid w:val="001D6BB6"/>
    <w:rsid w:val="00206C4C"/>
    <w:rsid w:val="00254178"/>
    <w:rsid w:val="002C5A1B"/>
    <w:rsid w:val="00530CD8"/>
    <w:rsid w:val="005927DE"/>
    <w:rsid w:val="00844934"/>
    <w:rsid w:val="008606FF"/>
    <w:rsid w:val="008E3ADD"/>
    <w:rsid w:val="009621DE"/>
    <w:rsid w:val="00B556F3"/>
    <w:rsid w:val="00B93AB0"/>
    <w:rsid w:val="00BE188C"/>
    <w:rsid w:val="00CB5EE0"/>
    <w:rsid w:val="00D76CFC"/>
    <w:rsid w:val="00DD6C25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976"/>
  <w15:chartTrackingRefBased/>
  <w15:docId w15:val="{23F88842-221F-4BDB-877E-9A3418FA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DE"/>
  </w:style>
  <w:style w:type="paragraph" w:styleId="Footer">
    <w:name w:val="footer"/>
    <w:basedOn w:val="Normal"/>
    <w:link w:val="FooterChar"/>
    <w:uiPriority w:val="99"/>
    <w:unhideWhenUsed/>
    <w:rsid w:val="00962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DE"/>
  </w:style>
  <w:style w:type="character" w:styleId="Hyperlink">
    <w:name w:val="Hyperlink"/>
    <w:basedOn w:val="DefaultParagraphFont"/>
    <w:uiPriority w:val="99"/>
    <w:unhideWhenUsed/>
    <w:rsid w:val="00BE1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8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ensus.gov/programs-surveys/popest/datasets/2010-2019/national/totals/nst-est2019-alldata.csv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data.cdc.gov/api/views/9mfq-cb36/rows.csv?accessType=DOWNLOA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.cdc.gov/api/views/9bhg-hcku/rows.csv?accessType=DOWNLOAD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su</dc:creator>
  <cp:keywords/>
  <dc:description/>
  <cp:lastModifiedBy>cq su</cp:lastModifiedBy>
  <cp:revision>5</cp:revision>
  <cp:lastPrinted>2020-11-26T13:20:00Z</cp:lastPrinted>
  <dcterms:created xsi:type="dcterms:W3CDTF">2020-11-26T09:14:00Z</dcterms:created>
  <dcterms:modified xsi:type="dcterms:W3CDTF">2020-11-26T13:45:00Z</dcterms:modified>
</cp:coreProperties>
</file>