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C37CE" w14:textId="77777777" w:rsidR="00872F4D" w:rsidRDefault="00E45BF1">
      <w:pPr>
        <w:rPr>
          <w:lang w:val="en-US"/>
        </w:rPr>
      </w:pPr>
      <w:r>
        <w:rPr>
          <w:lang w:val="en-US"/>
        </w:rPr>
        <w:t>Bank Indonesia merupakan Bank sentral di Indoneisa yang mempunyai tujuan mencapai stabilitas nilai rupiah, memelihara stabilitas sistem pembayaran, dan turut menjaga stabilitas sistem keuangan  dalam rangka mendukung pertumbuhan ekonomi yang berkelanjutan.</w:t>
      </w:r>
    </w:p>
    <w:p w14:paraId="207586B8" w14:textId="77777777" w:rsidR="00E45BF1" w:rsidRDefault="00E45BF1">
      <w:pPr>
        <w:rPr>
          <w:lang w:val="en-US"/>
        </w:rPr>
      </w:pPr>
      <w:r>
        <w:rPr>
          <w:lang w:val="en-US"/>
        </w:rPr>
        <w:t>BI bertugas mengelola tiga bidang yaitu moneter, sistem pembayaran, dan stabilitas sistem keuangan. Ketiga bidang tugas tersebut perlu diintegrasi agar tujuan tunggal dapat dicapai secara efektif dan efisien.</w:t>
      </w:r>
    </w:p>
    <w:p w14:paraId="57BE131D" w14:textId="77777777" w:rsidR="00437692" w:rsidRPr="00437692" w:rsidRDefault="00437692" w:rsidP="00437692">
      <w:pPr>
        <w:ind w:left="0"/>
        <w:jc w:val="left"/>
        <w:rPr>
          <w:rFonts w:ascii="Times New Roman" w:eastAsia="Times New Roman" w:hAnsi="Times New Roman" w:cs="Times New Roman"/>
          <w:noProof w:val="0"/>
          <w:lang w:val="en-ID"/>
        </w:rPr>
      </w:pPr>
      <w:r w:rsidRPr="00437692">
        <w:rPr>
          <w:rFonts w:ascii="Karla" w:eastAsia="Times New Roman" w:hAnsi="Karla" w:cs="Times New Roman"/>
          <w:noProof w:val="0"/>
          <w:color w:val="444444"/>
          <w:sz w:val="21"/>
          <w:szCs w:val="21"/>
          <w:shd w:val="clear" w:color="auto" w:fill="FFFFFF"/>
          <w:lang w:val="en-ID"/>
        </w:rPr>
        <w:t>Dalam pelaksanaannya, Bank Indonesia memiliki kewenangan untuk melakukan kebijakan moneter melalui penetapan sasaran-sasaran moneter (seperti uang beredar atau suku bunga) dengan tujuan menjaga sasaran laju inflasi yang ditetapkan oleh Pemerintah. Bank Indonesia juga dapat melakukan cara-cara pengendalian moneter berdasarkan Prinsip Syariah. Jika dirangkum, maka tujuan kebijakan moneter diantaranya:</w:t>
      </w:r>
    </w:p>
    <w:p w14:paraId="31F02A4F" w14:textId="77777777" w:rsidR="009513E4" w:rsidRPr="009513E4" w:rsidRDefault="009513E4" w:rsidP="009513E4">
      <w:pPr>
        <w:spacing w:line="450" w:lineRule="atLeast"/>
        <w:ind w:left="0"/>
        <w:jc w:val="left"/>
        <w:textAlignment w:val="baseline"/>
        <w:outlineLvl w:val="2"/>
        <w:rPr>
          <w:rFonts w:ascii="Vesper Libre" w:eastAsia="Times New Roman" w:hAnsi="Vesper Libre" w:cs="Times New Roman"/>
          <w:noProof w:val="0"/>
          <w:color w:val="232323"/>
          <w:sz w:val="30"/>
          <w:szCs w:val="30"/>
          <w:lang w:val="en-ID"/>
        </w:rPr>
      </w:pPr>
      <w:r w:rsidRPr="009513E4">
        <w:rPr>
          <w:rFonts w:ascii="Vesper Libre" w:eastAsia="Times New Roman" w:hAnsi="Vesper Libre" w:cs="Times New Roman"/>
          <w:noProof w:val="0"/>
          <w:color w:val="232323"/>
          <w:sz w:val="30"/>
          <w:szCs w:val="30"/>
          <w:lang w:val="en-ID"/>
        </w:rPr>
        <w:t>1. Stabilitas Ekonomi</w:t>
      </w:r>
    </w:p>
    <w:p w14:paraId="6593EC51" w14:textId="77777777" w:rsidR="009513E4" w:rsidRPr="009513E4" w:rsidRDefault="009513E4" w:rsidP="009513E4">
      <w:pPr>
        <w:spacing w:after="300"/>
        <w:ind w:left="0"/>
        <w:jc w:val="left"/>
        <w:textAlignment w:val="baseline"/>
        <w:rPr>
          <w:rFonts w:ascii="Karla" w:eastAsia="Times New Roman" w:hAnsi="Karla" w:cs="Times New Roman"/>
          <w:noProof w:val="0"/>
          <w:color w:val="444444"/>
          <w:sz w:val="21"/>
          <w:szCs w:val="21"/>
          <w:lang w:val="en-ID"/>
        </w:rPr>
      </w:pPr>
      <w:r w:rsidRPr="009513E4">
        <w:rPr>
          <w:rFonts w:ascii="Karla" w:eastAsia="Times New Roman" w:hAnsi="Karla" w:cs="Times New Roman"/>
          <w:noProof w:val="0"/>
          <w:color w:val="444444"/>
          <w:sz w:val="21"/>
          <w:szCs w:val="21"/>
          <w:lang w:val="en-ID"/>
        </w:rPr>
        <w:t>Stabilitas ekonomi adalah suatu keadaan di mana pertumbuhan ekonomi berlangsung secara terkendali dan berkelanjutan. Artinya, pertumbuhan arus barang/jasa dan arus uang berjalan seimbang.</w:t>
      </w:r>
    </w:p>
    <w:p w14:paraId="76DDD489" w14:textId="77777777" w:rsidR="009513E4" w:rsidRPr="009513E4" w:rsidRDefault="009513E4" w:rsidP="009513E4">
      <w:pPr>
        <w:spacing w:line="450" w:lineRule="atLeast"/>
        <w:ind w:left="0"/>
        <w:jc w:val="left"/>
        <w:textAlignment w:val="baseline"/>
        <w:outlineLvl w:val="2"/>
        <w:rPr>
          <w:rFonts w:ascii="Vesper Libre" w:eastAsia="Times New Roman" w:hAnsi="Vesper Libre" w:cs="Times New Roman"/>
          <w:noProof w:val="0"/>
          <w:color w:val="232323"/>
          <w:sz w:val="30"/>
          <w:szCs w:val="30"/>
          <w:lang w:val="en-ID"/>
        </w:rPr>
      </w:pPr>
      <w:r w:rsidRPr="009513E4">
        <w:rPr>
          <w:rFonts w:ascii="Vesper Libre" w:eastAsia="Times New Roman" w:hAnsi="Vesper Libre" w:cs="Times New Roman"/>
          <w:noProof w:val="0"/>
          <w:color w:val="232323"/>
          <w:sz w:val="30"/>
          <w:szCs w:val="30"/>
          <w:lang w:val="en-ID"/>
        </w:rPr>
        <w:t>2. Kesempatan Kerja</w:t>
      </w:r>
    </w:p>
    <w:p w14:paraId="372F884D" w14:textId="77777777" w:rsidR="009513E4" w:rsidRPr="009513E4" w:rsidRDefault="009513E4" w:rsidP="009513E4">
      <w:pPr>
        <w:spacing w:after="300"/>
        <w:ind w:left="0"/>
        <w:jc w:val="left"/>
        <w:textAlignment w:val="baseline"/>
        <w:rPr>
          <w:rFonts w:ascii="Karla" w:eastAsia="Times New Roman" w:hAnsi="Karla" w:cs="Times New Roman"/>
          <w:noProof w:val="0"/>
          <w:color w:val="444444"/>
          <w:sz w:val="21"/>
          <w:szCs w:val="21"/>
          <w:lang w:val="en-ID"/>
        </w:rPr>
      </w:pPr>
      <w:r w:rsidRPr="009513E4">
        <w:rPr>
          <w:rFonts w:ascii="Karla" w:eastAsia="Times New Roman" w:hAnsi="Karla" w:cs="Times New Roman"/>
          <w:noProof w:val="0"/>
          <w:color w:val="444444"/>
          <w:sz w:val="21"/>
          <w:szCs w:val="21"/>
          <w:lang w:val="en-ID"/>
        </w:rPr>
        <w:t>Kesempatan kerja akan meningkat bila produksi meningkat. Peningkatan produksi biasanya diikuti dengan perbaikan nasib para karyawan ditinjau dari segi upah maupun keselamatan kerja. Perbaikan upah dan keselamatan kerja akan meningkatkan taraf hidup karyawan dan pada akhirnya kemakmuran dapat tercapai.</w:t>
      </w:r>
    </w:p>
    <w:p w14:paraId="358CC79E" w14:textId="77777777" w:rsidR="009513E4" w:rsidRPr="009513E4" w:rsidRDefault="009513E4" w:rsidP="009513E4">
      <w:pPr>
        <w:spacing w:line="450" w:lineRule="atLeast"/>
        <w:ind w:left="0"/>
        <w:jc w:val="left"/>
        <w:textAlignment w:val="baseline"/>
        <w:outlineLvl w:val="2"/>
        <w:rPr>
          <w:rFonts w:ascii="Vesper Libre" w:eastAsia="Times New Roman" w:hAnsi="Vesper Libre" w:cs="Times New Roman"/>
          <w:noProof w:val="0"/>
          <w:color w:val="232323"/>
          <w:sz w:val="30"/>
          <w:szCs w:val="30"/>
          <w:lang w:val="en-ID"/>
        </w:rPr>
      </w:pPr>
      <w:r w:rsidRPr="009513E4">
        <w:rPr>
          <w:rFonts w:ascii="Vesper Libre" w:eastAsia="Times New Roman" w:hAnsi="Vesper Libre" w:cs="Times New Roman"/>
          <w:noProof w:val="0"/>
          <w:color w:val="232323"/>
          <w:sz w:val="30"/>
          <w:szCs w:val="30"/>
          <w:lang w:val="en-ID"/>
        </w:rPr>
        <w:t>3. Kestabilan Harga</w:t>
      </w:r>
    </w:p>
    <w:p w14:paraId="74D2C379" w14:textId="77777777" w:rsidR="009513E4" w:rsidRPr="009513E4" w:rsidRDefault="009513E4" w:rsidP="009513E4">
      <w:pPr>
        <w:spacing w:after="300"/>
        <w:ind w:left="0"/>
        <w:jc w:val="left"/>
        <w:textAlignment w:val="baseline"/>
        <w:rPr>
          <w:rFonts w:ascii="Karla" w:eastAsia="Times New Roman" w:hAnsi="Karla" w:cs="Times New Roman"/>
          <w:noProof w:val="0"/>
          <w:color w:val="444444"/>
          <w:sz w:val="21"/>
          <w:szCs w:val="21"/>
          <w:lang w:val="en-ID"/>
        </w:rPr>
      </w:pPr>
      <w:r w:rsidRPr="009513E4">
        <w:rPr>
          <w:rFonts w:ascii="Karla" w:eastAsia="Times New Roman" w:hAnsi="Karla" w:cs="Times New Roman"/>
          <w:noProof w:val="0"/>
          <w:color w:val="444444"/>
          <w:sz w:val="21"/>
          <w:szCs w:val="21"/>
          <w:lang w:val="en-ID"/>
        </w:rPr>
        <w:t>Kestabilan harga ditandai dengan stabilitas harga barang dari waktu ke waktu. Harga yang stabil menyebabkan masyarakat percaya bahwa membeli barang pada tingkat harga sekarang sama dengan tingkat harga yang akan datang, atau daya beli uang dari waktu ke waktu adalah sama.</w:t>
      </w:r>
    </w:p>
    <w:p w14:paraId="54A1F94F" w14:textId="77777777" w:rsidR="009513E4" w:rsidRPr="009513E4" w:rsidRDefault="009513E4" w:rsidP="009513E4">
      <w:pPr>
        <w:spacing w:line="450" w:lineRule="atLeast"/>
        <w:ind w:left="0"/>
        <w:jc w:val="left"/>
        <w:textAlignment w:val="baseline"/>
        <w:outlineLvl w:val="2"/>
        <w:rPr>
          <w:rFonts w:ascii="Vesper Libre" w:eastAsia="Times New Roman" w:hAnsi="Vesper Libre" w:cs="Times New Roman"/>
          <w:noProof w:val="0"/>
          <w:color w:val="232323"/>
          <w:sz w:val="30"/>
          <w:szCs w:val="30"/>
          <w:lang w:val="en-ID"/>
        </w:rPr>
      </w:pPr>
      <w:r w:rsidRPr="009513E4">
        <w:rPr>
          <w:rFonts w:ascii="Vesper Libre" w:eastAsia="Times New Roman" w:hAnsi="Vesper Libre" w:cs="Times New Roman"/>
          <w:noProof w:val="0"/>
          <w:color w:val="232323"/>
          <w:sz w:val="30"/>
          <w:szCs w:val="30"/>
          <w:lang w:val="en-ID"/>
        </w:rPr>
        <w:t>4. Neraca Pembayaran Internasional</w:t>
      </w:r>
    </w:p>
    <w:p w14:paraId="64E62B61" w14:textId="77777777" w:rsidR="009513E4" w:rsidRPr="009513E4" w:rsidRDefault="009513E4" w:rsidP="009513E4">
      <w:pPr>
        <w:spacing w:after="300"/>
        <w:ind w:left="0"/>
        <w:jc w:val="left"/>
        <w:textAlignment w:val="baseline"/>
        <w:rPr>
          <w:rFonts w:ascii="Karla" w:eastAsia="Times New Roman" w:hAnsi="Karla" w:cs="Times New Roman"/>
          <w:noProof w:val="0"/>
          <w:color w:val="444444"/>
          <w:sz w:val="21"/>
          <w:szCs w:val="21"/>
          <w:lang w:val="en-ID"/>
        </w:rPr>
      </w:pPr>
      <w:r w:rsidRPr="009513E4">
        <w:rPr>
          <w:rFonts w:ascii="Karla" w:eastAsia="Times New Roman" w:hAnsi="Karla" w:cs="Times New Roman"/>
          <w:noProof w:val="0"/>
          <w:color w:val="444444"/>
          <w:sz w:val="21"/>
          <w:szCs w:val="21"/>
          <w:lang w:val="en-ID"/>
        </w:rPr>
        <w:t>Neraca pembayaran dapat dikatakan dalam keadaan seimbang apabila jumlah nilai barang yang diekspor sama dengan nilai barang yang diimpor. Untuk mendapatkan neraca pembayaran yang seimbang, pemerintah sering menjalankan kebijakan moneter. Contohnya adalah dengan cara melakukan devaluasi.</w:t>
      </w:r>
    </w:p>
    <w:p w14:paraId="6D1B26B7" w14:textId="77777777" w:rsidR="009513E4" w:rsidRPr="009513E4" w:rsidRDefault="009513E4" w:rsidP="009513E4">
      <w:pPr>
        <w:spacing w:line="450" w:lineRule="atLeast"/>
        <w:ind w:left="0"/>
        <w:jc w:val="left"/>
        <w:textAlignment w:val="baseline"/>
        <w:outlineLvl w:val="2"/>
        <w:rPr>
          <w:rFonts w:ascii="Vesper Libre" w:eastAsia="Times New Roman" w:hAnsi="Vesper Libre" w:cs="Times New Roman"/>
          <w:noProof w:val="0"/>
          <w:color w:val="232323"/>
          <w:sz w:val="30"/>
          <w:szCs w:val="30"/>
          <w:lang w:val="en-ID"/>
        </w:rPr>
      </w:pPr>
      <w:r w:rsidRPr="009513E4">
        <w:rPr>
          <w:rFonts w:ascii="Vesper Libre" w:eastAsia="Times New Roman" w:hAnsi="Vesper Libre" w:cs="Times New Roman"/>
          <w:noProof w:val="0"/>
          <w:color w:val="232323"/>
          <w:sz w:val="30"/>
          <w:szCs w:val="30"/>
          <w:lang w:val="en-ID"/>
        </w:rPr>
        <w:t>5. Menjaga stabilitas dan pertumbuhan ekonomi</w:t>
      </w:r>
    </w:p>
    <w:p w14:paraId="45A92BB2" w14:textId="4C164351" w:rsidR="009513E4" w:rsidRDefault="009513E4" w:rsidP="009513E4">
      <w:pPr>
        <w:spacing w:after="300"/>
        <w:ind w:left="0"/>
        <w:jc w:val="left"/>
        <w:textAlignment w:val="baseline"/>
        <w:rPr>
          <w:rFonts w:ascii="Karla" w:eastAsia="Times New Roman" w:hAnsi="Karla" w:cs="Times New Roman"/>
          <w:noProof w:val="0"/>
          <w:color w:val="444444"/>
          <w:sz w:val="21"/>
          <w:szCs w:val="21"/>
          <w:lang w:val="en-ID"/>
        </w:rPr>
      </w:pPr>
      <w:r w:rsidRPr="009513E4">
        <w:rPr>
          <w:rFonts w:ascii="Karla" w:eastAsia="Times New Roman" w:hAnsi="Karla" w:cs="Times New Roman"/>
          <w:noProof w:val="0"/>
          <w:color w:val="444444"/>
          <w:sz w:val="21"/>
          <w:szCs w:val="21"/>
          <w:lang w:val="en-ID"/>
        </w:rPr>
        <w:t>Menjaga stabilitas harga dari banyaknya jumlah uang yang beredar, Meningkatkan kesempatan kerja, Memperbaiki posisi neraca perdagangan dan neraca pembayaran, jika negara mendevaluasi mata uang rupiah ke mata uang asing.</w:t>
      </w:r>
    </w:p>
    <w:p w14:paraId="0D2146DB" w14:textId="50A7FD86" w:rsidR="00DB471B" w:rsidRDefault="00DB471B" w:rsidP="009513E4">
      <w:pPr>
        <w:spacing w:after="300"/>
        <w:ind w:left="0"/>
        <w:jc w:val="left"/>
        <w:textAlignment w:val="baseline"/>
        <w:rPr>
          <w:rFonts w:ascii="Karla" w:eastAsia="Times New Roman" w:hAnsi="Karla" w:cs="Times New Roman"/>
          <w:noProof w:val="0"/>
          <w:color w:val="444444"/>
          <w:sz w:val="21"/>
          <w:szCs w:val="21"/>
          <w:lang w:val="en-ID"/>
        </w:rPr>
      </w:pPr>
    </w:p>
    <w:p w14:paraId="57B5DFD6" w14:textId="297ADF2A" w:rsidR="00DB471B" w:rsidRPr="009513E4" w:rsidRDefault="00DB471B" w:rsidP="009513E4">
      <w:pPr>
        <w:spacing w:after="300"/>
        <w:ind w:left="0"/>
        <w:jc w:val="left"/>
        <w:textAlignment w:val="baseline"/>
        <w:rPr>
          <w:rFonts w:ascii="Karla" w:eastAsia="Times New Roman" w:hAnsi="Karla" w:cs="Times New Roman"/>
          <w:noProof w:val="0"/>
          <w:color w:val="444444"/>
          <w:sz w:val="21"/>
          <w:szCs w:val="21"/>
          <w:lang w:val="en-ID"/>
        </w:rPr>
      </w:pPr>
      <w:r w:rsidRPr="00DB471B">
        <w:rPr>
          <w:rFonts w:ascii="Karla" w:eastAsia="Times New Roman" w:hAnsi="Karla" w:cs="Times New Roman"/>
          <w:noProof w:val="0"/>
          <w:color w:val="444444"/>
          <w:sz w:val="21"/>
          <w:szCs w:val="21"/>
          <w:lang w:val="en-ID"/>
        </w:rPr>
        <w:t>https://ojk.go.id/id/kanal/perbankan/stabilitas-sistem-keuangan/Pages/Peran-Bank-Indonesia.aspx</w:t>
      </w:r>
      <w:bookmarkStart w:id="0" w:name="_GoBack"/>
      <w:bookmarkEnd w:id="0"/>
    </w:p>
    <w:p w14:paraId="55A9D2E4" w14:textId="77777777" w:rsidR="00DB471B" w:rsidRPr="00DB471B" w:rsidRDefault="00DB471B" w:rsidP="00DB471B">
      <w:pPr>
        <w:spacing w:after="150"/>
        <w:ind w:left="0"/>
        <w:jc w:val="left"/>
        <w:rPr>
          <w:rFonts w:ascii="Gotham" w:eastAsia="Times New Roman" w:hAnsi="Gotham" w:cs="Times New Roman"/>
          <w:noProof w:val="0"/>
          <w:color w:val="333333"/>
          <w:sz w:val="21"/>
          <w:szCs w:val="21"/>
          <w:lang w:val="en-ID"/>
        </w:rPr>
      </w:pPr>
      <w:r w:rsidRPr="00DB471B">
        <w:rPr>
          <w:rFonts w:ascii="Gotham" w:eastAsia="Times New Roman" w:hAnsi="Gotham" w:cs="Times New Roman"/>
          <w:noProof w:val="0"/>
          <w:color w:val="333333"/>
          <w:sz w:val="21"/>
          <w:szCs w:val="21"/>
          <w:lang w:val="en-ID"/>
        </w:rPr>
        <w:t>bagaimana peranan Bank Indonesia dalam memelihara stabilitas sistem keuangan? Sebagai bank sentral, Bank Indonesia memiliki lima peran utama dalam menjaga stabilitas sistem keuangan. Kelima peran utama yang mencakup kebijakan dan instrumen dalam menjaga stabilitas sistem keuangan itu adalah:</w:t>
      </w:r>
    </w:p>
    <w:p w14:paraId="6F0C570E" w14:textId="77777777" w:rsidR="00DB471B" w:rsidRPr="00DB471B" w:rsidRDefault="00DB471B" w:rsidP="00DB471B">
      <w:pPr>
        <w:spacing w:after="150"/>
        <w:ind w:left="0"/>
        <w:jc w:val="left"/>
        <w:rPr>
          <w:rFonts w:ascii="Gotham" w:eastAsia="Times New Roman" w:hAnsi="Gotham" w:cs="Times New Roman"/>
          <w:noProof w:val="0"/>
          <w:color w:val="333333"/>
          <w:sz w:val="21"/>
          <w:szCs w:val="21"/>
          <w:lang w:val="en-ID"/>
        </w:rPr>
      </w:pPr>
      <w:r w:rsidRPr="00DB471B">
        <w:rPr>
          <w:rFonts w:ascii="Gotham" w:eastAsia="Times New Roman" w:hAnsi="Gotham" w:cs="Times New Roman"/>
          <w:i/>
          <w:iCs/>
          <w:noProof w:val="0"/>
          <w:color w:val="333333"/>
          <w:sz w:val="21"/>
          <w:szCs w:val="21"/>
          <w:lang w:val="en-ID"/>
        </w:rPr>
        <w:t>Pertama</w:t>
      </w:r>
      <w:r w:rsidRPr="00DB471B">
        <w:rPr>
          <w:rFonts w:ascii="Gotham" w:eastAsia="Times New Roman" w:hAnsi="Gotham" w:cs="Times New Roman"/>
          <w:noProof w:val="0"/>
          <w:color w:val="333333"/>
          <w:sz w:val="21"/>
          <w:szCs w:val="21"/>
          <w:lang w:val="en-ID"/>
        </w:rPr>
        <w:t xml:space="preserve">, Bank Indonesia memiliki tugas untuk menjaga stabilitas moneter antara lain melalui instrumen suku bunga dalam operasi pasar terbuka. Bank Indonesia dituntut untuk mampu </w:t>
      </w:r>
      <w:r w:rsidRPr="00DB471B">
        <w:rPr>
          <w:rFonts w:ascii="Gotham" w:eastAsia="Times New Roman" w:hAnsi="Gotham" w:cs="Times New Roman"/>
          <w:noProof w:val="0"/>
          <w:color w:val="333333"/>
          <w:sz w:val="21"/>
          <w:szCs w:val="21"/>
          <w:lang w:val="en-ID"/>
        </w:rPr>
        <w:lastRenderedPageBreak/>
        <w:t>menetapkan kebijakan moneter secara tepat dan berimbang. Hal ini mengingat gangguan stabilitas moneter memiliki dampak langsung terhadap berbagai aspek ekonomi. Kebijakan moneter melalui penerapan suku bunga yang terlalu ketat, akan cenderung bersifat mematikan kegiatan ekonomi. Begitu pula sebaliknya. Oleh karena itu, untuk menciptakan stabilitas moneter, Bank Indonesia telah menerapkan suatu kebijakan yang disebut inflation targeting framework.</w:t>
      </w:r>
    </w:p>
    <w:p w14:paraId="4774B94F" w14:textId="77777777" w:rsidR="00DB471B" w:rsidRPr="00DB471B" w:rsidRDefault="00DB471B" w:rsidP="00DB471B">
      <w:pPr>
        <w:spacing w:after="150"/>
        <w:ind w:left="0"/>
        <w:jc w:val="left"/>
        <w:rPr>
          <w:rFonts w:ascii="Gotham" w:eastAsia="Times New Roman" w:hAnsi="Gotham" w:cs="Times New Roman"/>
          <w:noProof w:val="0"/>
          <w:color w:val="333333"/>
          <w:sz w:val="21"/>
          <w:szCs w:val="21"/>
          <w:lang w:val="en-ID"/>
        </w:rPr>
      </w:pPr>
      <w:r w:rsidRPr="00DB471B">
        <w:rPr>
          <w:rFonts w:ascii="Gotham" w:eastAsia="Times New Roman" w:hAnsi="Gotham" w:cs="Times New Roman"/>
          <w:i/>
          <w:iCs/>
          <w:noProof w:val="0"/>
          <w:color w:val="333333"/>
          <w:sz w:val="21"/>
          <w:szCs w:val="21"/>
          <w:lang w:val="en-ID"/>
        </w:rPr>
        <w:t>Kedua</w:t>
      </w:r>
      <w:r w:rsidRPr="00DB471B">
        <w:rPr>
          <w:rFonts w:ascii="Gotham" w:eastAsia="Times New Roman" w:hAnsi="Gotham" w:cs="Times New Roman"/>
          <w:noProof w:val="0"/>
          <w:color w:val="333333"/>
          <w:sz w:val="21"/>
          <w:szCs w:val="21"/>
          <w:lang w:val="en-ID"/>
        </w:rPr>
        <w:t>, Bank Indonesia memiliki peran vital dalam menciptakan kinerja lembaga keuangan yang sehat, khususnya perbankan. Penciptaan kinerja lembaga perbankan seperti itu dilakukan melalui mekanisme pengawasan dan regulasi. Seperti halnya di negara-negara lain, sektor perbankan memiliki pangsa yang dominan dalam sistem keuangan. Oleh sebab itu, kegagalan di sektor ini dapat menimbulkan ketidakstabilan keuangan dan mengganggu perekonomian. Untuk mencegah terjadinya kegagalan tersebut, sistem pengawasan dan kebijakan perbankan yang efektif haruslah ditegakkan. Selain itu, disiplin pasar melalui kewenangan dalam pengawasan dan pembuat kebijakan serta penegakan hukum (law enforcement) harus dijalankan. Bukti yang ada menunjukkan bahwa negara-negara yang menerapkan disiplin pasar, memiliki stabilitas sistem keuangan yang kokoh. Sementara itu, upaya penegakan hukum (law enforcement) dimaksudkan untuk melindungi perbankan dan stakeholder serta sekaligus mendorong kepercayaan terhadap sistem keuangan. Untuk menciptakan stabilitas di sektor perbankan secara berkelanjutan, Bank Indonesia telah menyusun Arsitektur Perbankan Indonesia dan rencana implementasi Basel II.</w:t>
      </w:r>
    </w:p>
    <w:p w14:paraId="63F5E40A" w14:textId="77777777" w:rsidR="00DB471B" w:rsidRPr="00DB471B" w:rsidRDefault="00DB471B" w:rsidP="00DB471B">
      <w:pPr>
        <w:spacing w:after="150"/>
        <w:ind w:left="0"/>
        <w:jc w:val="left"/>
        <w:rPr>
          <w:rFonts w:ascii="Gotham" w:eastAsia="Times New Roman" w:hAnsi="Gotham" w:cs="Times New Roman"/>
          <w:noProof w:val="0"/>
          <w:color w:val="333333"/>
          <w:sz w:val="21"/>
          <w:szCs w:val="21"/>
          <w:lang w:val="en-ID"/>
        </w:rPr>
      </w:pPr>
      <w:r w:rsidRPr="00DB471B">
        <w:rPr>
          <w:rFonts w:ascii="Gotham" w:eastAsia="Times New Roman" w:hAnsi="Gotham" w:cs="Times New Roman"/>
          <w:i/>
          <w:iCs/>
          <w:noProof w:val="0"/>
          <w:color w:val="333333"/>
          <w:sz w:val="21"/>
          <w:szCs w:val="21"/>
          <w:lang w:val="en-ID"/>
        </w:rPr>
        <w:t>Ketiga</w:t>
      </w:r>
      <w:r w:rsidRPr="00DB471B">
        <w:rPr>
          <w:rFonts w:ascii="Gotham" w:eastAsia="Times New Roman" w:hAnsi="Gotham" w:cs="Times New Roman"/>
          <w:noProof w:val="0"/>
          <w:color w:val="333333"/>
          <w:sz w:val="21"/>
          <w:szCs w:val="21"/>
          <w:lang w:val="en-ID"/>
        </w:rPr>
        <w:t>, Bank Indonesia memiliki kewenangan untuk mengatur dan menjaga kelancaran sistem pembayaran. Bila terjadi gagal bayar (failure to settle) pada salah satu peserta dalam sistem sistem pembayaran, maka akan timbul risiko potensial yang cukup serius dan mengganggu kelancaran sistem pembayaran. Kegagalan tersebut dapat menimbulkan risiko yang bersifat menular (contagion risk) sehingga menimbulkan gangguan yang bersifat sistemik. Bank Indonesia mengembangkan mekanisme dan pengaturan untuk mengurangi risiko dalam sistem pembayaran yang cenderung semakin meningkat. Antara lain dengan menerapkan sistem pembayaran yang bersifat real time atau dikenal dengan nama sistem RTGS (Real Time Gross Settlement) yang dapat lebih meningkatkan keamanan dan kecepatan sistem pembayaran. Sebagai otoritas dalam sistem pembayaran, Bank Indonesia memiliki informasi dan keahlian untuk mengidentifikasi risiko potensial dalam sistem pembayaran.</w:t>
      </w:r>
    </w:p>
    <w:p w14:paraId="6B3A3364" w14:textId="77777777" w:rsidR="00DB471B" w:rsidRPr="00DB471B" w:rsidRDefault="00DB471B" w:rsidP="00DB471B">
      <w:pPr>
        <w:spacing w:after="150"/>
        <w:ind w:left="0"/>
        <w:jc w:val="left"/>
        <w:rPr>
          <w:rFonts w:ascii="Gotham" w:eastAsia="Times New Roman" w:hAnsi="Gotham" w:cs="Times New Roman"/>
          <w:noProof w:val="0"/>
          <w:color w:val="333333"/>
          <w:sz w:val="21"/>
          <w:szCs w:val="21"/>
          <w:lang w:val="en-ID"/>
        </w:rPr>
      </w:pPr>
      <w:r w:rsidRPr="00DB471B">
        <w:rPr>
          <w:rFonts w:ascii="Gotham" w:eastAsia="Times New Roman" w:hAnsi="Gotham" w:cs="Times New Roman"/>
          <w:i/>
          <w:iCs/>
          <w:noProof w:val="0"/>
          <w:color w:val="333333"/>
          <w:sz w:val="21"/>
          <w:szCs w:val="21"/>
          <w:lang w:val="en-ID"/>
        </w:rPr>
        <w:t>Keempat</w:t>
      </w:r>
      <w:r w:rsidRPr="00DB471B">
        <w:rPr>
          <w:rFonts w:ascii="Gotham" w:eastAsia="Times New Roman" w:hAnsi="Gotham" w:cs="Times New Roman"/>
          <w:noProof w:val="0"/>
          <w:color w:val="333333"/>
          <w:sz w:val="21"/>
          <w:szCs w:val="21"/>
          <w:lang w:val="en-ID"/>
        </w:rPr>
        <w:t>, melalui fungsinya dalam riset dan pemantauan, Bank Indonesia dapat mengakses informasi-informasi yang dinilai mengancam stabilitas keuangan. Melalui pemantauan secara macroprudential, Bank Indonesia dapat memonitor kerentanan sektor keuangan dan mendeteksi potensi kejutan (potential shock) yang berdampak pada stabilitas sistem keuangan. Melalui riset, Bank Indonesia dapat mengembangkan instrumen dan indikator macroprudential untuk mendeteksi kerentanan sektor keuangan. Hasil riset dan pemantauan tersebut, selanjutnya akan menjadi rekomendasi bagi otoritas terkait dalam mengambil langkah-langkah yang tepat untuk meredam gangguan dalam sektor keuangan.</w:t>
      </w:r>
    </w:p>
    <w:p w14:paraId="32D2626A" w14:textId="77777777" w:rsidR="00DB471B" w:rsidRPr="00DB471B" w:rsidRDefault="00DB471B" w:rsidP="00DB471B">
      <w:pPr>
        <w:spacing w:after="150"/>
        <w:ind w:left="0"/>
        <w:jc w:val="left"/>
        <w:rPr>
          <w:rFonts w:ascii="Gotham" w:eastAsia="Times New Roman" w:hAnsi="Gotham" w:cs="Times New Roman"/>
          <w:noProof w:val="0"/>
          <w:color w:val="333333"/>
          <w:sz w:val="21"/>
          <w:szCs w:val="21"/>
          <w:lang w:val="en-ID"/>
        </w:rPr>
      </w:pPr>
      <w:r w:rsidRPr="00DB471B">
        <w:rPr>
          <w:rFonts w:ascii="Gotham" w:eastAsia="Times New Roman" w:hAnsi="Gotham" w:cs="Times New Roman"/>
          <w:i/>
          <w:iCs/>
          <w:noProof w:val="0"/>
          <w:color w:val="333333"/>
          <w:sz w:val="21"/>
          <w:szCs w:val="21"/>
          <w:lang w:val="en-ID"/>
        </w:rPr>
        <w:t>Kelima</w:t>
      </w:r>
      <w:r w:rsidRPr="00DB471B">
        <w:rPr>
          <w:rFonts w:ascii="Gotham" w:eastAsia="Times New Roman" w:hAnsi="Gotham" w:cs="Times New Roman"/>
          <w:noProof w:val="0"/>
          <w:color w:val="333333"/>
          <w:sz w:val="21"/>
          <w:szCs w:val="21"/>
          <w:lang w:val="en-ID"/>
        </w:rPr>
        <w:t>, Bank Indonesia memiliki fungsi sebagai jaring pengaman sistim keuangan melalui fungsi bank sentral sebagai lender of the last resort (LoLR). Fungsi LoLR merupakan peran tradisional Bank Indonesia sebagai bank sentral dalam mengelola krisis guna menghindari terjadinya ketidakstabilan sistem keuangan. Fungsi sebagai LoLR mencakup penyediaan likuiditas pada kondisi normal maupun krisis. Fungsi ini hanya diberikan kepada bank yang menghadapi masalah likuiditas dan berpotensi memicu terjadinya krisis yang bersifat sistemik. Pada kondisi normal, fungsi LoLR dapat diterapkan pada bank yang mengalami kesulitan likuiditas temporer namun masih memiliki kemampuan untuk membayar kembali. Dalam menjalankan fungsinya sebagai LoLR, Bank Indonesia harus menghindari terjadinya moral hazard. Oleh karena itu, pertimbangan risiko sistemik dan persyaratan yang ketat harus diterapkan dalam penyediaan likuiditas tersebut.</w:t>
      </w:r>
    </w:p>
    <w:p w14:paraId="05FE3731" w14:textId="77777777" w:rsidR="00E45BF1" w:rsidRPr="00E45BF1" w:rsidRDefault="00E45BF1">
      <w:pPr>
        <w:rPr>
          <w:lang w:val="en-US"/>
        </w:rPr>
      </w:pPr>
    </w:p>
    <w:sectPr w:rsidR="00E45BF1" w:rsidRPr="00E45BF1" w:rsidSect="00B51B4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Karla">
    <w:altName w:val="Cambria"/>
    <w:panose1 w:val="020B0604020202020204"/>
    <w:charset w:val="00"/>
    <w:family w:val="roman"/>
    <w:notTrueType/>
    <w:pitch w:val="default"/>
  </w:font>
  <w:font w:name="Vesper Libre">
    <w:altName w:val="Cambria"/>
    <w:panose1 w:val="020B0604020202020204"/>
    <w:charset w:val="00"/>
    <w:family w:val="roman"/>
    <w:pitch w:val="default"/>
  </w:font>
  <w:font w:name="Gotham">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06BB8"/>
    <w:multiLevelType w:val="hybridMultilevel"/>
    <w:tmpl w:val="A39E4FA4"/>
    <w:lvl w:ilvl="0" w:tplc="D67AA5B8">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0E8"/>
    <w:multiLevelType w:val="hybridMultilevel"/>
    <w:tmpl w:val="6A84BE5C"/>
    <w:lvl w:ilvl="0" w:tplc="888C00B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F1"/>
    <w:rsid w:val="0037248C"/>
    <w:rsid w:val="00437692"/>
    <w:rsid w:val="006C6F2A"/>
    <w:rsid w:val="00870872"/>
    <w:rsid w:val="00872F4D"/>
    <w:rsid w:val="009513E4"/>
    <w:rsid w:val="00B51B4D"/>
    <w:rsid w:val="00DB191F"/>
    <w:rsid w:val="00DB471B"/>
    <w:rsid w:val="00E45B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95740B2"/>
  <w15:chartTrackingRefBased/>
  <w15:docId w15:val="{F9CABD10-83A5-3643-9F11-EDEA9470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91F"/>
    <w:pPr>
      <w:ind w:left="284"/>
      <w:jc w:val="both"/>
    </w:pPr>
    <w:rPr>
      <w:rFonts w:asciiTheme="majorBidi" w:hAnsiTheme="majorBidi" w:cstheme="majorBidi"/>
      <w:noProof/>
      <w:lang w:val="id-ID"/>
    </w:rPr>
  </w:style>
  <w:style w:type="paragraph" w:styleId="Heading1">
    <w:name w:val="heading 1"/>
    <w:basedOn w:val="ListParagraph"/>
    <w:next w:val="Normal"/>
    <w:link w:val="Heading1Char"/>
    <w:uiPriority w:val="9"/>
    <w:qFormat/>
    <w:rsid w:val="00DB191F"/>
    <w:pPr>
      <w:ind w:hanging="360"/>
      <w:outlineLvl w:val="0"/>
    </w:pPr>
    <w:rPr>
      <w:b/>
      <w:bCs/>
    </w:rPr>
  </w:style>
  <w:style w:type="paragraph" w:styleId="Heading2">
    <w:name w:val="heading 2"/>
    <w:basedOn w:val="ListParagraph"/>
    <w:next w:val="Normal"/>
    <w:link w:val="Heading2Char"/>
    <w:uiPriority w:val="9"/>
    <w:unhideWhenUsed/>
    <w:qFormat/>
    <w:rsid w:val="00DB191F"/>
    <w:pPr>
      <w:spacing w:line="360" w:lineRule="auto"/>
      <w:ind w:left="284" w:hanging="425"/>
      <w:outlineLvl w:val="1"/>
    </w:pPr>
  </w:style>
  <w:style w:type="paragraph" w:styleId="Heading3">
    <w:name w:val="heading 3"/>
    <w:basedOn w:val="Normal"/>
    <w:link w:val="Heading3Char"/>
    <w:uiPriority w:val="9"/>
    <w:qFormat/>
    <w:rsid w:val="009513E4"/>
    <w:pPr>
      <w:spacing w:before="100" w:beforeAutospacing="1" w:after="100" w:afterAutospacing="1"/>
      <w:ind w:left="0"/>
      <w:jc w:val="left"/>
      <w:outlineLvl w:val="2"/>
    </w:pPr>
    <w:rPr>
      <w:rFonts w:ascii="Times New Roman" w:eastAsia="Times New Roman" w:hAnsi="Times New Roman" w:cs="Times New Roman"/>
      <w:b/>
      <w:bCs/>
      <w:noProof w:val="0"/>
      <w:sz w:val="27"/>
      <w:szCs w:val="27"/>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1F"/>
    <w:rPr>
      <w:rFonts w:asciiTheme="majorBidi" w:hAnsiTheme="majorBidi" w:cstheme="majorBidi"/>
      <w:b/>
      <w:bCs/>
    </w:rPr>
  </w:style>
  <w:style w:type="paragraph" w:styleId="ListParagraph">
    <w:name w:val="List Paragraph"/>
    <w:aliases w:val="header-modified"/>
    <w:basedOn w:val="Normal"/>
    <w:next w:val="NoSpacing"/>
    <w:uiPriority w:val="34"/>
    <w:qFormat/>
    <w:rsid w:val="00DB191F"/>
    <w:pPr>
      <w:ind w:left="720"/>
      <w:contextualSpacing/>
    </w:pPr>
  </w:style>
  <w:style w:type="character" w:customStyle="1" w:styleId="Heading2Char">
    <w:name w:val="Heading 2 Char"/>
    <w:basedOn w:val="DefaultParagraphFont"/>
    <w:link w:val="Heading2"/>
    <w:uiPriority w:val="9"/>
    <w:rsid w:val="00DB191F"/>
    <w:rPr>
      <w:rFonts w:asciiTheme="majorBidi" w:hAnsiTheme="majorBidi" w:cstheme="majorBidi"/>
    </w:rPr>
  </w:style>
  <w:style w:type="paragraph" w:styleId="Caption">
    <w:name w:val="caption"/>
    <w:basedOn w:val="Normal"/>
    <w:next w:val="Normal"/>
    <w:uiPriority w:val="35"/>
    <w:unhideWhenUsed/>
    <w:qFormat/>
    <w:rsid w:val="00DB191F"/>
    <w:pPr>
      <w:spacing w:after="200"/>
      <w:jc w:val="center"/>
    </w:pPr>
    <w:rPr>
      <w:color w:val="44546A" w:themeColor="text2"/>
    </w:rPr>
  </w:style>
  <w:style w:type="paragraph" w:styleId="Subtitle">
    <w:name w:val="Subtitle"/>
    <w:basedOn w:val="Normal"/>
    <w:next w:val="Normal"/>
    <w:link w:val="SubtitleChar"/>
    <w:uiPriority w:val="11"/>
    <w:qFormat/>
    <w:rsid w:val="00DB191F"/>
    <w:pPr>
      <w:numPr>
        <w:ilvl w:val="1"/>
      </w:numPr>
      <w:spacing w:after="160"/>
      <w:ind w:left="284"/>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B191F"/>
    <w:rPr>
      <w:color w:val="5A5A5A" w:themeColor="text1" w:themeTint="A5"/>
      <w:spacing w:val="15"/>
      <w:sz w:val="22"/>
      <w:szCs w:val="22"/>
    </w:rPr>
  </w:style>
  <w:style w:type="character" w:styleId="Strong">
    <w:name w:val="Strong"/>
    <w:basedOn w:val="DefaultParagraphFont"/>
    <w:uiPriority w:val="22"/>
    <w:qFormat/>
    <w:rsid w:val="00DB191F"/>
    <w:rPr>
      <w:b/>
      <w:bCs/>
    </w:rPr>
  </w:style>
  <w:style w:type="paragraph" w:styleId="NoSpacing">
    <w:name w:val="No Spacing"/>
    <w:uiPriority w:val="1"/>
    <w:qFormat/>
    <w:rsid w:val="00DB191F"/>
    <w:pPr>
      <w:ind w:left="284"/>
      <w:jc w:val="both"/>
    </w:pPr>
    <w:rPr>
      <w:rFonts w:asciiTheme="majorBidi" w:hAnsiTheme="majorBidi" w:cstheme="majorBidi"/>
    </w:rPr>
  </w:style>
  <w:style w:type="character" w:customStyle="1" w:styleId="Heading3Char">
    <w:name w:val="Heading 3 Char"/>
    <w:basedOn w:val="DefaultParagraphFont"/>
    <w:link w:val="Heading3"/>
    <w:uiPriority w:val="9"/>
    <w:rsid w:val="009513E4"/>
    <w:rPr>
      <w:rFonts w:ascii="Times New Roman" w:eastAsia="Times New Roman" w:hAnsi="Times New Roman" w:cs="Times New Roman"/>
      <w:b/>
      <w:bCs/>
      <w:sz w:val="27"/>
      <w:szCs w:val="27"/>
      <w:lang w:val="en-ID"/>
    </w:rPr>
  </w:style>
  <w:style w:type="paragraph" w:styleId="NormalWeb">
    <w:name w:val="Normal (Web)"/>
    <w:basedOn w:val="Normal"/>
    <w:uiPriority w:val="99"/>
    <w:semiHidden/>
    <w:unhideWhenUsed/>
    <w:rsid w:val="009513E4"/>
    <w:pPr>
      <w:spacing w:before="100" w:beforeAutospacing="1" w:after="100" w:afterAutospacing="1"/>
      <w:ind w:left="0"/>
      <w:jc w:val="left"/>
    </w:pPr>
    <w:rPr>
      <w:rFonts w:ascii="Times New Roman" w:eastAsia="Times New Roman" w:hAnsi="Times New Roman" w:cs="Times New Roman"/>
      <w:noProof w:val="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55599">
      <w:bodyDiv w:val="1"/>
      <w:marLeft w:val="0"/>
      <w:marRight w:val="0"/>
      <w:marTop w:val="0"/>
      <w:marBottom w:val="0"/>
      <w:divBdr>
        <w:top w:val="none" w:sz="0" w:space="0" w:color="auto"/>
        <w:left w:val="none" w:sz="0" w:space="0" w:color="auto"/>
        <w:bottom w:val="none" w:sz="0" w:space="0" w:color="auto"/>
        <w:right w:val="none" w:sz="0" w:space="0" w:color="auto"/>
      </w:divBdr>
    </w:div>
    <w:div w:id="290981623">
      <w:bodyDiv w:val="1"/>
      <w:marLeft w:val="0"/>
      <w:marRight w:val="0"/>
      <w:marTop w:val="0"/>
      <w:marBottom w:val="0"/>
      <w:divBdr>
        <w:top w:val="none" w:sz="0" w:space="0" w:color="auto"/>
        <w:left w:val="none" w:sz="0" w:space="0" w:color="auto"/>
        <w:bottom w:val="none" w:sz="0" w:space="0" w:color="auto"/>
        <w:right w:val="none" w:sz="0" w:space="0" w:color="auto"/>
      </w:divBdr>
    </w:div>
    <w:div w:id="56834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anjar</dc:creator>
  <cp:keywords/>
  <dc:description/>
  <cp:lastModifiedBy>aman anjar</cp:lastModifiedBy>
  <cp:revision>2</cp:revision>
  <dcterms:created xsi:type="dcterms:W3CDTF">2024-05-04T13:32:00Z</dcterms:created>
  <dcterms:modified xsi:type="dcterms:W3CDTF">2024-05-05T07:45:00Z</dcterms:modified>
</cp:coreProperties>
</file>