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ED8C" w14:textId="77777777" w:rsidR="00304236" w:rsidRDefault="00000000">
      <w:pPr>
        <w:spacing w:after="40"/>
      </w:pPr>
      <w:r>
        <w:rPr>
          <w:b/>
          <w:bCs/>
          <w:color w:val="1F3864"/>
          <w:sz w:val="26"/>
          <w:szCs w:val="26"/>
        </w:rPr>
        <w:t>Northgate Mutual Insurance Society</w:t>
      </w:r>
    </w:p>
    <w:p w14:paraId="3D70D978" w14:textId="77777777" w:rsidR="00304236" w:rsidRDefault="00000000">
      <w:pPr>
        <w:spacing w:after="40"/>
      </w:pPr>
      <w:r>
        <w:rPr>
          <w:b/>
          <w:bCs/>
          <w:color w:val="1F3864"/>
          <w:sz w:val="26"/>
          <w:szCs w:val="26"/>
        </w:rPr>
        <w:t>Commercial Motor Reserving Summary, 31 December 2025</w:t>
      </w:r>
    </w:p>
    <w:p w14:paraId="2D53A09E" w14:textId="77777777" w:rsidR="00304236" w:rsidRDefault="00000000">
      <w:pPr>
        <w:pBdr>
          <w:bottom w:val="single" w:sz="8" w:space="6" w:color="1F3864"/>
        </w:pBdr>
        <w:spacing w:after="220"/>
      </w:pPr>
      <w:r>
        <w:rPr>
          <w:b/>
          <w:bCs/>
          <w:sz w:val="22"/>
          <w:szCs w:val="22"/>
        </w:rPr>
        <w:t>Unpaid Claim Liability, Reserving Basis Recommendation and Adverse Development Cover</w:t>
      </w:r>
    </w:p>
    <w:p w14:paraId="1722215A" w14:textId="77777777" w:rsidR="00304236" w:rsidRDefault="00000000">
      <w:pPr>
        <w:pStyle w:val="Heading1"/>
        <w:spacing w:before="320" w:after="150"/>
      </w:pPr>
      <w:r>
        <w:rPr>
          <w:b/>
          <w:bCs/>
          <w:color w:val="1F3864"/>
          <w:sz w:val="27"/>
          <w:szCs w:val="27"/>
        </w:rPr>
        <w:t>1. Background</w:t>
      </w:r>
    </w:p>
    <w:p w14:paraId="13663D5C" w14:textId="77777777" w:rsidR="00304236" w:rsidRDefault="00000000">
      <w:pPr>
        <w:spacing w:after="110" w:line="270" w:lineRule="auto"/>
      </w:pPr>
      <w:r>
        <w:t>Northgate Mutual Insurance Society is a small general insurer. It writes Commercial Motor business through three rating groups. Group A covers light commercial vehicles and is the largest group by number of vehicles and by claim count. Group B covers heavy goods vehicles. Group C covers specialist haulage. Group C is the smallest of the three, but its vehicles carry the highest average sum insured, and its claims take the longest to settle, mostly because more of them involve bodily injury.</w:t>
      </w:r>
    </w:p>
    <w:p w14:paraId="544CA6B9" w14:textId="7E564B4F" w:rsidR="00304236" w:rsidRDefault="00000000">
      <w:pPr>
        <w:spacing w:after="110" w:line="270" w:lineRule="auto"/>
      </w:pPr>
      <w:r>
        <w:t xml:space="preserve">At the reserving date of 31 December 2025, the Reserving Committee needs to agree the unpaid claim liability to book in the statutory accounts for this account. The unpaid claim liability, often called the reserve, is the amount still expected to be paid out on claims that have already happened but have not yet been fully settled. Getting this number right </w:t>
      </w:r>
      <w:r w:rsidR="00654841">
        <w:t>is important</w:t>
      </w:r>
      <w:r>
        <w:t xml:space="preserve">. </w:t>
      </w:r>
      <w:r w:rsidR="00374BBE">
        <w:t>If the estimate is t</w:t>
      </w:r>
      <w:r>
        <w:t>oo low</w:t>
      </w:r>
      <w:r w:rsidR="00374BBE">
        <w:t xml:space="preserve">, </w:t>
      </w:r>
      <w:r>
        <w:t xml:space="preserve">the company understates its liabilities and may not hold enough capital. </w:t>
      </w:r>
      <w:r w:rsidR="00374BBE">
        <w:t>On the other hand, if the estimate is t</w:t>
      </w:r>
      <w:r>
        <w:t>oo high,</w:t>
      </w:r>
      <w:r w:rsidR="00374BBE">
        <w:t xml:space="preserve"> </w:t>
      </w:r>
      <w:r>
        <w:t>the company ties up capital unnecessarily and understates its profit.</w:t>
      </w:r>
    </w:p>
    <w:p w14:paraId="1BA4D8CE" w14:textId="6EC5ABF9" w:rsidR="00304236" w:rsidRDefault="00000000">
      <w:pPr>
        <w:spacing w:after="110" w:line="270" w:lineRule="auto"/>
      </w:pPr>
      <w:r>
        <w:t xml:space="preserve">Because no single method of estimating the reserve is perfect, three different actuarial methods have been used side by side. These are explained in </w:t>
      </w:r>
      <w:r w:rsidR="00F01849">
        <w:t>more details</w:t>
      </w:r>
      <w:r>
        <w:t xml:space="preserve"> in Section 5. The three methods do not give identical answers, and the gap between them is itself useful information about how much uncertainty surrounds the reserve.</w:t>
      </w:r>
    </w:p>
    <w:p w14:paraId="1E1E2942" w14:textId="77777777" w:rsidR="00304236" w:rsidRDefault="00000000">
      <w:pPr>
        <w:spacing w:after="110" w:line="270" w:lineRule="auto"/>
      </w:pPr>
      <w:r>
        <w:t>On 12 February 2026, the Chief Actuary asked for a further check. He wants to see what happens to the reserve if claims take longer to fully develop than the last six years of data suggest, and if the cost of settling outstanding claims rises faster than expected. This is modelled as an extension scenario. It is applied on top of all three base methods, so the Committee can see how each method responds to the same stress.</w:t>
      </w:r>
    </w:p>
    <w:p w14:paraId="06219B54" w14:textId="012F9812" w:rsidR="00304236" w:rsidRDefault="00000000">
      <w:pPr>
        <w:spacing w:after="110" w:line="270" w:lineRule="auto"/>
      </w:pPr>
      <w:r>
        <w:t>Finally, the company’s reinsurer has offered an Adverse Development Cover</w:t>
      </w:r>
      <w:r w:rsidR="00F01849">
        <w:t xml:space="preserve"> (ADC) policy,</w:t>
      </w:r>
      <w:r>
        <w:t xml:space="preserve"> a form of insurance that the company can buy to protect itself if the reserve later turns out to have been too low</w:t>
      </w:r>
      <w:r w:rsidR="00A96213">
        <w:br/>
      </w:r>
      <w:r w:rsidR="00A96213" w:rsidRPr="00A96213">
        <w:t xml:space="preserve">Prepared for the Reserving Committee, </w:t>
      </w:r>
      <w:r w:rsidR="00A96213">
        <w:t>t</w:t>
      </w:r>
      <w:r w:rsidR="00A96213" w:rsidRPr="00A96213">
        <w:t xml:space="preserve">his report summarises a spreadsheet model built to support the December 2025 reserving exercise for the Commercial Motor account. The full calculations, audit trail and checks sit in the accompanying Excel workbook. This document </w:t>
      </w:r>
      <w:r w:rsidR="00B70CEC">
        <w:t>presen</w:t>
      </w:r>
      <w:r w:rsidR="00A96213" w:rsidRPr="00A96213">
        <w:t>t</w:t>
      </w:r>
      <w:r w:rsidR="00B70CEC">
        <w:t>s</w:t>
      </w:r>
      <w:r w:rsidR="00A96213" w:rsidRPr="00A96213">
        <w:t xml:space="preserve"> the results, explains </w:t>
      </w:r>
      <w:r w:rsidR="00A96213">
        <w:t>our</w:t>
      </w:r>
      <w:r w:rsidR="00A96213" w:rsidRPr="00A96213">
        <w:t xml:space="preserve"> reasoning, and sets out a recommendation</w:t>
      </w:r>
      <w:r w:rsidR="00A96213">
        <w:t xml:space="preserve"> whether to buy ADC policy.</w:t>
      </w:r>
    </w:p>
    <w:p w14:paraId="52508A88" w14:textId="77777777" w:rsidR="00304236" w:rsidRDefault="00000000">
      <w:pPr>
        <w:pStyle w:val="Heading1"/>
        <w:spacing w:before="320" w:after="150"/>
      </w:pPr>
      <w:r>
        <w:rPr>
          <w:b/>
          <w:bCs/>
          <w:color w:val="1F3864"/>
          <w:sz w:val="27"/>
          <w:szCs w:val="27"/>
        </w:rPr>
        <w:t>2. Aims and objectives</w:t>
      </w:r>
    </w:p>
    <w:p w14:paraId="76DF52E7" w14:textId="77777777" w:rsidR="00304236" w:rsidRDefault="00000000">
      <w:pPr>
        <w:spacing w:after="110" w:line="270" w:lineRule="auto"/>
      </w:pPr>
      <w:r>
        <w:t>The model was built to achieve the following.</w:t>
      </w:r>
    </w:p>
    <w:p w14:paraId="707C5D67" w14:textId="77777777" w:rsidR="00304236" w:rsidRDefault="00000000">
      <w:pPr>
        <w:pStyle w:val="ListParagraph"/>
        <w:numPr>
          <w:ilvl w:val="0"/>
          <w:numId w:val="2"/>
        </w:numPr>
        <w:spacing w:after="70" w:line="270" w:lineRule="auto"/>
      </w:pPr>
      <w:r>
        <w:t>Estimate ultimate claims and the unpaid claim liability for each of the three rating groups, under three different reserving methods, and use the spread between the methods to judge how much uncertainty surrounds the reserve.</w:t>
      </w:r>
    </w:p>
    <w:p w14:paraId="6E18316D" w14:textId="77777777" w:rsidR="00304236" w:rsidRDefault="00000000">
      <w:pPr>
        <w:pStyle w:val="ListParagraph"/>
        <w:numPr>
          <w:ilvl w:val="0"/>
          <w:numId w:val="2"/>
        </w:numPr>
        <w:spacing w:after="70" w:line="270" w:lineRule="auto"/>
      </w:pPr>
      <w:r>
        <w:t>Build a defensible assumption for the expected loss ratio that two of the three methods rely on, using premium restated to current rate levels, claims restated to current cost levels, and a formal statistical weighting between the account’s own experience and the business plan.</w:t>
      </w:r>
    </w:p>
    <w:p w14:paraId="312D09ED" w14:textId="77777777" w:rsidR="00304236" w:rsidRDefault="00000000">
      <w:pPr>
        <w:pStyle w:val="ListParagraph"/>
        <w:numPr>
          <w:ilvl w:val="0"/>
          <w:numId w:val="2"/>
        </w:numPr>
        <w:spacing w:after="70" w:line="270" w:lineRule="auto"/>
      </w:pPr>
      <w:r>
        <w:t>Recalculate all three methods under the Chief Actuary’s adverse scenario, so the Committee can see how sensitive the booked reserve is to slower claims settlement and higher claims inflation.</w:t>
      </w:r>
    </w:p>
    <w:p w14:paraId="27E28F28" w14:textId="5C8B9C1A" w:rsidR="00304236" w:rsidRDefault="00000000">
      <w:pPr>
        <w:pStyle w:val="ListParagraph"/>
        <w:numPr>
          <w:ilvl w:val="0"/>
          <w:numId w:val="2"/>
        </w:numPr>
        <w:spacing w:after="70" w:line="270" w:lineRule="auto"/>
      </w:pPr>
      <w:r>
        <w:t>Value the reinsurer’s Adverse Development Cover under each of the three methods</w:t>
      </w:r>
      <w:r w:rsidR="00481E88">
        <w:t xml:space="preserve"> </w:t>
      </w:r>
      <w:r>
        <w:t>and recommend whether the company should buy it.</w:t>
      </w:r>
    </w:p>
    <w:p w14:paraId="399AC501" w14:textId="1D4FA903" w:rsidR="00304236" w:rsidRDefault="007544BF">
      <w:pPr>
        <w:pStyle w:val="ListParagraph"/>
        <w:numPr>
          <w:ilvl w:val="0"/>
          <w:numId w:val="2"/>
        </w:numPr>
        <w:spacing w:after="70" w:line="270" w:lineRule="auto"/>
      </w:pPr>
      <w:r>
        <w:t xml:space="preserve">Communicate the results clearly </w:t>
      </w:r>
      <w:r w:rsidR="008048DC">
        <w:t>such</w:t>
      </w:r>
      <w:r>
        <w:t xml:space="preserve"> that a non-technical reader can see which method is recommended, which rating group is driving the result, and what the reinsurance does and does not protect against.</w:t>
      </w:r>
    </w:p>
    <w:p w14:paraId="0184782E" w14:textId="77777777" w:rsidR="00304236" w:rsidRDefault="00000000">
      <w:pPr>
        <w:spacing w:after="110" w:line="270" w:lineRule="auto"/>
      </w:pPr>
      <w:r>
        <w:lastRenderedPageBreak/>
        <w:t>The main metrics used to judge the results are the reserve itself, the reserve expressed as a percentage of earned premium, the ultimate loss ratio, the combined ratio, and the net financial benefit of the reinsurance cover. Each of these is explained where it first appears.</w:t>
      </w:r>
    </w:p>
    <w:p w14:paraId="520334C2" w14:textId="77777777" w:rsidR="00304236" w:rsidRDefault="00000000">
      <w:pPr>
        <w:pStyle w:val="Heading1"/>
        <w:spacing w:before="320" w:after="150"/>
      </w:pPr>
      <w:r>
        <w:rPr>
          <w:b/>
          <w:bCs/>
          <w:color w:val="1F3864"/>
          <w:sz w:val="27"/>
          <w:szCs w:val="27"/>
        </w:rPr>
        <w:t>3. Input data and sources</w:t>
      </w:r>
    </w:p>
    <w:p w14:paraId="600BCB38" w14:textId="77777777" w:rsidR="00304236" w:rsidRDefault="00000000">
      <w:pPr>
        <w:spacing w:after="110" w:line="270" w:lineRule="auto"/>
      </w:pPr>
      <w:r>
        <w:t>The model draws on ten tables of data and parameters, summarised below. The first four come directly from company systems. The remaining six are assumptions and business judgements, each with its own stated source.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600"/>
        <w:gridCol w:w="3000"/>
      </w:tblGrid>
      <w:tr w:rsidR="00304236" w14:paraId="4B4CB1C2" w14:textId="77777777">
        <w:trPr>
          <w:tblHeader/>
        </w:trPr>
        <w:tc>
          <w:tcPr>
            <w:tcW w:w="2100" w:type="dxa"/>
            <w:shd w:val="clear" w:color="auto" w:fill="1F3864"/>
            <w:tcMar>
              <w:top w:w="60" w:type="dxa"/>
              <w:left w:w="110" w:type="dxa"/>
              <w:bottom w:w="60" w:type="dxa"/>
              <w:right w:w="110" w:type="dxa"/>
            </w:tcMar>
          </w:tcPr>
          <w:p w14:paraId="3F80195B" w14:textId="77777777" w:rsidR="00304236" w:rsidRDefault="00000000">
            <w:r>
              <w:rPr>
                <w:b/>
                <w:bCs/>
                <w:color w:val="FFFFFF"/>
                <w:sz w:val="18"/>
                <w:szCs w:val="18"/>
              </w:rPr>
              <w:t>Table</w:t>
            </w:r>
          </w:p>
        </w:tc>
        <w:tc>
          <w:tcPr>
            <w:tcW w:w="4600" w:type="dxa"/>
            <w:shd w:val="clear" w:color="auto" w:fill="1F3864"/>
            <w:tcMar>
              <w:top w:w="60" w:type="dxa"/>
              <w:left w:w="110" w:type="dxa"/>
              <w:bottom w:w="60" w:type="dxa"/>
              <w:right w:w="110" w:type="dxa"/>
            </w:tcMar>
          </w:tcPr>
          <w:p w14:paraId="3059951F" w14:textId="77777777" w:rsidR="00304236" w:rsidRDefault="00000000">
            <w:r>
              <w:rPr>
                <w:b/>
                <w:bCs/>
                <w:color w:val="FFFFFF"/>
                <w:sz w:val="18"/>
                <w:szCs w:val="18"/>
              </w:rPr>
              <w:t>Content</w:t>
            </w:r>
          </w:p>
        </w:tc>
        <w:tc>
          <w:tcPr>
            <w:tcW w:w="3000" w:type="dxa"/>
            <w:shd w:val="clear" w:color="auto" w:fill="1F3864"/>
            <w:tcMar>
              <w:top w:w="60" w:type="dxa"/>
              <w:left w:w="110" w:type="dxa"/>
              <w:bottom w:w="60" w:type="dxa"/>
              <w:right w:w="110" w:type="dxa"/>
            </w:tcMar>
          </w:tcPr>
          <w:p w14:paraId="77BA90AA" w14:textId="77777777" w:rsidR="00304236" w:rsidRDefault="00000000">
            <w:r>
              <w:rPr>
                <w:b/>
                <w:bCs/>
                <w:color w:val="FFFFFF"/>
                <w:sz w:val="18"/>
                <w:szCs w:val="18"/>
              </w:rPr>
              <w:t>Source</w:t>
            </w:r>
          </w:p>
        </w:tc>
      </w:tr>
      <w:tr w:rsidR="00304236" w14:paraId="6C176E6C" w14:textId="77777777">
        <w:tc>
          <w:tcPr>
            <w:tcW w:w="2100" w:type="dxa"/>
            <w:tcMar>
              <w:top w:w="60" w:type="dxa"/>
              <w:left w:w="110" w:type="dxa"/>
              <w:bottom w:w="60" w:type="dxa"/>
              <w:right w:w="110" w:type="dxa"/>
            </w:tcMar>
          </w:tcPr>
          <w:p w14:paraId="584C3DCF" w14:textId="77777777" w:rsidR="00304236" w:rsidRDefault="00000000">
            <w:r>
              <w:rPr>
                <w:sz w:val="18"/>
                <w:szCs w:val="18"/>
              </w:rPr>
              <w:t>1</w:t>
            </w:r>
          </w:p>
        </w:tc>
        <w:tc>
          <w:tcPr>
            <w:tcW w:w="4600" w:type="dxa"/>
            <w:tcMar>
              <w:top w:w="60" w:type="dxa"/>
              <w:left w:w="110" w:type="dxa"/>
              <w:bottom w:w="60" w:type="dxa"/>
              <w:right w:w="110" w:type="dxa"/>
            </w:tcMar>
          </w:tcPr>
          <w:p w14:paraId="7FEC2256" w14:textId="77777777" w:rsidR="00304236" w:rsidRDefault="00000000">
            <w:r>
              <w:rPr>
                <w:sz w:val="18"/>
                <w:szCs w:val="18"/>
              </w:rPr>
              <w:t>Cumulative paid claims by accident year, development age and rating group</w:t>
            </w:r>
          </w:p>
        </w:tc>
        <w:tc>
          <w:tcPr>
            <w:tcW w:w="3000" w:type="dxa"/>
            <w:tcMar>
              <w:top w:w="60" w:type="dxa"/>
              <w:left w:w="110" w:type="dxa"/>
              <w:bottom w:w="60" w:type="dxa"/>
              <w:right w:w="110" w:type="dxa"/>
            </w:tcMar>
          </w:tcPr>
          <w:p w14:paraId="20EE2BEA" w14:textId="77777777" w:rsidR="00304236" w:rsidRDefault="00000000">
            <w:r>
              <w:rPr>
                <w:sz w:val="18"/>
                <w:szCs w:val="18"/>
              </w:rPr>
              <w:t>Claims administration system extract, 14 January 2026</w:t>
            </w:r>
          </w:p>
        </w:tc>
      </w:tr>
      <w:tr w:rsidR="00304236" w14:paraId="5DAE3ECE" w14:textId="77777777">
        <w:tc>
          <w:tcPr>
            <w:tcW w:w="2100" w:type="dxa"/>
            <w:shd w:val="clear" w:color="auto" w:fill="F2F5FA"/>
            <w:tcMar>
              <w:top w:w="60" w:type="dxa"/>
              <w:left w:w="110" w:type="dxa"/>
              <w:bottom w:w="60" w:type="dxa"/>
              <w:right w:w="110" w:type="dxa"/>
            </w:tcMar>
          </w:tcPr>
          <w:p w14:paraId="59F40AD6" w14:textId="77777777" w:rsidR="00304236" w:rsidRDefault="00000000">
            <w:r>
              <w:rPr>
                <w:sz w:val="18"/>
                <w:szCs w:val="18"/>
              </w:rPr>
              <w:t>2</w:t>
            </w:r>
          </w:p>
        </w:tc>
        <w:tc>
          <w:tcPr>
            <w:tcW w:w="4600" w:type="dxa"/>
            <w:shd w:val="clear" w:color="auto" w:fill="F2F5FA"/>
            <w:tcMar>
              <w:top w:w="60" w:type="dxa"/>
              <w:left w:w="110" w:type="dxa"/>
              <w:bottom w:w="60" w:type="dxa"/>
              <w:right w:w="110" w:type="dxa"/>
            </w:tcMar>
          </w:tcPr>
          <w:p w14:paraId="02509946" w14:textId="77777777" w:rsidR="00304236" w:rsidRDefault="00000000">
            <w:r>
              <w:rPr>
                <w:sz w:val="18"/>
                <w:szCs w:val="18"/>
              </w:rPr>
              <w:t>Reported claim counts by accident year and rating group</w:t>
            </w:r>
          </w:p>
        </w:tc>
        <w:tc>
          <w:tcPr>
            <w:tcW w:w="3000" w:type="dxa"/>
            <w:shd w:val="clear" w:color="auto" w:fill="F2F5FA"/>
            <w:tcMar>
              <w:top w:w="60" w:type="dxa"/>
              <w:left w:w="110" w:type="dxa"/>
              <w:bottom w:w="60" w:type="dxa"/>
              <w:right w:w="110" w:type="dxa"/>
            </w:tcMar>
          </w:tcPr>
          <w:p w14:paraId="6914CAA0" w14:textId="77777777" w:rsidR="00304236" w:rsidRDefault="00000000">
            <w:r>
              <w:rPr>
                <w:sz w:val="18"/>
                <w:szCs w:val="18"/>
              </w:rPr>
              <w:t>Claims administration system</w:t>
            </w:r>
          </w:p>
        </w:tc>
      </w:tr>
      <w:tr w:rsidR="00304236" w14:paraId="184C3DC2" w14:textId="77777777">
        <w:tc>
          <w:tcPr>
            <w:tcW w:w="2100" w:type="dxa"/>
            <w:tcMar>
              <w:top w:w="60" w:type="dxa"/>
              <w:left w:w="110" w:type="dxa"/>
              <w:bottom w:w="60" w:type="dxa"/>
              <w:right w:w="110" w:type="dxa"/>
            </w:tcMar>
          </w:tcPr>
          <w:p w14:paraId="00AC5E26" w14:textId="77777777" w:rsidR="00304236" w:rsidRDefault="00000000">
            <w:r>
              <w:rPr>
                <w:sz w:val="18"/>
                <w:szCs w:val="18"/>
              </w:rPr>
              <w:t>3</w:t>
            </w:r>
          </w:p>
        </w:tc>
        <w:tc>
          <w:tcPr>
            <w:tcW w:w="4600" w:type="dxa"/>
            <w:tcMar>
              <w:top w:w="60" w:type="dxa"/>
              <w:left w:w="110" w:type="dxa"/>
              <w:bottom w:w="60" w:type="dxa"/>
              <w:right w:w="110" w:type="dxa"/>
            </w:tcMar>
          </w:tcPr>
          <w:p w14:paraId="6FA48E33" w14:textId="77777777" w:rsidR="00304236" w:rsidRDefault="00000000">
            <w:r>
              <w:rPr>
                <w:sz w:val="18"/>
                <w:szCs w:val="18"/>
              </w:rPr>
              <w:t>History of rate changes by accident year and rating group</w:t>
            </w:r>
          </w:p>
        </w:tc>
        <w:tc>
          <w:tcPr>
            <w:tcW w:w="3000" w:type="dxa"/>
            <w:tcMar>
              <w:top w:w="60" w:type="dxa"/>
              <w:left w:w="110" w:type="dxa"/>
              <w:bottom w:w="60" w:type="dxa"/>
              <w:right w:w="110" w:type="dxa"/>
            </w:tcMar>
          </w:tcPr>
          <w:p w14:paraId="16F035CA" w14:textId="77777777" w:rsidR="00304236" w:rsidRDefault="00000000">
            <w:r>
              <w:rPr>
                <w:sz w:val="18"/>
                <w:szCs w:val="18"/>
              </w:rPr>
              <w:t>Underwriting rate monitoring return</w:t>
            </w:r>
          </w:p>
        </w:tc>
      </w:tr>
      <w:tr w:rsidR="00304236" w14:paraId="4402CE7F" w14:textId="77777777">
        <w:tc>
          <w:tcPr>
            <w:tcW w:w="2100" w:type="dxa"/>
            <w:shd w:val="clear" w:color="auto" w:fill="F2F5FA"/>
            <w:tcMar>
              <w:top w:w="60" w:type="dxa"/>
              <w:left w:w="110" w:type="dxa"/>
              <w:bottom w:w="60" w:type="dxa"/>
              <w:right w:w="110" w:type="dxa"/>
            </w:tcMar>
          </w:tcPr>
          <w:p w14:paraId="3FE9F7DE" w14:textId="77777777" w:rsidR="00304236" w:rsidRDefault="00000000">
            <w:r>
              <w:rPr>
                <w:sz w:val="18"/>
                <w:szCs w:val="18"/>
              </w:rPr>
              <w:t>4</w:t>
            </w:r>
          </w:p>
        </w:tc>
        <w:tc>
          <w:tcPr>
            <w:tcW w:w="4600" w:type="dxa"/>
            <w:shd w:val="clear" w:color="auto" w:fill="F2F5FA"/>
            <w:tcMar>
              <w:top w:w="60" w:type="dxa"/>
              <w:left w:w="110" w:type="dxa"/>
              <w:bottom w:w="60" w:type="dxa"/>
              <w:right w:w="110" w:type="dxa"/>
            </w:tcMar>
          </w:tcPr>
          <w:p w14:paraId="0DD6E8ED" w14:textId="77777777" w:rsidR="00304236" w:rsidRDefault="00000000">
            <w:r>
              <w:rPr>
                <w:sz w:val="18"/>
                <w:szCs w:val="18"/>
              </w:rPr>
              <w:t>Earned premium by accident year and rating group</w:t>
            </w:r>
          </w:p>
        </w:tc>
        <w:tc>
          <w:tcPr>
            <w:tcW w:w="3000" w:type="dxa"/>
            <w:shd w:val="clear" w:color="auto" w:fill="F2F5FA"/>
            <w:tcMar>
              <w:top w:w="60" w:type="dxa"/>
              <w:left w:w="110" w:type="dxa"/>
              <w:bottom w:w="60" w:type="dxa"/>
              <w:right w:w="110" w:type="dxa"/>
            </w:tcMar>
          </w:tcPr>
          <w:p w14:paraId="08B28772" w14:textId="77777777" w:rsidR="00304236" w:rsidRDefault="00000000">
            <w:r>
              <w:rPr>
                <w:sz w:val="18"/>
                <w:szCs w:val="18"/>
              </w:rPr>
              <w:t>Finance system</w:t>
            </w:r>
          </w:p>
        </w:tc>
      </w:tr>
      <w:tr w:rsidR="00304236" w14:paraId="3B277545" w14:textId="77777777">
        <w:tc>
          <w:tcPr>
            <w:tcW w:w="2100" w:type="dxa"/>
            <w:tcMar>
              <w:top w:w="60" w:type="dxa"/>
              <w:left w:w="110" w:type="dxa"/>
              <w:bottom w:w="60" w:type="dxa"/>
              <w:right w:w="110" w:type="dxa"/>
            </w:tcMar>
          </w:tcPr>
          <w:p w14:paraId="3AB8ACD0" w14:textId="77777777" w:rsidR="00304236" w:rsidRDefault="00000000">
            <w:r>
              <w:rPr>
                <w:sz w:val="18"/>
                <w:szCs w:val="18"/>
              </w:rPr>
              <w:t>5</w:t>
            </w:r>
          </w:p>
        </w:tc>
        <w:tc>
          <w:tcPr>
            <w:tcW w:w="4600" w:type="dxa"/>
            <w:tcMar>
              <w:top w:w="60" w:type="dxa"/>
              <w:left w:w="110" w:type="dxa"/>
              <w:bottom w:w="60" w:type="dxa"/>
              <w:right w:w="110" w:type="dxa"/>
            </w:tcMar>
          </w:tcPr>
          <w:p w14:paraId="59CA76C3" w14:textId="77777777" w:rsidR="00304236" w:rsidRDefault="00000000">
            <w:r>
              <w:rPr>
                <w:sz w:val="18"/>
                <w:szCs w:val="18"/>
              </w:rPr>
              <w:t>Rating group definitions, vehicle numbers and sums insured</w:t>
            </w:r>
          </w:p>
        </w:tc>
        <w:tc>
          <w:tcPr>
            <w:tcW w:w="3000" w:type="dxa"/>
            <w:tcMar>
              <w:top w:w="60" w:type="dxa"/>
              <w:left w:w="110" w:type="dxa"/>
              <w:bottom w:w="60" w:type="dxa"/>
              <w:right w:w="110" w:type="dxa"/>
            </w:tcMar>
          </w:tcPr>
          <w:p w14:paraId="473AF074" w14:textId="77777777" w:rsidR="00304236" w:rsidRDefault="00000000">
            <w:r>
              <w:rPr>
                <w:sz w:val="18"/>
                <w:szCs w:val="18"/>
              </w:rPr>
              <w:t>Policy administration system</w:t>
            </w:r>
          </w:p>
        </w:tc>
      </w:tr>
      <w:tr w:rsidR="00304236" w14:paraId="02C0A53F" w14:textId="77777777">
        <w:tc>
          <w:tcPr>
            <w:tcW w:w="2100" w:type="dxa"/>
            <w:shd w:val="clear" w:color="auto" w:fill="F2F5FA"/>
            <w:tcMar>
              <w:top w:w="60" w:type="dxa"/>
              <w:left w:w="110" w:type="dxa"/>
              <w:bottom w:w="60" w:type="dxa"/>
              <w:right w:w="110" w:type="dxa"/>
            </w:tcMar>
          </w:tcPr>
          <w:p w14:paraId="73CABDD1" w14:textId="77777777" w:rsidR="00304236" w:rsidRDefault="00000000">
            <w:r>
              <w:rPr>
                <w:sz w:val="18"/>
                <w:szCs w:val="18"/>
              </w:rPr>
              <w:t>6</w:t>
            </w:r>
          </w:p>
        </w:tc>
        <w:tc>
          <w:tcPr>
            <w:tcW w:w="4600" w:type="dxa"/>
            <w:shd w:val="clear" w:color="auto" w:fill="F2F5FA"/>
            <w:tcMar>
              <w:top w:w="60" w:type="dxa"/>
              <w:left w:w="110" w:type="dxa"/>
              <w:bottom w:w="60" w:type="dxa"/>
              <w:right w:w="110" w:type="dxa"/>
            </w:tcMar>
          </w:tcPr>
          <w:p w14:paraId="43E0EE64" w14:textId="77777777" w:rsidR="00304236" w:rsidRDefault="00000000">
            <w:r>
              <w:rPr>
                <w:sz w:val="18"/>
                <w:szCs w:val="18"/>
              </w:rPr>
              <w:t>Claims severity trend and cost of capital</w:t>
            </w:r>
          </w:p>
        </w:tc>
        <w:tc>
          <w:tcPr>
            <w:tcW w:w="3000" w:type="dxa"/>
            <w:shd w:val="clear" w:color="auto" w:fill="F2F5FA"/>
            <w:tcMar>
              <w:top w:w="60" w:type="dxa"/>
              <w:left w:w="110" w:type="dxa"/>
              <w:bottom w:w="60" w:type="dxa"/>
              <w:right w:w="110" w:type="dxa"/>
            </w:tcMar>
          </w:tcPr>
          <w:p w14:paraId="272648B9" w14:textId="77777777" w:rsidR="00304236" w:rsidRDefault="00000000">
            <w:r>
              <w:rPr>
                <w:sz w:val="18"/>
                <w:szCs w:val="18"/>
              </w:rPr>
              <w:t>Internal severity study, Board-approved cost of capital</w:t>
            </w:r>
          </w:p>
        </w:tc>
      </w:tr>
      <w:tr w:rsidR="00304236" w14:paraId="6D0C7F69" w14:textId="77777777">
        <w:tc>
          <w:tcPr>
            <w:tcW w:w="2100" w:type="dxa"/>
            <w:tcMar>
              <w:top w:w="60" w:type="dxa"/>
              <w:left w:w="110" w:type="dxa"/>
              <w:bottom w:w="60" w:type="dxa"/>
              <w:right w:w="110" w:type="dxa"/>
            </w:tcMar>
          </w:tcPr>
          <w:p w14:paraId="339012AB" w14:textId="77777777" w:rsidR="00304236" w:rsidRDefault="00000000">
            <w:r>
              <w:rPr>
                <w:sz w:val="18"/>
                <w:szCs w:val="18"/>
              </w:rPr>
              <w:t>7</w:t>
            </w:r>
          </w:p>
        </w:tc>
        <w:tc>
          <w:tcPr>
            <w:tcW w:w="4600" w:type="dxa"/>
            <w:tcMar>
              <w:top w:w="60" w:type="dxa"/>
              <w:left w:w="110" w:type="dxa"/>
              <w:bottom w:w="60" w:type="dxa"/>
              <w:right w:w="110" w:type="dxa"/>
            </w:tcMar>
          </w:tcPr>
          <w:p w14:paraId="3928E71E" w14:textId="77777777" w:rsidR="00304236" w:rsidRDefault="00000000">
            <w:r>
              <w:rPr>
                <w:sz w:val="18"/>
                <w:szCs w:val="18"/>
              </w:rPr>
              <w:t>Business plan loss ratios and credibility parameters</w:t>
            </w:r>
          </w:p>
        </w:tc>
        <w:tc>
          <w:tcPr>
            <w:tcW w:w="3000" w:type="dxa"/>
            <w:tcMar>
              <w:top w:w="60" w:type="dxa"/>
              <w:left w:w="110" w:type="dxa"/>
              <w:bottom w:w="60" w:type="dxa"/>
              <w:right w:w="110" w:type="dxa"/>
            </w:tcMar>
          </w:tcPr>
          <w:p w14:paraId="71372ED4" w14:textId="77777777" w:rsidR="00304236" w:rsidRDefault="00000000">
            <w:r>
              <w:rPr>
                <w:sz w:val="18"/>
                <w:szCs w:val="18"/>
              </w:rPr>
              <w:t>2026 business plan approved by the Board</w:t>
            </w:r>
          </w:p>
        </w:tc>
      </w:tr>
      <w:tr w:rsidR="00304236" w14:paraId="54DA462C" w14:textId="77777777">
        <w:tc>
          <w:tcPr>
            <w:tcW w:w="2100" w:type="dxa"/>
            <w:shd w:val="clear" w:color="auto" w:fill="F2F5FA"/>
            <w:tcMar>
              <w:top w:w="60" w:type="dxa"/>
              <w:left w:w="110" w:type="dxa"/>
              <w:bottom w:w="60" w:type="dxa"/>
              <w:right w:w="110" w:type="dxa"/>
            </w:tcMar>
          </w:tcPr>
          <w:p w14:paraId="1380DDDA" w14:textId="77777777" w:rsidR="00304236" w:rsidRDefault="00000000">
            <w:r>
              <w:rPr>
                <w:sz w:val="18"/>
                <w:szCs w:val="18"/>
              </w:rPr>
              <w:t>8</w:t>
            </w:r>
          </w:p>
        </w:tc>
        <w:tc>
          <w:tcPr>
            <w:tcW w:w="4600" w:type="dxa"/>
            <w:shd w:val="clear" w:color="auto" w:fill="F2F5FA"/>
            <w:tcMar>
              <w:top w:w="60" w:type="dxa"/>
              <w:left w:w="110" w:type="dxa"/>
              <w:bottom w:w="60" w:type="dxa"/>
              <w:right w:w="110" w:type="dxa"/>
            </w:tcMar>
          </w:tcPr>
          <w:p w14:paraId="51CBADAA" w14:textId="77777777" w:rsidR="00304236" w:rsidRDefault="00000000">
            <w:r>
              <w:rPr>
                <w:sz w:val="18"/>
                <w:szCs w:val="18"/>
              </w:rPr>
              <w:t>Extension scenario parameters (tail factor, tail lag, inflation shock)</w:t>
            </w:r>
          </w:p>
        </w:tc>
        <w:tc>
          <w:tcPr>
            <w:tcW w:w="3000" w:type="dxa"/>
            <w:shd w:val="clear" w:color="auto" w:fill="F2F5FA"/>
            <w:tcMar>
              <w:top w:w="60" w:type="dxa"/>
              <w:left w:w="110" w:type="dxa"/>
              <w:bottom w:w="60" w:type="dxa"/>
              <w:right w:w="110" w:type="dxa"/>
            </w:tcMar>
          </w:tcPr>
          <w:p w14:paraId="0DD238D0" w14:textId="77777777" w:rsidR="00304236" w:rsidRDefault="00000000">
            <w:r>
              <w:rPr>
                <w:sz w:val="18"/>
                <w:szCs w:val="18"/>
              </w:rPr>
              <w:t>Chief Actuary instruction, 12 February 2026</w:t>
            </w:r>
          </w:p>
        </w:tc>
      </w:tr>
      <w:tr w:rsidR="00304236" w14:paraId="43CA3466" w14:textId="77777777">
        <w:tc>
          <w:tcPr>
            <w:tcW w:w="2100" w:type="dxa"/>
            <w:tcMar>
              <w:top w:w="60" w:type="dxa"/>
              <w:left w:w="110" w:type="dxa"/>
              <w:bottom w:w="60" w:type="dxa"/>
              <w:right w:w="110" w:type="dxa"/>
            </w:tcMar>
          </w:tcPr>
          <w:p w14:paraId="54C2F22E" w14:textId="77777777" w:rsidR="00304236" w:rsidRDefault="00000000">
            <w:r>
              <w:rPr>
                <w:sz w:val="18"/>
                <w:szCs w:val="18"/>
              </w:rPr>
              <w:t>9</w:t>
            </w:r>
          </w:p>
        </w:tc>
        <w:tc>
          <w:tcPr>
            <w:tcW w:w="4600" w:type="dxa"/>
            <w:tcMar>
              <w:top w:w="60" w:type="dxa"/>
              <w:left w:w="110" w:type="dxa"/>
              <w:bottom w:w="60" w:type="dxa"/>
              <w:right w:w="110" w:type="dxa"/>
            </w:tcMar>
          </w:tcPr>
          <w:p w14:paraId="55D1B3A3" w14:textId="77777777" w:rsidR="00304236" w:rsidRDefault="00000000">
            <w:r>
              <w:rPr>
                <w:sz w:val="18"/>
                <w:szCs w:val="18"/>
              </w:rPr>
              <w:t>Adverse Development Cover terms</w:t>
            </w:r>
          </w:p>
        </w:tc>
        <w:tc>
          <w:tcPr>
            <w:tcW w:w="3000" w:type="dxa"/>
            <w:tcMar>
              <w:top w:w="60" w:type="dxa"/>
              <w:left w:w="110" w:type="dxa"/>
              <w:bottom w:w="60" w:type="dxa"/>
              <w:right w:w="110" w:type="dxa"/>
            </w:tcMar>
          </w:tcPr>
          <w:p w14:paraId="68E567C1" w14:textId="77777777" w:rsidR="00304236" w:rsidRDefault="00000000">
            <w:r>
              <w:rPr>
                <w:sz w:val="18"/>
                <w:szCs w:val="18"/>
              </w:rPr>
              <w:t>Reinsurer quotation, 3 February 2026</w:t>
            </w:r>
          </w:p>
        </w:tc>
      </w:tr>
      <w:tr w:rsidR="00304236" w14:paraId="7B7F2505" w14:textId="77777777">
        <w:tc>
          <w:tcPr>
            <w:tcW w:w="2100" w:type="dxa"/>
            <w:shd w:val="clear" w:color="auto" w:fill="F2F5FA"/>
            <w:tcMar>
              <w:top w:w="60" w:type="dxa"/>
              <w:left w:w="110" w:type="dxa"/>
              <w:bottom w:w="60" w:type="dxa"/>
              <w:right w:w="110" w:type="dxa"/>
            </w:tcMar>
          </w:tcPr>
          <w:p w14:paraId="3F490C5D" w14:textId="77777777" w:rsidR="00304236" w:rsidRDefault="00000000">
            <w:r>
              <w:rPr>
                <w:sz w:val="18"/>
                <w:szCs w:val="18"/>
              </w:rPr>
              <w:t>10</w:t>
            </w:r>
          </w:p>
        </w:tc>
        <w:tc>
          <w:tcPr>
            <w:tcW w:w="4600" w:type="dxa"/>
            <w:shd w:val="clear" w:color="auto" w:fill="F2F5FA"/>
            <w:tcMar>
              <w:top w:w="60" w:type="dxa"/>
              <w:left w:w="110" w:type="dxa"/>
              <w:bottom w:w="60" w:type="dxa"/>
              <w:right w:w="110" w:type="dxa"/>
            </w:tcMar>
          </w:tcPr>
          <w:p w14:paraId="706C276B" w14:textId="77777777" w:rsidR="00304236" w:rsidRDefault="00000000">
            <w:r>
              <w:rPr>
                <w:sz w:val="18"/>
                <w:szCs w:val="18"/>
              </w:rPr>
              <w:t>Validation thresholds and modelling conventions</w:t>
            </w:r>
          </w:p>
        </w:tc>
        <w:tc>
          <w:tcPr>
            <w:tcW w:w="3000" w:type="dxa"/>
            <w:shd w:val="clear" w:color="auto" w:fill="F2F5FA"/>
            <w:tcMar>
              <w:top w:w="60" w:type="dxa"/>
              <w:left w:w="110" w:type="dxa"/>
              <w:bottom w:w="60" w:type="dxa"/>
              <w:right w:w="110" w:type="dxa"/>
            </w:tcMar>
          </w:tcPr>
          <w:p w14:paraId="003139B2" w14:textId="77777777" w:rsidR="00304236" w:rsidRDefault="00000000">
            <w:r>
              <w:rPr>
                <w:sz w:val="18"/>
                <w:szCs w:val="18"/>
              </w:rPr>
              <w:t>Set by the modelling team, documented in the Audit Trail</w:t>
            </w:r>
          </w:p>
        </w:tc>
      </w:tr>
    </w:tbl>
    <w:p w14:paraId="0C088472" w14:textId="77777777" w:rsidR="007320BE" w:rsidRDefault="007320BE">
      <w:pPr>
        <w:spacing w:after="200" w:line="270" w:lineRule="auto"/>
      </w:pPr>
    </w:p>
    <w:p w14:paraId="57BC3C55" w14:textId="493A960F" w:rsidR="00304236" w:rsidRDefault="00000000">
      <w:pPr>
        <w:spacing w:after="200" w:line="270" w:lineRule="auto"/>
      </w:pPr>
      <w:r>
        <w:t xml:space="preserve">Table 1 </w:t>
      </w:r>
      <w:r w:rsidR="00886081">
        <w:t>which contains c</w:t>
      </w:r>
      <w:r>
        <w:t>laims data extracted from operational systems</w:t>
      </w:r>
      <w:r w:rsidR="00886081">
        <w:t xml:space="preserve"> are known to contain defects and</w:t>
      </w:r>
      <w:r>
        <w:t xml:space="preserve"> cannot simply be assumed correct. Section 6 explains what was found and how it was corrected. Tables 6 to 9 </w:t>
      </w:r>
      <w:r w:rsidR="007320BE">
        <w:t xml:space="preserve">contain parameters that involve some </w:t>
      </w:r>
      <w:r>
        <w:t>judgements</w:t>
      </w:r>
      <w:r w:rsidR="007320BE">
        <w:t>.</w:t>
      </w:r>
      <w:r>
        <w:t xml:space="preserve"> They have been reviewed and are documented individually in the workbook, but by their nature they cannot be verified in the same way as a claims extract</w:t>
      </w:r>
      <w:r w:rsidR="00886081">
        <w:t>.</w:t>
      </w:r>
    </w:p>
    <w:p w14:paraId="6B637958" w14:textId="77777777" w:rsidR="00304236" w:rsidRDefault="00000000">
      <w:pPr>
        <w:pStyle w:val="Heading1"/>
        <w:spacing w:before="320" w:after="150"/>
      </w:pPr>
      <w:r>
        <w:rPr>
          <w:b/>
          <w:bCs/>
          <w:color w:val="1F3864"/>
          <w:sz w:val="27"/>
          <w:szCs w:val="27"/>
        </w:rPr>
        <w:t>4. Assumptions</w:t>
      </w:r>
    </w:p>
    <w:p w14:paraId="62331775" w14:textId="77777777" w:rsidR="00304236" w:rsidRDefault="00000000">
      <w:pPr>
        <w:spacing w:after="110" w:line="270" w:lineRule="auto"/>
      </w:pPr>
      <w:r>
        <w:t>The analysis rests on the following assumptions, in addition to those noted against individual parameters in Section 3.</w:t>
      </w:r>
    </w:p>
    <w:p w14:paraId="5D17D252" w14:textId="7849541A" w:rsidR="00304236" w:rsidRDefault="00000000">
      <w:pPr>
        <w:pStyle w:val="ListParagraph"/>
        <w:numPr>
          <w:ilvl w:val="0"/>
          <w:numId w:val="2"/>
        </w:numPr>
        <w:spacing w:after="70" w:line="270" w:lineRule="auto"/>
      </w:pPr>
      <w:r>
        <w:t>The account carries no salvage or subrogation recoveries, confirmed with the claims manager. This allows the model to treat a fall in cumulative paid claims as a data error</w:t>
      </w:r>
      <w:r w:rsidR="00146762">
        <w:t>.</w:t>
      </w:r>
    </w:p>
    <w:p w14:paraId="75EC866D" w14:textId="77777777" w:rsidR="00304236" w:rsidRDefault="00000000">
      <w:pPr>
        <w:pStyle w:val="ListParagraph"/>
        <w:numPr>
          <w:ilvl w:val="0"/>
          <w:numId w:val="2"/>
        </w:numPr>
        <w:spacing w:after="70" w:line="270" w:lineRule="auto"/>
      </w:pPr>
      <w:r>
        <w:t>Rate changes are assumed to take effect on 1 January of the accident year in which they are shown. A more exact treatment would allow for policies being written evenly through the year.</w:t>
      </w:r>
    </w:p>
    <w:p w14:paraId="0DEE005B" w14:textId="77777777" w:rsidR="00304236" w:rsidRDefault="00000000">
      <w:pPr>
        <w:pStyle w:val="ListParagraph"/>
        <w:numPr>
          <w:ilvl w:val="0"/>
          <w:numId w:val="2"/>
        </w:numPr>
        <w:spacing w:after="70" w:line="270" w:lineRule="auto"/>
      </w:pPr>
      <w:r>
        <w:t>The three oldest accident years are mature enough to give a usable indication of the account’s own experience. The three most recent years are excluded from that indication because too little of them has emerged.</w:t>
      </w:r>
    </w:p>
    <w:p w14:paraId="7E90672A" w14:textId="77777777" w:rsidR="00304236" w:rsidRDefault="00000000">
      <w:pPr>
        <w:pStyle w:val="ListParagraph"/>
        <w:numPr>
          <w:ilvl w:val="0"/>
          <w:numId w:val="2"/>
        </w:numPr>
        <w:spacing w:after="70" w:line="270" w:lineRule="auto"/>
      </w:pPr>
      <w:r>
        <w:t>Claims payments are assumed to fall at the end of each development period, a simplifying convention used when estimating how far in the future the remaining payments on a claim will fall.</w:t>
      </w:r>
    </w:p>
    <w:p w14:paraId="04D2BABC" w14:textId="77777777" w:rsidR="00304236" w:rsidRDefault="00000000">
      <w:pPr>
        <w:pStyle w:val="ListParagraph"/>
        <w:numPr>
          <w:ilvl w:val="0"/>
          <w:numId w:val="2"/>
        </w:numPr>
        <w:spacing w:after="70" w:line="270" w:lineRule="auto"/>
      </w:pPr>
      <w:r>
        <w:t>Development beyond 72 months is assumed to follow a tail factor benchmarked against market data, since only 72 months of the account’s own development is observed.</w:t>
      </w:r>
    </w:p>
    <w:p w14:paraId="2352772B" w14:textId="77777777" w:rsidR="00304236" w:rsidRDefault="00000000">
      <w:pPr>
        <w:pStyle w:val="ListParagraph"/>
        <w:numPr>
          <w:ilvl w:val="0"/>
          <w:numId w:val="2"/>
        </w:numPr>
        <w:spacing w:after="70" w:line="270" w:lineRule="auto"/>
      </w:pPr>
      <w:r>
        <w:lastRenderedPageBreak/>
        <w:t>The reinsurer is assumed fully able to pay valid claims under the Adverse Development Cover. No allowance is made for the reinsurer’s own credit risk.</w:t>
      </w:r>
    </w:p>
    <w:p w14:paraId="2DB2814B" w14:textId="77777777" w:rsidR="00304236" w:rsidRDefault="00000000">
      <w:pPr>
        <w:spacing w:after="200" w:line="270" w:lineRule="auto"/>
      </w:pPr>
      <w:r>
        <w:t>A fuller list of assumptions, including those specific to individual calculation steps, is set out in the Audit Trail worksheet of the accompanying model.</w:t>
      </w:r>
    </w:p>
    <w:p w14:paraId="3416D777" w14:textId="77777777" w:rsidR="00304236" w:rsidRDefault="00000000">
      <w:pPr>
        <w:pStyle w:val="Heading1"/>
        <w:spacing w:before="320" w:after="150"/>
      </w:pPr>
      <w:r>
        <w:rPr>
          <w:b/>
          <w:bCs/>
          <w:color w:val="1F3864"/>
          <w:sz w:val="27"/>
          <w:szCs w:val="27"/>
        </w:rPr>
        <w:t>5. Approach to each task</w:t>
      </w:r>
    </w:p>
    <w:p w14:paraId="6B54B310" w14:textId="4377DDC9" w:rsidR="00304236" w:rsidRDefault="00000000">
      <w:pPr>
        <w:spacing w:after="110" w:line="270" w:lineRule="auto"/>
      </w:pPr>
      <w:r>
        <w:t>This section explains</w:t>
      </w:r>
      <w:r w:rsidR="00AF6288">
        <w:t xml:space="preserve"> </w:t>
      </w:r>
      <w:r>
        <w:t xml:space="preserve">how each stage of the model works. It follows </w:t>
      </w:r>
      <w:r w:rsidR="00146762">
        <w:t xml:space="preserve">roughly </w:t>
      </w:r>
      <w:r>
        <w:t>the order of the calculation</w:t>
      </w:r>
      <w:r w:rsidR="00146762">
        <w:t>.</w:t>
      </w:r>
    </w:p>
    <w:p w14:paraId="2B666DEA" w14:textId="77777777" w:rsidR="00304236" w:rsidRDefault="00000000">
      <w:pPr>
        <w:pStyle w:val="Heading2"/>
        <w:spacing w:before="220" w:after="110"/>
      </w:pPr>
      <w:r>
        <w:rPr>
          <w:b/>
          <w:bCs/>
          <w:color w:val="1F3864"/>
          <w:sz w:val="23"/>
          <w:szCs w:val="23"/>
        </w:rPr>
        <w:t>5.1 Validating the data</w:t>
      </w:r>
    </w:p>
    <w:p w14:paraId="139382A7" w14:textId="77777777" w:rsidR="00304236" w:rsidRDefault="00000000">
      <w:pPr>
        <w:spacing w:after="110" w:line="270" w:lineRule="auto"/>
      </w:pPr>
      <w:r>
        <w:t>Before any calculation was performed, the paid claims data and the rate change history were checked against a set of explicit rules. Cells that failed a rule, for example a missing entry, a value entered as text, or a figure that implied claims had gone backwards, were flagged and then corrected using a consistent, stated method. This is discussed further in Section 6.</w:t>
      </w:r>
    </w:p>
    <w:p w14:paraId="1D07EF93" w14:textId="77777777" w:rsidR="00304236" w:rsidRDefault="00000000">
      <w:pPr>
        <w:pStyle w:val="Heading2"/>
        <w:spacing w:before="220" w:after="110"/>
      </w:pPr>
      <w:r>
        <w:rPr>
          <w:b/>
          <w:bCs/>
          <w:color w:val="1F3864"/>
          <w:sz w:val="23"/>
          <w:szCs w:val="23"/>
        </w:rPr>
        <w:t>5.2 Development factors</w:t>
      </w:r>
    </w:p>
    <w:p w14:paraId="547EA900" w14:textId="77777777" w:rsidR="00304236" w:rsidRDefault="00000000">
      <w:pPr>
        <w:spacing w:after="110" w:line="270" w:lineRule="auto"/>
      </w:pPr>
      <w:r>
        <w:t>Insurance claims are not usually paid in full straight away. A car accident, for example, might have its repair cost paid within a few months, but a bodily injury claim from the same accident can take years to settle. The model measures, from the six years of data available, what proportion of an accident year’s claims are typically still unpaid at each stage after the year begins. This proportion is used to gross up the amount paid so far into an estimate of the final, ultimate cost of all claims from that year.</w:t>
      </w:r>
    </w:p>
    <w:p w14:paraId="1A265399" w14:textId="77777777" w:rsidR="00304236" w:rsidRDefault="00000000">
      <w:pPr>
        <w:pStyle w:val="Heading2"/>
        <w:spacing w:before="220" w:after="110"/>
      </w:pPr>
      <w:r>
        <w:rPr>
          <w:b/>
          <w:bCs/>
          <w:color w:val="1F3864"/>
          <w:sz w:val="23"/>
          <w:szCs w:val="23"/>
        </w:rPr>
        <w:t>5.3 The three reserving methods</w:t>
      </w:r>
    </w:p>
    <w:p w14:paraId="4B61CBF4" w14:textId="3D37DE60" w:rsidR="00304236" w:rsidRDefault="00000000">
      <w:pPr>
        <w:spacing w:after="110" w:line="270" w:lineRule="auto"/>
      </w:pPr>
      <w:r>
        <w:t>Three different methods are used to estimate ultimate claims, because each has</w:t>
      </w:r>
      <w:r w:rsidR="00834436">
        <w:t xml:space="preserve"> </w:t>
      </w:r>
      <w:r>
        <w:t>different strength</w:t>
      </w:r>
      <w:r w:rsidR="00834436">
        <w:t>s</w:t>
      </w:r>
      <w:r>
        <w:t xml:space="preserve"> an</w:t>
      </w:r>
      <w:r w:rsidR="00834436">
        <w:t xml:space="preserve">d </w:t>
      </w:r>
      <w:r>
        <w:t>weakness</w:t>
      </w:r>
      <w:r w:rsidR="00834436">
        <w:t>es</w:t>
      </w:r>
      <w:r>
        <w:t>, and comparing them gives a more complete picture than relying on just one.</w:t>
      </w:r>
    </w:p>
    <w:p w14:paraId="01DA3266" w14:textId="1B62389A" w:rsidR="00304236" w:rsidRDefault="00000000">
      <w:pPr>
        <w:pStyle w:val="ListParagraph"/>
        <w:numPr>
          <w:ilvl w:val="0"/>
          <w:numId w:val="2"/>
        </w:numPr>
        <w:spacing w:after="70" w:line="270" w:lineRule="auto"/>
      </w:pPr>
      <w:r>
        <w:rPr>
          <w:b/>
          <w:bCs/>
        </w:rPr>
        <w:t xml:space="preserve">Chain Ladder. </w:t>
      </w:r>
      <w:r>
        <w:t xml:space="preserve">This method looks only at how claims have </w:t>
      </w:r>
      <w:proofErr w:type="gramStart"/>
      <w:r>
        <w:t>actually developed</w:t>
      </w:r>
      <w:proofErr w:type="gramEnd"/>
      <w:r>
        <w:t xml:space="preserve"> so far, and projects that pattern forward. It uses no other information. It works well once a year is </w:t>
      </w:r>
      <w:proofErr w:type="gramStart"/>
      <w:r>
        <w:t>fairly mature</w:t>
      </w:r>
      <w:proofErr w:type="gramEnd"/>
      <w:r>
        <w:t xml:space="preserve"> but </w:t>
      </w:r>
      <w:r w:rsidR="000B4895">
        <w:t xml:space="preserve">can be volatile </w:t>
      </w:r>
      <w:r>
        <w:t>for a very recent accident year, where little has been paid yet</w:t>
      </w:r>
      <w:r w:rsidR="000B4895">
        <w:t>.</w:t>
      </w:r>
      <w:r>
        <w:t xml:space="preserve"> </w:t>
      </w:r>
      <w:r w:rsidR="000B4895">
        <w:t xml:space="preserve">A </w:t>
      </w:r>
      <w:r>
        <w:t>small movement in the data can</w:t>
      </w:r>
      <w:r w:rsidR="000B4895">
        <w:t xml:space="preserve"> amplify </w:t>
      </w:r>
      <w:r>
        <w:t xml:space="preserve">into a large swing in the final </w:t>
      </w:r>
      <w:r w:rsidR="000B4895">
        <w:t>estimated reserve</w:t>
      </w:r>
      <w:r>
        <w:t>.</w:t>
      </w:r>
    </w:p>
    <w:p w14:paraId="2ACC35F8" w14:textId="25F3D137" w:rsidR="00304236" w:rsidRDefault="00000000">
      <w:pPr>
        <w:pStyle w:val="ListParagraph"/>
        <w:numPr>
          <w:ilvl w:val="0"/>
          <w:numId w:val="2"/>
        </w:numPr>
        <w:spacing w:after="70" w:line="270" w:lineRule="auto"/>
      </w:pPr>
      <w:r>
        <w:rPr>
          <w:b/>
          <w:bCs/>
        </w:rPr>
        <w:t xml:space="preserve">Expected Claims. </w:t>
      </w:r>
      <w:r>
        <w:t xml:space="preserve">This method ignores claims paid to date </w:t>
      </w:r>
      <w:r w:rsidR="00830AC8">
        <w:t>entirely and</w:t>
      </w:r>
      <w:r>
        <w:t xml:space="preserve"> instead estimates the ultimate cost as a percentage of premium, using an assumed loss ratio (the proportion of premium expected to be paid out in claims). It gives a stable answer for a very recent year, but it cannot learn from experience. If a year turns out much worse, or much better, than expected, this method will not pick that up.</w:t>
      </w:r>
    </w:p>
    <w:p w14:paraId="773F2670" w14:textId="2BD1C5E2" w:rsidR="00304236" w:rsidRDefault="00000000">
      <w:pPr>
        <w:pStyle w:val="ListParagraph"/>
        <w:numPr>
          <w:ilvl w:val="0"/>
          <w:numId w:val="2"/>
        </w:numPr>
        <w:spacing w:after="70" w:line="270" w:lineRule="auto"/>
      </w:pPr>
      <w:r>
        <w:rPr>
          <w:b/>
          <w:bCs/>
        </w:rPr>
        <w:t xml:space="preserve">Bornhuetter-Ferguson. </w:t>
      </w:r>
      <w:r>
        <w:t>This method blends the two. It accepts the claims paid so far as fact</w:t>
      </w:r>
      <w:r w:rsidR="00A23E3D">
        <w:t xml:space="preserve"> </w:t>
      </w:r>
      <w:r>
        <w:t>and applies the premium-based estimate only to the part of the claim that has not yet emerged. For a fully developed year it behaves like Chain Ladder. For a very recent year it behaves like Expected Claims. It is widely used in general insurance reserving precisely because it avoids the specific weakness of each of the other two methods.</w:t>
      </w:r>
    </w:p>
    <w:p w14:paraId="4E5F6BAD" w14:textId="38BBAC0D" w:rsidR="00F16654" w:rsidRDefault="00000000">
      <w:pPr>
        <w:spacing w:after="110" w:line="270" w:lineRule="auto"/>
      </w:pPr>
      <w:r>
        <w:t xml:space="preserve">The premium-based loss ratio that Expected Claims and Bornhuetter-Ferguson rely on is called the a priori loss ratio. It is not simply </w:t>
      </w:r>
      <w:r w:rsidR="00FF2FB6">
        <w:t>assumed but rather</w:t>
      </w:r>
      <w:r>
        <w:t xml:space="preserve"> is built from the account’s own historical results, adjusted for past rate changes</w:t>
      </w:r>
      <w:r w:rsidR="00F16654">
        <w:t xml:space="preserve"> </w:t>
      </w:r>
      <w:r>
        <w:t>and claims inflation</w:t>
      </w:r>
      <w:r w:rsidR="00F16654">
        <w:t xml:space="preserve"> using on-level and loss trend factors respectively</w:t>
      </w:r>
      <w:r>
        <w:t xml:space="preserve"> so that old and new years are comparable, then blended with the loss ratio in the Board-approved business plan</w:t>
      </w:r>
      <w:r w:rsidR="00405A38">
        <w:t>, using</w:t>
      </w:r>
      <w:r>
        <w:t xml:space="preserve"> a statistical technique called credibility weighting</w:t>
      </w:r>
      <w:r w:rsidR="00405A38">
        <w:t>.</w:t>
      </w:r>
      <w:r>
        <w:t xml:space="preserve"> </w:t>
      </w:r>
      <w:r w:rsidR="00F16654">
        <w:br/>
      </w:r>
      <w:r w:rsidR="00F16654" w:rsidRPr="00F16654">
        <w:t>The on-level factor restates historical premium to the rate level charged today. Northgate Mutual has changed its rates several times over the six years of data</w:t>
      </w:r>
      <w:r w:rsidR="00405A38">
        <w:t xml:space="preserve">, </w:t>
      </w:r>
      <w:r w:rsidR="00F16654" w:rsidRPr="00F16654">
        <w:t xml:space="preserve">so a pound of premium earned in 2020 does not buy the same cover as </w:t>
      </w:r>
      <w:r w:rsidR="00691415">
        <w:t xml:space="preserve">that </w:t>
      </w:r>
      <w:r w:rsidR="00F16654" w:rsidRPr="00F16654">
        <w:t>earned in 2025. The on-level factor corrects for this, so that older and newer accident years can be compared on equal terms</w:t>
      </w:r>
      <w:r w:rsidR="00405A38">
        <w:t>.</w:t>
      </w:r>
      <w:r w:rsidR="00405A38">
        <w:br/>
      </w:r>
      <w:r w:rsidR="00F16654" w:rsidRPr="00F16654">
        <w:t>The loss trend does the equivalent job for claims. It restates historical claims costs to today's price level, using an assumed rate of claims inflation, so that a claim settled in 2020 is compared against what an equivalent claim would cost to settle now.</w:t>
      </w:r>
      <w:r w:rsidR="00405A38">
        <w:br/>
      </w:r>
      <w:r w:rsidR="00405A38">
        <w:lastRenderedPageBreak/>
        <w:t>The credibility weighting gives more weight to the account’s own experience where there are enough claims to make that experience reliable, and more weight to the business plan where there are not.</w:t>
      </w:r>
    </w:p>
    <w:p w14:paraId="77373E78" w14:textId="77777777" w:rsidR="00304236" w:rsidRDefault="00000000">
      <w:pPr>
        <w:pStyle w:val="Heading2"/>
        <w:spacing w:before="220" w:after="110"/>
      </w:pPr>
      <w:r>
        <w:rPr>
          <w:b/>
          <w:bCs/>
          <w:color w:val="1F3864"/>
          <w:sz w:val="23"/>
          <w:szCs w:val="23"/>
        </w:rPr>
        <w:t>5.4 The extension scenario</w:t>
      </w:r>
    </w:p>
    <w:p w14:paraId="1D6485EB" w14:textId="77777777" w:rsidR="00304236" w:rsidRDefault="00000000">
      <w:pPr>
        <w:spacing w:after="110" w:line="270" w:lineRule="auto"/>
      </w:pPr>
      <w:r>
        <w:t>The Chief Actuary’s instruction is applied in two parts. First, a tail factor recognises that some claims will still be open even after the 72 months of development observed in the data, based on typical market experience for this type of account. Second, an additional rate of claims inflation is applied to whatever is still unpaid, weighted by how far in the future that payment is expected to fall. Both adjustments are applied to all three reserving methods, so the comparison between methods remains on a like-for-like basis under stress.</w:t>
      </w:r>
    </w:p>
    <w:p w14:paraId="347259D2" w14:textId="77777777" w:rsidR="00304236" w:rsidRDefault="00000000">
      <w:pPr>
        <w:pStyle w:val="Heading2"/>
        <w:spacing w:before="220" w:after="110"/>
      </w:pPr>
      <w:r>
        <w:rPr>
          <w:b/>
          <w:bCs/>
          <w:color w:val="1F3864"/>
          <w:sz w:val="23"/>
          <w:szCs w:val="23"/>
        </w:rPr>
        <w:t>5.5 The Adverse Development Cover</w:t>
      </w:r>
    </w:p>
    <w:p w14:paraId="21EC91C7" w14:textId="52756E8C" w:rsidR="00304236" w:rsidRDefault="00000000">
      <w:pPr>
        <w:spacing w:after="110" w:line="270" w:lineRule="auto"/>
      </w:pPr>
      <w:r>
        <w:t xml:space="preserve">An Adverse Development Cover is a form of reinsurance. Rather than covering individual claims, it protects the company if its overall reserve, once booked, later proves to have been too low. If the reserve </w:t>
      </w:r>
      <w:r w:rsidR="000033E1">
        <w:t>must</w:t>
      </w:r>
      <w:r>
        <w:t xml:space="preserve"> be increased in future, the reinsurer will pay some or </w:t>
      </w:r>
      <w:proofErr w:type="gramStart"/>
      <w:r>
        <w:t>all of</w:t>
      </w:r>
      <w:proofErr w:type="gramEnd"/>
      <w:r>
        <w:t xml:space="preserve"> that increase, in exchange for a premium paid up front. Section 11 explains this in more detail and sets out the specific terms offered.</w:t>
      </w:r>
    </w:p>
    <w:p w14:paraId="0BA13386" w14:textId="77777777" w:rsidR="00304236" w:rsidRDefault="00000000">
      <w:pPr>
        <w:pStyle w:val="Heading1"/>
        <w:spacing w:before="320" w:after="150"/>
      </w:pPr>
      <w:r>
        <w:rPr>
          <w:b/>
          <w:bCs/>
          <w:color w:val="1F3864"/>
          <w:sz w:val="27"/>
          <w:szCs w:val="27"/>
        </w:rPr>
        <w:t>6. Data validation</w:t>
      </w:r>
    </w:p>
    <w:p w14:paraId="42423FF2" w14:textId="7736B927" w:rsidR="00304236" w:rsidRDefault="00000000">
      <w:pPr>
        <w:spacing w:after="110" w:line="270" w:lineRule="auto"/>
      </w:pPr>
      <w:r>
        <w:t>The paid claims data was checked against five explicit rules, described in full in the Audit Trail. In short, every cell had to contain a number, cumulative paid claims could not fall from one period to the next, and a link ratio far outside a plausible range was treated as a likely keying error. Four defects were found</w:t>
      </w:r>
      <w:r w:rsidR="00A41266">
        <w:t>:</w:t>
      </w:r>
    </w:p>
    <w:p w14:paraId="029BFD76" w14:textId="77777777" w:rsidR="00304236" w:rsidRDefault="00000000">
      <w:pPr>
        <w:pStyle w:val="ListParagraph"/>
        <w:numPr>
          <w:ilvl w:val="0"/>
          <w:numId w:val="2"/>
        </w:numPr>
        <w:spacing w:after="70" w:line="270" w:lineRule="auto"/>
      </w:pPr>
      <w:r>
        <w:t>A text entry where a number was expected, in Group A, accident year 2023.</w:t>
      </w:r>
    </w:p>
    <w:p w14:paraId="3557437A" w14:textId="77777777" w:rsidR="00304236" w:rsidRDefault="00000000">
      <w:pPr>
        <w:pStyle w:val="ListParagraph"/>
        <w:numPr>
          <w:ilvl w:val="0"/>
          <w:numId w:val="2"/>
        </w:numPr>
        <w:spacing w:after="70" w:line="270" w:lineRule="auto"/>
      </w:pPr>
      <w:r>
        <w:t>A fall in cumulative paid claims, in Group A, accident year 2022, which is not possible on an account with no salvage or subrogation recoveries.</w:t>
      </w:r>
    </w:p>
    <w:p w14:paraId="6FC46E38" w14:textId="77777777" w:rsidR="00304236" w:rsidRDefault="00000000">
      <w:pPr>
        <w:pStyle w:val="ListParagraph"/>
        <w:numPr>
          <w:ilvl w:val="0"/>
          <w:numId w:val="2"/>
        </w:numPr>
        <w:spacing w:after="70" w:line="270" w:lineRule="auto"/>
      </w:pPr>
      <w:r>
        <w:t>A missing entry, in Group B, accident year 2021.</w:t>
      </w:r>
    </w:p>
    <w:p w14:paraId="5DC55573" w14:textId="77777777" w:rsidR="00304236" w:rsidRDefault="00000000">
      <w:pPr>
        <w:pStyle w:val="ListParagraph"/>
        <w:numPr>
          <w:ilvl w:val="0"/>
          <w:numId w:val="2"/>
        </w:numPr>
        <w:spacing w:after="70" w:line="270" w:lineRule="auto"/>
      </w:pPr>
      <w:r>
        <w:t>A figure ten times too large, in Group C, accident year 2020, most likely a keying error. This defect also caused the following cell to fail the validation rules, since the following cell was then being compared against an already-corrupted number.</w:t>
      </w:r>
    </w:p>
    <w:p w14:paraId="766C0766" w14:textId="77777777" w:rsidR="00304236" w:rsidRDefault="00000000">
      <w:pPr>
        <w:spacing w:after="110" w:line="270" w:lineRule="auto"/>
      </w:pPr>
      <w:r>
        <w:t>Each flagged cell was replaced using the typical development pattern observed in the clean data for that rating group, rather than being deleted or left blank. A similar check was applied to the rate change history. One entry, a rate change of 100% recorded for Group C in 2024, was found to be a decimal point error. The rate monitoring return confirms the correct figure is 10.0%. This was not a minor correction. Left uncorrected, it would have understated the on-level premium used to derive Group C’s a priori loss ratio for every year before 2024, which would in turn have understated the expected loss ratio feeding into two of the three reserving methods.</w:t>
      </w:r>
    </w:p>
    <w:p w14:paraId="2964C01A" w14:textId="77777777" w:rsidR="00304236" w:rsidRDefault="00000000">
      <w:pPr>
        <w:pStyle w:val="Heading1"/>
        <w:spacing w:before="320" w:after="150"/>
      </w:pPr>
      <w:r>
        <w:rPr>
          <w:b/>
          <w:bCs/>
          <w:color w:val="1F3864"/>
          <w:sz w:val="27"/>
          <w:szCs w:val="27"/>
        </w:rPr>
        <w:t>7. Comparison of the base scenarios</w:t>
      </w:r>
    </w:p>
    <w:p w14:paraId="192A7C97" w14:textId="77777777" w:rsidR="00304236" w:rsidRDefault="00000000">
      <w:pPr>
        <w:spacing w:after="110" w:line="270" w:lineRule="auto"/>
      </w:pPr>
      <w:r>
        <w:t>The table below shows the unpaid claim liability, referred to throughout as the reserve, by rating group and reserving method, before the Chief Actuary’s adverse scenario is applied.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304236" w14:paraId="3D69FEF5" w14:textId="77777777">
        <w:trPr>
          <w:tblHeader/>
        </w:trPr>
        <w:tc>
          <w:tcPr>
            <w:tcW w:w="2400" w:type="dxa"/>
            <w:shd w:val="clear" w:color="auto" w:fill="1F3864"/>
            <w:tcMar>
              <w:top w:w="60" w:type="dxa"/>
              <w:left w:w="110" w:type="dxa"/>
              <w:bottom w:w="60" w:type="dxa"/>
              <w:right w:w="110" w:type="dxa"/>
            </w:tcMar>
          </w:tcPr>
          <w:p w14:paraId="0DFA69DA" w14:textId="77777777" w:rsidR="00304236" w:rsidRDefault="00000000">
            <w:r>
              <w:rPr>
                <w:b/>
                <w:bCs/>
                <w:color w:val="FFFFFF"/>
                <w:sz w:val="18"/>
                <w:szCs w:val="18"/>
              </w:rPr>
              <w:t>Rating group</w:t>
            </w:r>
          </w:p>
        </w:tc>
        <w:tc>
          <w:tcPr>
            <w:tcW w:w="2400" w:type="dxa"/>
            <w:shd w:val="clear" w:color="auto" w:fill="1F3864"/>
            <w:tcMar>
              <w:top w:w="60" w:type="dxa"/>
              <w:left w:w="110" w:type="dxa"/>
              <w:bottom w:w="60" w:type="dxa"/>
              <w:right w:w="110" w:type="dxa"/>
            </w:tcMar>
          </w:tcPr>
          <w:p w14:paraId="5ABB7E20" w14:textId="77777777" w:rsidR="00304236" w:rsidRDefault="00000000">
            <w:r>
              <w:rPr>
                <w:b/>
                <w:bCs/>
                <w:color w:val="FFFFFF"/>
                <w:sz w:val="18"/>
                <w:szCs w:val="18"/>
              </w:rPr>
              <w:t>Chain Ladder (£000)</w:t>
            </w:r>
          </w:p>
        </w:tc>
        <w:tc>
          <w:tcPr>
            <w:tcW w:w="2400" w:type="dxa"/>
            <w:shd w:val="clear" w:color="auto" w:fill="1F3864"/>
            <w:tcMar>
              <w:top w:w="60" w:type="dxa"/>
              <w:left w:w="110" w:type="dxa"/>
              <w:bottom w:w="60" w:type="dxa"/>
              <w:right w:w="110" w:type="dxa"/>
            </w:tcMar>
          </w:tcPr>
          <w:p w14:paraId="65E278B9" w14:textId="77777777" w:rsidR="00304236" w:rsidRDefault="00000000">
            <w:r>
              <w:rPr>
                <w:b/>
                <w:bCs/>
                <w:color w:val="FFFFFF"/>
                <w:sz w:val="18"/>
                <w:szCs w:val="18"/>
              </w:rPr>
              <w:t>Expected Claims (£000)</w:t>
            </w:r>
          </w:p>
        </w:tc>
        <w:tc>
          <w:tcPr>
            <w:tcW w:w="2400" w:type="dxa"/>
            <w:shd w:val="clear" w:color="auto" w:fill="1F3864"/>
            <w:tcMar>
              <w:top w:w="60" w:type="dxa"/>
              <w:left w:w="110" w:type="dxa"/>
              <w:bottom w:w="60" w:type="dxa"/>
              <w:right w:w="110" w:type="dxa"/>
            </w:tcMar>
          </w:tcPr>
          <w:p w14:paraId="3C3E4F03" w14:textId="77777777" w:rsidR="00304236" w:rsidRDefault="00000000">
            <w:r>
              <w:rPr>
                <w:b/>
                <w:bCs/>
                <w:color w:val="FFFFFF"/>
                <w:sz w:val="18"/>
                <w:szCs w:val="18"/>
              </w:rPr>
              <w:t>Bornhuetter-Ferguson (£000)</w:t>
            </w:r>
          </w:p>
        </w:tc>
      </w:tr>
      <w:tr w:rsidR="00304236" w14:paraId="4503468F" w14:textId="77777777">
        <w:tc>
          <w:tcPr>
            <w:tcW w:w="2400" w:type="dxa"/>
            <w:tcMar>
              <w:top w:w="60" w:type="dxa"/>
              <w:left w:w="110" w:type="dxa"/>
              <w:bottom w:w="60" w:type="dxa"/>
              <w:right w:w="110" w:type="dxa"/>
            </w:tcMar>
          </w:tcPr>
          <w:p w14:paraId="2666C0D1" w14:textId="77777777" w:rsidR="00304236" w:rsidRDefault="00000000">
            <w:r>
              <w:rPr>
                <w:b/>
                <w:bCs/>
                <w:sz w:val="18"/>
                <w:szCs w:val="18"/>
              </w:rPr>
              <w:t>Group A</w:t>
            </w:r>
          </w:p>
        </w:tc>
        <w:tc>
          <w:tcPr>
            <w:tcW w:w="2400" w:type="dxa"/>
            <w:tcMar>
              <w:top w:w="60" w:type="dxa"/>
              <w:left w:w="110" w:type="dxa"/>
              <w:bottom w:w="60" w:type="dxa"/>
              <w:right w:w="110" w:type="dxa"/>
            </w:tcMar>
          </w:tcPr>
          <w:p w14:paraId="4EFFD429" w14:textId="77777777" w:rsidR="00304236" w:rsidRDefault="00000000">
            <w:r>
              <w:rPr>
                <w:sz w:val="18"/>
                <w:szCs w:val="18"/>
              </w:rPr>
              <w:t>3,967</w:t>
            </w:r>
          </w:p>
        </w:tc>
        <w:tc>
          <w:tcPr>
            <w:tcW w:w="2400" w:type="dxa"/>
            <w:tcMar>
              <w:top w:w="60" w:type="dxa"/>
              <w:left w:w="110" w:type="dxa"/>
              <w:bottom w:w="60" w:type="dxa"/>
              <w:right w:w="110" w:type="dxa"/>
            </w:tcMar>
          </w:tcPr>
          <w:p w14:paraId="477B189D" w14:textId="77777777" w:rsidR="00304236" w:rsidRDefault="00000000">
            <w:r>
              <w:rPr>
                <w:sz w:val="18"/>
                <w:szCs w:val="18"/>
              </w:rPr>
              <w:t>3,893</w:t>
            </w:r>
          </w:p>
        </w:tc>
        <w:tc>
          <w:tcPr>
            <w:tcW w:w="2400" w:type="dxa"/>
            <w:tcMar>
              <w:top w:w="60" w:type="dxa"/>
              <w:left w:w="110" w:type="dxa"/>
              <w:bottom w:w="60" w:type="dxa"/>
              <w:right w:w="110" w:type="dxa"/>
            </w:tcMar>
          </w:tcPr>
          <w:p w14:paraId="586C1234" w14:textId="77777777" w:rsidR="00304236" w:rsidRDefault="00000000">
            <w:r>
              <w:rPr>
                <w:sz w:val="18"/>
                <w:szCs w:val="18"/>
              </w:rPr>
              <w:t>3,953</w:t>
            </w:r>
          </w:p>
        </w:tc>
      </w:tr>
      <w:tr w:rsidR="00304236" w14:paraId="44C0A860" w14:textId="77777777">
        <w:tc>
          <w:tcPr>
            <w:tcW w:w="2400" w:type="dxa"/>
            <w:shd w:val="clear" w:color="auto" w:fill="F2F5FA"/>
            <w:tcMar>
              <w:top w:w="60" w:type="dxa"/>
              <w:left w:w="110" w:type="dxa"/>
              <w:bottom w:w="60" w:type="dxa"/>
              <w:right w:w="110" w:type="dxa"/>
            </w:tcMar>
          </w:tcPr>
          <w:p w14:paraId="29B6A47B" w14:textId="77777777" w:rsidR="00304236" w:rsidRDefault="00000000">
            <w:r>
              <w:rPr>
                <w:b/>
                <w:bCs/>
                <w:sz w:val="18"/>
                <w:szCs w:val="18"/>
              </w:rPr>
              <w:t>Group B</w:t>
            </w:r>
          </w:p>
        </w:tc>
        <w:tc>
          <w:tcPr>
            <w:tcW w:w="2400" w:type="dxa"/>
            <w:shd w:val="clear" w:color="auto" w:fill="F2F5FA"/>
            <w:tcMar>
              <w:top w:w="60" w:type="dxa"/>
              <w:left w:w="110" w:type="dxa"/>
              <w:bottom w:w="60" w:type="dxa"/>
              <w:right w:w="110" w:type="dxa"/>
            </w:tcMar>
          </w:tcPr>
          <w:p w14:paraId="5ED0D5ED" w14:textId="77777777" w:rsidR="00304236" w:rsidRDefault="00000000">
            <w:r>
              <w:rPr>
                <w:sz w:val="18"/>
                <w:szCs w:val="18"/>
              </w:rPr>
              <w:t>3,478</w:t>
            </w:r>
          </w:p>
        </w:tc>
        <w:tc>
          <w:tcPr>
            <w:tcW w:w="2400" w:type="dxa"/>
            <w:shd w:val="clear" w:color="auto" w:fill="F2F5FA"/>
            <w:tcMar>
              <w:top w:w="60" w:type="dxa"/>
              <w:left w:w="110" w:type="dxa"/>
              <w:bottom w:w="60" w:type="dxa"/>
              <w:right w:w="110" w:type="dxa"/>
            </w:tcMar>
          </w:tcPr>
          <w:p w14:paraId="0CABDDBC" w14:textId="77777777" w:rsidR="00304236" w:rsidRDefault="00000000">
            <w:r>
              <w:rPr>
                <w:sz w:val="18"/>
                <w:szCs w:val="18"/>
              </w:rPr>
              <w:t>3,635</w:t>
            </w:r>
          </w:p>
        </w:tc>
        <w:tc>
          <w:tcPr>
            <w:tcW w:w="2400" w:type="dxa"/>
            <w:shd w:val="clear" w:color="auto" w:fill="F2F5FA"/>
            <w:tcMar>
              <w:top w:w="60" w:type="dxa"/>
              <w:left w:w="110" w:type="dxa"/>
              <w:bottom w:w="60" w:type="dxa"/>
              <w:right w:w="110" w:type="dxa"/>
            </w:tcMar>
          </w:tcPr>
          <w:p w14:paraId="386639B5" w14:textId="77777777" w:rsidR="00304236" w:rsidRDefault="00000000">
            <w:r>
              <w:rPr>
                <w:sz w:val="18"/>
                <w:szCs w:val="18"/>
              </w:rPr>
              <w:t>3,533</w:t>
            </w:r>
          </w:p>
        </w:tc>
      </w:tr>
      <w:tr w:rsidR="00304236" w14:paraId="4E1D867D" w14:textId="77777777">
        <w:tc>
          <w:tcPr>
            <w:tcW w:w="2400" w:type="dxa"/>
            <w:tcMar>
              <w:top w:w="60" w:type="dxa"/>
              <w:left w:w="110" w:type="dxa"/>
              <w:bottom w:w="60" w:type="dxa"/>
              <w:right w:w="110" w:type="dxa"/>
            </w:tcMar>
          </w:tcPr>
          <w:p w14:paraId="2E0839A0" w14:textId="77777777" w:rsidR="00304236" w:rsidRDefault="00000000">
            <w:r>
              <w:rPr>
                <w:b/>
                <w:bCs/>
                <w:sz w:val="18"/>
                <w:szCs w:val="18"/>
              </w:rPr>
              <w:t>Group C</w:t>
            </w:r>
          </w:p>
        </w:tc>
        <w:tc>
          <w:tcPr>
            <w:tcW w:w="2400" w:type="dxa"/>
            <w:tcMar>
              <w:top w:w="60" w:type="dxa"/>
              <w:left w:w="110" w:type="dxa"/>
              <w:bottom w:w="60" w:type="dxa"/>
              <w:right w:w="110" w:type="dxa"/>
            </w:tcMar>
          </w:tcPr>
          <w:p w14:paraId="0C97854C" w14:textId="77777777" w:rsidR="00304236" w:rsidRDefault="00000000">
            <w:r>
              <w:rPr>
                <w:sz w:val="18"/>
                <w:szCs w:val="18"/>
              </w:rPr>
              <w:t>2,892</w:t>
            </w:r>
          </w:p>
        </w:tc>
        <w:tc>
          <w:tcPr>
            <w:tcW w:w="2400" w:type="dxa"/>
            <w:tcMar>
              <w:top w:w="60" w:type="dxa"/>
              <w:left w:w="110" w:type="dxa"/>
              <w:bottom w:w="60" w:type="dxa"/>
              <w:right w:w="110" w:type="dxa"/>
            </w:tcMar>
          </w:tcPr>
          <w:p w14:paraId="2BE163BE" w14:textId="77777777" w:rsidR="00304236" w:rsidRDefault="00000000">
            <w:r>
              <w:rPr>
                <w:sz w:val="18"/>
                <w:szCs w:val="18"/>
              </w:rPr>
              <w:t>3,045</w:t>
            </w:r>
          </w:p>
        </w:tc>
        <w:tc>
          <w:tcPr>
            <w:tcW w:w="2400" w:type="dxa"/>
            <w:tcMar>
              <w:top w:w="60" w:type="dxa"/>
              <w:left w:w="110" w:type="dxa"/>
              <w:bottom w:w="60" w:type="dxa"/>
              <w:right w:w="110" w:type="dxa"/>
            </w:tcMar>
          </w:tcPr>
          <w:p w14:paraId="00BC2D2B" w14:textId="77777777" w:rsidR="00304236" w:rsidRDefault="00000000">
            <w:r>
              <w:rPr>
                <w:sz w:val="18"/>
                <w:szCs w:val="18"/>
              </w:rPr>
              <w:t>3,075</w:t>
            </w:r>
          </w:p>
        </w:tc>
      </w:tr>
      <w:tr w:rsidR="00304236" w14:paraId="0A9B42B3" w14:textId="77777777">
        <w:tc>
          <w:tcPr>
            <w:tcW w:w="2400" w:type="dxa"/>
            <w:shd w:val="clear" w:color="auto" w:fill="F2F5FA"/>
            <w:tcMar>
              <w:top w:w="60" w:type="dxa"/>
              <w:left w:w="110" w:type="dxa"/>
              <w:bottom w:w="60" w:type="dxa"/>
              <w:right w:w="110" w:type="dxa"/>
            </w:tcMar>
          </w:tcPr>
          <w:p w14:paraId="5DBD4845" w14:textId="77777777" w:rsidR="00304236" w:rsidRDefault="00000000">
            <w:r>
              <w:rPr>
                <w:b/>
                <w:bCs/>
                <w:sz w:val="18"/>
                <w:szCs w:val="18"/>
              </w:rPr>
              <w:t>Portfolio total</w:t>
            </w:r>
          </w:p>
        </w:tc>
        <w:tc>
          <w:tcPr>
            <w:tcW w:w="2400" w:type="dxa"/>
            <w:shd w:val="clear" w:color="auto" w:fill="F2F5FA"/>
            <w:tcMar>
              <w:top w:w="60" w:type="dxa"/>
              <w:left w:w="110" w:type="dxa"/>
              <w:bottom w:w="60" w:type="dxa"/>
              <w:right w:w="110" w:type="dxa"/>
            </w:tcMar>
          </w:tcPr>
          <w:p w14:paraId="418A62B9" w14:textId="77777777" w:rsidR="00304236" w:rsidRDefault="00000000">
            <w:r>
              <w:rPr>
                <w:sz w:val="18"/>
                <w:szCs w:val="18"/>
              </w:rPr>
              <w:t>10,337</w:t>
            </w:r>
          </w:p>
        </w:tc>
        <w:tc>
          <w:tcPr>
            <w:tcW w:w="2400" w:type="dxa"/>
            <w:shd w:val="clear" w:color="auto" w:fill="F2F5FA"/>
            <w:tcMar>
              <w:top w:w="60" w:type="dxa"/>
              <w:left w:w="110" w:type="dxa"/>
              <w:bottom w:w="60" w:type="dxa"/>
              <w:right w:w="110" w:type="dxa"/>
            </w:tcMar>
          </w:tcPr>
          <w:p w14:paraId="74FA1D02" w14:textId="77777777" w:rsidR="00304236" w:rsidRDefault="00000000">
            <w:r>
              <w:rPr>
                <w:sz w:val="18"/>
                <w:szCs w:val="18"/>
              </w:rPr>
              <w:t>10,572</w:t>
            </w:r>
          </w:p>
        </w:tc>
        <w:tc>
          <w:tcPr>
            <w:tcW w:w="2400" w:type="dxa"/>
            <w:shd w:val="clear" w:color="auto" w:fill="F2F5FA"/>
            <w:tcMar>
              <w:top w:w="60" w:type="dxa"/>
              <w:left w:w="110" w:type="dxa"/>
              <w:bottom w:w="60" w:type="dxa"/>
              <w:right w:w="110" w:type="dxa"/>
            </w:tcMar>
          </w:tcPr>
          <w:p w14:paraId="3A37D2B5" w14:textId="77777777" w:rsidR="00304236" w:rsidRDefault="00000000">
            <w:r>
              <w:rPr>
                <w:sz w:val="18"/>
                <w:szCs w:val="18"/>
              </w:rPr>
              <w:t>10,561</w:t>
            </w:r>
          </w:p>
        </w:tc>
      </w:tr>
    </w:tbl>
    <w:p w14:paraId="015A7172" w14:textId="77777777" w:rsidR="00304236" w:rsidRDefault="00000000">
      <w:pPr>
        <w:spacing w:before="80"/>
        <w:jc w:val="center"/>
      </w:pPr>
      <w:r>
        <w:rPr>
          <w:noProof/>
        </w:rPr>
        <w:lastRenderedPageBreak/>
        <w:drawing>
          <wp:inline distT="0" distB="0" distL="0" distR="0" wp14:anchorId="326CBD04" wp14:editId="1A010161">
            <wp:extent cx="4054277" cy="2353733"/>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67170" cy="2361218"/>
                    </a:xfrm>
                    <a:prstGeom prst="rect">
                      <a:avLst/>
                    </a:prstGeom>
                  </pic:spPr>
                </pic:pic>
              </a:graphicData>
            </a:graphic>
          </wp:inline>
        </w:drawing>
      </w:r>
    </w:p>
    <w:p w14:paraId="05BEE089" w14:textId="77777777" w:rsidR="00304236" w:rsidRDefault="00000000">
      <w:pPr>
        <w:spacing w:before="60" w:after="240"/>
        <w:jc w:val="center"/>
      </w:pPr>
      <w:r>
        <w:rPr>
          <w:i/>
          <w:iCs/>
          <w:color w:val="595959"/>
          <w:sz w:val="18"/>
          <w:szCs w:val="18"/>
        </w:rPr>
        <w:t>Figure 1. Base scenario reserve by rating group and reserving method.</w:t>
      </w:r>
    </w:p>
    <w:p w14:paraId="06B88B24" w14:textId="77777777" w:rsidR="00304236" w:rsidRDefault="00000000">
      <w:pPr>
        <w:spacing w:after="110" w:line="270" w:lineRule="auto"/>
      </w:pPr>
      <w:r>
        <w:t>The three methods agree quite closely at portfolio level. The reserve ranges from £10,337,000 under Chain Ladder to £10,572,000 under Expected Claims, a spread of about 2.3%. That is a reassuring sign that the three independent views of the account are broadly consistent, but it does not by itself say which method should be booked.</w:t>
      </w:r>
    </w:p>
    <w:p w14:paraId="70BE98DC" w14:textId="77777777" w:rsidR="00304236" w:rsidRDefault="00000000">
      <w:pPr>
        <w:spacing w:after="110" w:line="270" w:lineRule="auto"/>
      </w:pPr>
      <w:r>
        <w:t>A closer look at individual accident years explains why Bornhuetter-Ferguson is the recommended basis. Chain Ladder is the most exposed to noise in immature years. In Group A, for example, only 41.7% of ultimate claims are estimated to have been paid by 12 months of development, meaning the Chain Ladder estimate for the most recent accident year is built on a small, early data point multiplied up by a large factor. Expected Claims has the opposite weakness. Because it ignores claims paid to date, it can produce a reserve estimate that no longer makes sense once enough time has passed. In this model, Expected Claims implies a small negative unpaid amount for Group A’s 2020 accident year, which is now fully paid. That is only possible because the method has no way of recognising that the year is closed.</w:t>
      </w:r>
    </w:p>
    <w:p w14:paraId="5AFB1402" w14:textId="77777777" w:rsidR="00304236" w:rsidRDefault="00000000">
      <w:pPr>
        <w:spacing w:after="110" w:line="270" w:lineRule="auto"/>
      </w:pPr>
      <w:r>
        <w:t>Bornhuetter-Ferguson avoids both weaknesses by construction. For a fully paid year it converges on the Chain Ladder answer, since there is nothing left to estimate. For an immature year it leans more heavily on the premium-based estimate, since so little has emerged yet. This was checked directly in the model. For every single accident year and rating group, the Bornhuetter-Ferguson estimate falls between the Chain Ladder and Expected Claims estimates, with no exceptions.</w:t>
      </w:r>
    </w:p>
    <w:p w14:paraId="6D3B65EB" w14:textId="77777777" w:rsidR="00304236" w:rsidRDefault="00000000">
      <w:pPr>
        <w:spacing w:after="110" w:line="270" w:lineRule="auto"/>
      </w:pPr>
      <w:r>
        <w:t>One caveat is worth noting. How much a method leans on the account’s own experience, rather than the business plan, depends on the credibility weighting described in Section 5.3. Group A’s weighting is 93%, reflecting its larger volume of claims, so its result is driven mostly by its own experience. Group C’s weighting is only 42%, so a bit less than half of its result comes from its own claims, and just over half still comes from the business plan assumption. This means Bornhuetter-Ferguson for Group C, while still the recommended method, carries more residual dependence on a judgemental assumption than the other two groups.</w:t>
      </w:r>
    </w:p>
    <w:p w14:paraId="1AC1D65E" w14:textId="5B95BD80" w:rsidR="00304236" w:rsidRDefault="00000000">
      <w:pPr>
        <w:spacing w:after="200" w:line="270" w:lineRule="auto"/>
      </w:pPr>
      <w:r>
        <w:t>Bornhuetter-Ferguson is therefore recommended as the basis to book and is used as the reference basis throughout the remainder of this report unless stated otherwise.</w:t>
      </w:r>
    </w:p>
    <w:p w14:paraId="1949A081" w14:textId="77777777" w:rsidR="00304236" w:rsidRDefault="00000000">
      <w:pPr>
        <w:pStyle w:val="Heading1"/>
        <w:spacing w:before="320" w:after="150"/>
      </w:pPr>
      <w:r>
        <w:rPr>
          <w:b/>
          <w:bCs/>
          <w:color w:val="1F3864"/>
          <w:sz w:val="27"/>
          <w:szCs w:val="27"/>
        </w:rPr>
        <w:t>8. Comparison of the extension scenario against the base scenarios</w:t>
      </w:r>
    </w:p>
    <w:p w14:paraId="389F2BDD" w14:textId="77777777" w:rsidR="00304236" w:rsidRDefault="00000000">
      <w:pPr>
        <w:spacing w:after="110" w:line="270" w:lineRule="auto"/>
      </w:pPr>
      <w:r>
        <w:t>The Chief Actuary’s adverse scenario adds a tail factor beyond the six years of observed development, and an additional 4% per year of claims inflation on whatever remains unpaid. Both are applied to all three reserving methods.</w:t>
      </w:r>
    </w:p>
    <w:p w14:paraId="5109D2E5" w14:textId="77777777" w:rsidR="005A64B7" w:rsidRDefault="005A64B7">
      <w:pPr>
        <w:spacing w:after="110" w:line="270" w:lineRule="auto"/>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2100"/>
        <w:gridCol w:w="1600"/>
        <w:gridCol w:w="1300"/>
      </w:tblGrid>
      <w:tr w:rsidR="00304236" w14:paraId="6626F013" w14:textId="77777777">
        <w:trPr>
          <w:tblHeader/>
        </w:trPr>
        <w:tc>
          <w:tcPr>
            <w:tcW w:w="2500" w:type="dxa"/>
            <w:shd w:val="clear" w:color="auto" w:fill="1F3864"/>
            <w:tcMar>
              <w:top w:w="60" w:type="dxa"/>
              <w:left w:w="110" w:type="dxa"/>
              <w:bottom w:w="60" w:type="dxa"/>
              <w:right w:w="110" w:type="dxa"/>
            </w:tcMar>
          </w:tcPr>
          <w:p w14:paraId="4D627D33" w14:textId="77777777" w:rsidR="00304236" w:rsidRDefault="00000000">
            <w:r>
              <w:rPr>
                <w:b/>
                <w:bCs/>
                <w:color w:val="FFFFFF"/>
                <w:sz w:val="18"/>
                <w:szCs w:val="18"/>
              </w:rPr>
              <w:lastRenderedPageBreak/>
              <w:t>Reserving method</w:t>
            </w:r>
          </w:p>
        </w:tc>
        <w:tc>
          <w:tcPr>
            <w:tcW w:w="1900" w:type="dxa"/>
            <w:shd w:val="clear" w:color="auto" w:fill="1F3864"/>
            <w:tcMar>
              <w:top w:w="60" w:type="dxa"/>
              <w:left w:w="110" w:type="dxa"/>
              <w:bottom w:w="60" w:type="dxa"/>
              <w:right w:w="110" w:type="dxa"/>
            </w:tcMar>
          </w:tcPr>
          <w:p w14:paraId="5669E50B" w14:textId="77777777" w:rsidR="00304236" w:rsidRDefault="00000000">
            <w:r>
              <w:rPr>
                <w:b/>
                <w:bCs/>
                <w:color w:val="FFFFFF"/>
                <w:sz w:val="18"/>
                <w:szCs w:val="18"/>
              </w:rPr>
              <w:t>Base reserve (£000)</w:t>
            </w:r>
          </w:p>
        </w:tc>
        <w:tc>
          <w:tcPr>
            <w:tcW w:w="2100" w:type="dxa"/>
            <w:shd w:val="clear" w:color="auto" w:fill="1F3864"/>
            <w:tcMar>
              <w:top w:w="60" w:type="dxa"/>
              <w:left w:w="110" w:type="dxa"/>
              <w:bottom w:w="60" w:type="dxa"/>
              <w:right w:w="110" w:type="dxa"/>
            </w:tcMar>
          </w:tcPr>
          <w:p w14:paraId="3784B6D5" w14:textId="77777777" w:rsidR="00304236" w:rsidRDefault="00000000">
            <w:r>
              <w:rPr>
                <w:b/>
                <w:bCs/>
                <w:color w:val="FFFFFF"/>
                <w:sz w:val="18"/>
                <w:szCs w:val="18"/>
              </w:rPr>
              <w:t>Extension reserve (£000)</w:t>
            </w:r>
          </w:p>
        </w:tc>
        <w:tc>
          <w:tcPr>
            <w:tcW w:w="1600" w:type="dxa"/>
            <w:shd w:val="clear" w:color="auto" w:fill="1F3864"/>
            <w:tcMar>
              <w:top w:w="60" w:type="dxa"/>
              <w:left w:w="110" w:type="dxa"/>
              <w:bottom w:w="60" w:type="dxa"/>
              <w:right w:w="110" w:type="dxa"/>
            </w:tcMar>
          </w:tcPr>
          <w:p w14:paraId="7966C911" w14:textId="77777777" w:rsidR="00304236" w:rsidRDefault="00000000">
            <w:r>
              <w:rPr>
                <w:b/>
                <w:bCs/>
                <w:color w:val="FFFFFF"/>
                <w:sz w:val="18"/>
                <w:szCs w:val="18"/>
              </w:rPr>
              <w:t>Increase (£000)</w:t>
            </w:r>
          </w:p>
        </w:tc>
        <w:tc>
          <w:tcPr>
            <w:tcW w:w="1300" w:type="dxa"/>
            <w:shd w:val="clear" w:color="auto" w:fill="1F3864"/>
            <w:tcMar>
              <w:top w:w="60" w:type="dxa"/>
              <w:left w:w="110" w:type="dxa"/>
              <w:bottom w:w="60" w:type="dxa"/>
              <w:right w:w="110" w:type="dxa"/>
            </w:tcMar>
          </w:tcPr>
          <w:p w14:paraId="773C7A26" w14:textId="77777777" w:rsidR="00304236" w:rsidRDefault="00000000">
            <w:r>
              <w:rPr>
                <w:b/>
                <w:bCs/>
                <w:color w:val="FFFFFF"/>
                <w:sz w:val="18"/>
                <w:szCs w:val="18"/>
              </w:rPr>
              <w:t>Increase (%)</w:t>
            </w:r>
          </w:p>
        </w:tc>
      </w:tr>
      <w:tr w:rsidR="00304236" w14:paraId="6AC4A642" w14:textId="77777777">
        <w:tc>
          <w:tcPr>
            <w:tcW w:w="2500" w:type="dxa"/>
            <w:tcMar>
              <w:top w:w="60" w:type="dxa"/>
              <w:left w:w="110" w:type="dxa"/>
              <w:bottom w:w="60" w:type="dxa"/>
              <w:right w:w="110" w:type="dxa"/>
            </w:tcMar>
          </w:tcPr>
          <w:p w14:paraId="7ED4F4DF" w14:textId="77777777" w:rsidR="00304236" w:rsidRDefault="00000000">
            <w:r>
              <w:rPr>
                <w:b/>
                <w:bCs/>
                <w:sz w:val="18"/>
                <w:szCs w:val="18"/>
              </w:rPr>
              <w:t>Chain Ladder</w:t>
            </w:r>
          </w:p>
        </w:tc>
        <w:tc>
          <w:tcPr>
            <w:tcW w:w="1900" w:type="dxa"/>
            <w:tcMar>
              <w:top w:w="60" w:type="dxa"/>
              <w:left w:w="110" w:type="dxa"/>
              <w:bottom w:w="60" w:type="dxa"/>
              <w:right w:w="110" w:type="dxa"/>
            </w:tcMar>
          </w:tcPr>
          <w:p w14:paraId="4AC30566" w14:textId="77777777" w:rsidR="00304236" w:rsidRDefault="00000000">
            <w:r>
              <w:rPr>
                <w:sz w:val="18"/>
                <w:szCs w:val="18"/>
              </w:rPr>
              <w:t>10,337</w:t>
            </w:r>
          </w:p>
        </w:tc>
        <w:tc>
          <w:tcPr>
            <w:tcW w:w="2100" w:type="dxa"/>
            <w:tcMar>
              <w:top w:w="60" w:type="dxa"/>
              <w:left w:w="110" w:type="dxa"/>
              <w:bottom w:w="60" w:type="dxa"/>
              <w:right w:w="110" w:type="dxa"/>
            </w:tcMar>
          </w:tcPr>
          <w:p w14:paraId="36B2F398" w14:textId="77777777" w:rsidR="00304236" w:rsidRDefault="00000000">
            <w:r>
              <w:rPr>
                <w:sz w:val="18"/>
                <w:szCs w:val="18"/>
              </w:rPr>
              <w:t>12,669</w:t>
            </w:r>
          </w:p>
        </w:tc>
        <w:tc>
          <w:tcPr>
            <w:tcW w:w="1600" w:type="dxa"/>
            <w:tcMar>
              <w:top w:w="60" w:type="dxa"/>
              <w:left w:w="110" w:type="dxa"/>
              <w:bottom w:w="60" w:type="dxa"/>
              <w:right w:w="110" w:type="dxa"/>
            </w:tcMar>
          </w:tcPr>
          <w:p w14:paraId="0A37EA62" w14:textId="77777777" w:rsidR="00304236" w:rsidRDefault="00000000">
            <w:r>
              <w:rPr>
                <w:sz w:val="18"/>
                <w:szCs w:val="18"/>
              </w:rPr>
              <w:t>2,332</w:t>
            </w:r>
          </w:p>
        </w:tc>
        <w:tc>
          <w:tcPr>
            <w:tcW w:w="1300" w:type="dxa"/>
            <w:tcMar>
              <w:top w:w="60" w:type="dxa"/>
              <w:left w:w="110" w:type="dxa"/>
              <w:bottom w:w="60" w:type="dxa"/>
              <w:right w:w="110" w:type="dxa"/>
            </w:tcMar>
          </w:tcPr>
          <w:p w14:paraId="1E27751D" w14:textId="77777777" w:rsidR="00304236" w:rsidRDefault="00000000">
            <w:r>
              <w:rPr>
                <w:sz w:val="18"/>
                <w:szCs w:val="18"/>
              </w:rPr>
              <w:t>22.6%</w:t>
            </w:r>
          </w:p>
        </w:tc>
      </w:tr>
      <w:tr w:rsidR="00304236" w14:paraId="7F1808F5" w14:textId="77777777">
        <w:tc>
          <w:tcPr>
            <w:tcW w:w="2500" w:type="dxa"/>
            <w:shd w:val="clear" w:color="auto" w:fill="F2F5FA"/>
            <w:tcMar>
              <w:top w:w="60" w:type="dxa"/>
              <w:left w:w="110" w:type="dxa"/>
              <w:bottom w:w="60" w:type="dxa"/>
              <w:right w:w="110" w:type="dxa"/>
            </w:tcMar>
          </w:tcPr>
          <w:p w14:paraId="152B322F" w14:textId="77777777" w:rsidR="00304236" w:rsidRDefault="00000000">
            <w:r>
              <w:rPr>
                <w:b/>
                <w:bCs/>
                <w:sz w:val="18"/>
                <w:szCs w:val="18"/>
              </w:rPr>
              <w:t>Expected Claims</w:t>
            </w:r>
          </w:p>
        </w:tc>
        <w:tc>
          <w:tcPr>
            <w:tcW w:w="1900" w:type="dxa"/>
            <w:shd w:val="clear" w:color="auto" w:fill="F2F5FA"/>
            <w:tcMar>
              <w:top w:w="60" w:type="dxa"/>
              <w:left w:w="110" w:type="dxa"/>
              <w:bottom w:w="60" w:type="dxa"/>
              <w:right w:w="110" w:type="dxa"/>
            </w:tcMar>
          </w:tcPr>
          <w:p w14:paraId="3530E075" w14:textId="77777777" w:rsidR="00304236" w:rsidRDefault="00000000">
            <w:r>
              <w:rPr>
                <w:sz w:val="18"/>
                <w:szCs w:val="18"/>
              </w:rPr>
              <w:t>10,572</w:t>
            </w:r>
          </w:p>
        </w:tc>
        <w:tc>
          <w:tcPr>
            <w:tcW w:w="2100" w:type="dxa"/>
            <w:shd w:val="clear" w:color="auto" w:fill="F2F5FA"/>
            <w:tcMar>
              <w:top w:w="60" w:type="dxa"/>
              <w:left w:w="110" w:type="dxa"/>
              <w:bottom w:w="60" w:type="dxa"/>
              <w:right w:w="110" w:type="dxa"/>
            </w:tcMar>
          </w:tcPr>
          <w:p w14:paraId="2F1FC8DD" w14:textId="77777777" w:rsidR="00304236" w:rsidRDefault="00000000">
            <w:r>
              <w:rPr>
                <w:sz w:val="18"/>
                <w:szCs w:val="18"/>
              </w:rPr>
              <w:t>12,385</w:t>
            </w:r>
          </w:p>
        </w:tc>
        <w:tc>
          <w:tcPr>
            <w:tcW w:w="1600" w:type="dxa"/>
            <w:shd w:val="clear" w:color="auto" w:fill="F2F5FA"/>
            <w:tcMar>
              <w:top w:w="60" w:type="dxa"/>
              <w:left w:w="110" w:type="dxa"/>
              <w:bottom w:w="60" w:type="dxa"/>
              <w:right w:w="110" w:type="dxa"/>
            </w:tcMar>
          </w:tcPr>
          <w:p w14:paraId="71699063" w14:textId="77777777" w:rsidR="00304236" w:rsidRDefault="00000000">
            <w:r>
              <w:rPr>
                <w:sz w:val="18"/>
                <w:szCs w:val="18"/>
              </w:rPr>
              <w:t>1,812</w:t>
            </w:r>
          </w:p>
        </w:tc>
        <w:tc>
          <w:tcPr>
            <w:tcW w:w="1300" w:type="dxa"/>
            <w:shd w:val="clear" w:color="auto" w:fill="F2F5FA"/>
            <w:tcMar>
              <w:top w:w="60" w:type="dxa"/>
              <w:left w:w="110" w:type="dxa"/>
              <w:bottom w:w="60" w:type="dxa"/>
              <w:right w:w="110" w:type="dxa"/>
            </w:tcMar>
          </w:tcPr>
          <w:p w14:paraId="79D51874" w14:textId="77777777" w:rsidR="00304236" w:rsidRDefault="00000000">
            <w:r>
              <w:rPr>
                <w:sz w:val="18"/>
                <w:szCs w:val="18"/>
              </w:rPr>
              <w:t>17.1%</w:t>
            </w:r>
          </w:p>
        </w:tc>
      </w:tr>
      <w:tr w:rsidR="00304236" w14:paraId="3E88F127" w14:textId="77777777">
        <w:tc>
          <w:tcPr>
            <w:tcW w:w="2500" w:type="dxa"/>
            <w:tcMar>
              <w:top w:w="60" w:type="dxa"/>
              <w:left w:w="110" w:type="dxa"/>
              <w:bottom w:w="60" w:type="dxa"/>
              <w:right w:w="110" w:type="dxa"/>
            </w:tcMar>
          </w:tcPr>
          <w:p w14:paraId="581C91B8" w14:textId="77777777" w:rsidR="00304236" w:rsidRDefault="00000000">
            <w:r>
              <w:rPr>
                <w:b/>
                <w:bCs/>
                <w:sz w:val="18"/>
                <w:szCs w:val="18"/>
              </w:rPr>
              <w:t>Bornhuetter-Ferguson</w:t>
            </w:r>
          </w:p>
        </w:tc>
        <w:tc>
          <w:tcPr>
            <w:tcW w:w="1900" w:type="dxa"/>
            <w:tcMar>
              <w:top w:w="60" w:type="dxa"/>
              <w:left w:w="110" w:type="dxa"/>
              <w:bottom w:w="60" w:type="dxa"/>
              <w:right w:w="110" w:type="dxa"/>
            </w:tcMar>
          </w:tcPr>
          <w:p w14:paraId="5B0F1D47" w14:textId="77777777" w:rsidR="00304236" w:rsidRDefault="00000000">
            <w:r>
              <w:rPr>
                <w:sz w:val="18"/>
                <w:szCs w:val="18"/>
              </w:rPr>
              <w:t>10,561</w:t>
            </w:r>
          </w:p>
        </w:tc>
        <w:tc>
          <w:tcPr>
            <w:tcW w:w="2100" w:type="dxa"/>
            <w:tcMar>
              <w:top w:w="60" w:type="dxa"/>
              <w:left w:w="110" w:type="dxa"/>
              <w:bottom w:w="60" w:type="dxa"/>
              <w:right w:w="110" w:type="dxa"/>
            </w:tcMar>
          </w:tcPr>
          <w:p w14:paraId="6DE31A09" w14:textId="77777777" w:rsidR="00304236" w:rsidRDefault="00000000">
            <w:r>
              <w:rPr>
                <w:sz w:val="18"/>
                <w:szCs w:val="18"/>
              </w:rPr>
              <w:t>12,756</w:t>
            </w:r>
          </w:p>
        </w:tc>
        <w:tc>
          <w:tcPr>
            <w:tcW w:w="1600" w:type="dxa"/>
            <w:tcMar>
              <w:top w:w="60" w:type="dxa"/>
              <w:left w:w="110" w:type="dxa"/>
              <w:bottom w:w="60" w:type="dxa"/>
              <w:right w:w="110" w:type="dxa"/>
            </w:tcMar>
          </w:tcPr>
          <w:p w14:paraId="3C6AC507" w14:textId="77777777" w:rsidR="00304236" w:rsidRDefault="00000000">
            <w:r>
              <w:rPr>
                <w:sz w:val="18"/>
                <w:szCs w:val="18"/>
              </w:rPr>
              <w:t>2,195</w:t>
            </w:r>
          </w:p>
        </w:tc>
        <w:tc>
          <w:tcPr>
            <w:tcW w:w="1300" w:type="dxa"/>
            <w:tcMar>
              <w:top w:w="60" w:type="dxa"/>
              <w:left w:w="110" w:type="dxa"/>
              <w:bottom w:w="60" w:type="dxa"/>
              <w:right w:w="110" w:type="dxa"/>
            </w:tcMar>
          </w:tcPr>
          <w:p w14:paraId="67157DD3" w14:textId="77777777" w:rsidR="00304236" w:rsidRDefault="00000000">
            <w:r>
              <w:rPr>
                <w:sz w:val="18"/>
                <w:szCs w:val="18"/>
              </w:rPr>
              <w:t>20.8%</w:t>
            </w:r>
          </w:p>
        </w:tc>
      </w:tr>
    </w:tbl>
    <w:p w14:paraId="2698356B" w14:textId="77777777" w:rsidR="00304236" w:rsidRDefault="00000000">
      <w:pPr>
        <w:spacing w:before="80"/>
        <w:jc w:val="center"/>
      </w:pPr>
      <w:r>
        <w:rPr>
          <w:noProof/>
        </w:rPr>
        <w:drawing>
          <wp:inline distT="0" distB="0" distL="0" distR="0" wp14:anchorId="4F8BDFB4" wp14:editId="3A5E6BB6">
            <wp:extent cx="4611757" cy="2651760"/>
            <wp:effectExtent l="0" t="0" r="0" b="0"/>
            <wp:docPr id="1270866359" name="Picture 127086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21820" cy="2657546"/>
                    </a:xfrm>
                    <a:prstGeom prst="rect">
                      <a:avLst/>
                    </a:prstGeom>
                  </pic:spPr>
                </pic:pic>
              </a:graphicData>
            </a:graphic>
          </wp:inline>
        </w:drawing>
      </w:r>
    </w:p>
    <w:p w14:paraId="384611F4" w14:textId="77777777" w:rsidR="00304236" w:rsidRDefault="00000000">
      <w:pPr>
        <w:spacing w:before="60" w:after="240"/>
        <w:jc w:val="center"/>
      </w:pPr>
      <w:r>
        <w:rPr>
          <w:i/>
          <w:iCs/>
          <w:color w:val="595959"/>
          <w:sz w:val="18"/>
          <w:szCs w:val="18"/>
        </w:rPr>
        <w:t>Figure 2. Portfolio reserve by reserving method, base scenario against extension scenario.</w:t>
      </w:r>
    </w:p>
    <w:p w14:paraId="732B8D70" w14:textId="77777777" w:rsidR="00304236" w:rsidRDefault="00000000">
      <w:pPr>
        <w:spacing w:after="110" w:line="270" w:lineRule="auto"/>
      </w:pPr>
      <w:r>
        <w:t>Every method sees a substantial increase, between 17% and 23%. This is a large movement for a change in only two assumptions, and it reflects how much of the account’s claims cost still lies in the future for the less mature accident years, particularly in Group C.</w:t>
      </w:r>
    </w:p>
    <w:p w14:paraId="68DDECAF" w14:textId="312729A9" w:rsidR="00304236" w:rsidRDefault="00000000">
      <w:pPr>
        <w:spacing w:after="110" w:line="270" w:lineRule="auto"/>
      </w:pPr>
      <w:r>
        <w:t>A less obvious but important result is that the extension scenario widens the gap between the three methods, rather than narrowing it. Under the base scenario, the reserves span a range of £235,000 across the three methods. Under the extension scenario, that range widens to £371,000, an increase of about 58%. In other words, the adverse scenario does not just make the reserve bigger</w:t>
      </w:r>
      <w:r w:rsidR="004B1269">
        <w:t xml:space="preserve"> but</w:t>
      </w:r>
      <w:r>
        <w:t xml:space="preserve"> also makes the choice of method matter more. This is a useful finding for the Committee, since it means the value of picking the right method, rather than any of the three, grows precisely in the adverse conditions </w:t>
      </w:r>
      <w:proofErr w:type="spellStart"/>
      <w:proofErr w:type="gramStart"/>
      <w:r>
        <w:t>where</w:t>
      </w:r>
      <w:proofErr w:type="spellEnd"/>
      <w:proofErr w:type="gramEnd"/>
      <w:r>
        <w:t xml:space="preserve"> getting it right matters most.</w:t>
      </w:r>
    </w:p>
    <w:p w14:paraId="24CDDE1A" w14:textId="77777777" w:rsidR="00304236" w:rsidRDefault="00000000">
      <w:pPr>
        <w:pStyle w:val="Heading1"/>
        <w:spacing w:before="320" w:after="150"/>
      </w:pPr>
      <w:r>
        <w:rPr>
          <w:b/>
          <w:bCs/>
          <w:color w:val="1F3864"/>
          <w:sz w:val="27"/>
          <w:szCs w:val="27"/>
        </w:rPr>
        <w:t>9. Checks and reasonableness</w:t>
      </w:r>
    </w:p>
    <w:p w14:paraId="08CE4DD6" w14:textId="77777777" w:rsidR="00304236" w:rsidRDefault="00000000">
      <w:pPr>
        <w:spacing w:after="110" w:line="270" w:lineRule="auto"/>
      </w:pPr>
      <w:r>
        <w:t xml:space="preserve">The model contains 35 automated checks, covering data validation, each calculation stage, and the reinsurance analysis. All but one read as passing. The full list is in the </w:t>
      </w:r>
      <w:r w:rsidRPr="00945A1C">
        <w:rPr>
          <w:i/>
          <w:iCs/>
        </w:rPr>
        <w:t>Checks</w:t>
      </w:r>
      <w:r>
        <w:t xml:space="preserve"> worksheet of the model, with a single overall status that reads either "all checks pass" or flags exactly which check needs review.</w:t>
      </w:r>
    </w:p>
    <w:p w14:paraId="6D8CBBAB" w14:textId="39A7BE8B" w:rsidR="00304236" w:rsidRDefault="00945A1C">
      <w:pPr>
        <w:spacing w:after="110" w:line="270" w:lineRule="auto"/>
      </w:pPr>
      <w:r>
        <w:t>Check C10A is worth explaining. As described in Section 7, the Expected Claims method implies a small negative unpaid amount for Group A’s 2020 accident year. The corresponding check is deliberately designed to flag this rather than pass silently, because it is a genuine feature of the method rather than an error in the model. It has been left as it stands, rather than floored at zero, because doing so would obscure the fact that the premium-based expectation has been overtaken by the actual paid claims.</w:t>
      </w:r>
    </w:p>
    <w:p w14:paraId="4B08806A" w14:textId="072D9DAC" w:rsidR="00304236" w:rsidRDefault="00000000">
      <w:pPr>
        <w:spacing w:after="110" w:line="270" w:lineRule="auto"/>
      </w:pPr>
      <w:r>
        <w:t xml:space="preserve">Two checks are structural and give </w:t>
      </w:r>
      <w:proofErr w:type="gramStart"/>
      <w:r>
        <w:t>particular confidence</w:t>
      </w:r>
      <w:proofErr w:type="gramEnd"/>
      <w:r>
        <w:t xml:space="preserve"> in the model’s construction. The first </w:t>
      </w:r>
      <w:r w:rsidR="00626AAB">
        <w:t>(C</w:t>
      </w:r>
      <w:r w:rsidR="00B062FF">
        <w:t>13</w:t>
      </w:r>
      <w:r w:rsidR="00626AAB">
        <w:t xml:space="preserve">) </w:t>
      </w:r>
      <w:r>
        <w:t>confirms that setting the extension scenario’s tail factor to 1.000 and its inflation shock to zero exactly reproduces the base scenario figures, for every method and every rating group. This shows the extension has been layered correctly on top of the base calculations</w:t>
      </w:r>
      <w:r w:rsidR="00AF6288">
        <w:t>.</w:t>
      </w:r>
      <w:r>
        <w:t xml:space="preserve"> The second </w:t>
      </w:r>
      <w:r w:rsidR="00B062FF">
        <w:t xml:space="preserve">(C14/C15) </w:t>
      </w:r>
      <w:r>
        <w:t>confirms that claims paid to date, and the resulting reserve</w:t>
      </w:r>
      <w:r w:rsidR="00A13872">
        <w:t xml:space="preserve"> align </w:t>
      </w:r>
      <w:r>
        <w:t>consistently across every worksheet in the model.</w:t>
      </w:r>
    </w:p>
    <w:p w14:paraId="47FC1728" w14:textId="77777777" w:rsidR="00AF6288" w:rsidRDefault="00AF6288">
      <w:pPr>
        <w:spacing w:after="110" w:line="270" w:lineRule="auto"/>
      </w:pPr>
    </w:p>
    <w:p w14:paraId="20332E90" w14:textId="77777777" w:rsidR="00304236" w:rsidRDefault="00000000">
      <w:pPr>
        <w:pStyle w:val="Heading1"/>
        <w:spacing w:before="320" w:after="150"/>
      </w:pPr>
      <w:r>
        <w:rPr>
          <w:b/>
          <w:bCs/>
          <w:color w:val="1F3864"/>
          <w:sz w:val="27"/>
          <w:szCs w:val="27"/>
        </w:rPr>
        <w:lastRenderedPageBreak/>
        <w:t>10. Final analysis of the metrics</w:t>
      </w:r>
    </w:p>
    <w:p w14:paraId="668E0BCC" w14:textId="50010F16" w:rsidR="00304236" w:rsidRDefault="00000000">
      <w:pPr>
        <w:spacing w:after="110" w:line="270" w:lineRule="auto"/>
      </w:pPr>
      <w:r>
        <w:t xml:space="preserve">On the recommended Bornhuetter-Ferguson basis, the following metrics summarise the account’s position </w:t>
      </w:r>
      <w:proofErr w:type="gramStart"/>
      <w:r w:rsidR="00FA136F">
        <w:t>at</w:t>
      </w:r>
      <w:proofErr w:type="gramEnd"/>
      <w:r>
        <w:t xml:space="preserve"> 31 December 2025.</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500"/>
        <w:gridCol w:w="1800"/>
        <w:gridCol w:w="1500"/>
        <w:gridCol w:w="1200"/>
      </w:tblGrid>
      <w:tr w:rsidR="00304236" w14:paraId="285AA599" w14:textId="77777777">
        <w:trPr>
          <w:tblHeader/>
        </w:trPr>
        <w:tc>
          <w:tcPr>
            <w:tcW w:w="1700" w:type="dxa"/>
            <w:shd w:val="clear" w:color="auto" w:fill="1F3864"/>
            <w:tcMar>
              <w:top w:w="60" w:type="dxa"/>
              <w:left w:w="110" w:type="dxa"/>
              <w:bottom w:w="60" w:type="dxa"/>
              <w:right w:w="110" w:type="dxa"/>
            </w:tcMar>
          </w:tcPr>
          <w:p w14:paraId="726787DE" w14:textId="77777777" w:rsidR="00304236" w:rsidRDefault="00000000">
            <w:r>
              <w:rPr>
                <w:b/>
                <w:bCs/>
                <w:color w:val="FFFFFF"/>
                <w:sz w:val="18"/>
                <w:szCs w:val="18"/>
              </w:rPr>
              <w:t>Rating group</w:t>
            </w:r>
          </w:p>
        </w:tc>
        <w:tc>
          <w:tcPr>
            <w:tcW w:w="1900" w:type="dxa"/>
            <w:shd w:val="clear" w:color="auto" w:fill="1F3864"/>
            <w:tcMar>
              <w:top w:w="60" w:type="dxa"/>
              <w:left w:w="110" w:type="dxa"/>
              <w:bottom w:w="60" w:type="dxa"/>
              <w:right w:w="110" w:type="dxa"/>
            </w:tcMar>
          </w:tcPr>
          <w:p w14:paraId="08D44C08" w14:textId="77777777" w:rsidR="00304236" w:rsidRDefault="00000000">
            <w:r>
              <w:rPr>
                <w:b/>
                <w:bCs/>
                <w:color w:val="FFFFFF"/>
                <w:sz w:val="18"/>
                <w:szCs w:val="18"/>
              </w:rPr>
              <w:t>2025 earned premium (£000)</w:t>
            </w:r>
          </w:p>
        </w:tc>
        <w:tc>
          <w:tcPr>
            <w:tcW w:w="1500" w:type="dxa"/>
            <w:shd w:val="clear" w:color="auto" w:fill="1F3864"/>
            <w:tcMar>
              <w:top w:w="60" w:type="dxa"/>
              <w:left w:w="110" w:type="dxa"/>
              <w:bottom w:w="60" w:type="dxa"/>
              <w:right w:w="110" w:type="dxa"/>
            </w:tcMar>
          </w:tcPr>
          <w:p w14:paraId="53759676" w14:textId="77777777" w:rsidR="00304236" w:rsidRDefault="00000000">
            <w:r>
              <w:rPr>
                <w:b/>
                <w:bCs/>
                <w:color w:val="FFFFFF"/>
                <w:sz w:val="18"/>
                <w:szCs w:val="18"/>
              </w:rPr>
              <w:t>Reserve (£000)</w:t>
            </w:r>
          </w:p>
        </w:tc>
        <w:tc>
          <w:tcPr>
            <w:tcW w:w="1800" w:type="dxa"/>
            <w:shd w:val="clear" w:color="auto" w:fill="1F3864"/>
            <w:tcMar>
              <w:top w:w="60" w:type="dxa"/>
              <w:left w:w="110" w:type="dxa"/>
              <w:bottom w:w="60" w:type="dxa"/>
              <w:right w:w="110" w:type="dxa"/>
            </w:tcMar>
          </w:tcPr>
          <w:p w14:paraId="611A189D" w14:textId="77777777" w:rsidR="00304236" w:rsidRDefault="00000000">
            <w:r>
              <w:rPr>
                <w:b/>
                <w:bCs/>
                <w:color w:val="FFFFFF"/>
                <w:sz w:val="18"/>
                <w:szCs w:val="18"/>
              </w:rPr>
              <w:t>Reserve as % of premium</w:t>
            </w:r>
          </w:p>
        </w:tc>
        <w:tc>
          <w:tcPr>
            <w:tcW w:w="1500" w:type="dxa"/>
            <w:shd w:val="clear" w:color="auto" w:fill="1F3864"/>
            <w:tcMar>
              <w:top w:w="60" w:type="dxa"/>
              <w:left w:w="110" w:type="dxa"/>
              <w:bottom w:w="60" w:type="dxa"/>
              <w:right w:w="110" w:type="dxa"/>
            </w:tcMar>
          </w:tcPr>
          <w:p w14:paraId="412F2084" w14:textId="77777777" w:rsidR="00304236" w:rsidRDefault="00000000">
            <w:r>
              <w:rPr>
                <w:b/>
                <w:bCs/>
                <w:color w:val="FFFFFF"/>
                <w:sz w:val="18"/>
                <w:szCs w:val="18"/>
              </w:rPr>
              <w:t>Ultimate loss ratio</w:t>
            </w:r>
          </w:p>
        </w:tc>
        <w:tc>
          <w:tcPr>
            <w:tcW w:w="1200" w:type="dxa"/>
            <w:shd w:val="clear" w:color="auto" w:fill="1F3864"/>
            <w:tcMar>
              <w:top w:w="60" w:type="dxa"/>
              <w:left w:w="110" w:type="dxa"/>
              <w:bottom w:w="60" w:type="dxa"/>
              <w:right w:w="110" w:type="dxa"/>
            </w:tcMar>
          </w:tcPr>
          <w:p w14:paraId="47FF4DDB" w14:textId="77777777" w:rsidR="00304236" w:rsidRDefault="00000000">
            <w:r>
              <w:rPr>
                <w:b/>
                <w:bCs/>
                <w:color w:val="FFFFFF"/>
                <w:sz w:val="18"/>
                <w:szCs w:val="18"/>
              </w:rPr>
              <w:t>Combined ratio</w:t>
            </w:r>
          </w:p>
        </w:tc>
      </w:tr>
      <w:tr w:rsidR="00304236" w14:paraId="4A5C5C95" w14:textId="77777777">
        <w:tc>
          <w:tcPr>
            <w:tcW w:w="1700" w:type="dxa"/>
            <w:tcMar>
              <w:top w:w="60" w:type="dxa"/>
              <w:left w:w="110" w:type="dxa"/>
              <w:bottom w:w="60" w:type="dxa"/>
              <w:right w:w="110" w:type="dxa"/>
            </w:tcMar>
          </w:tcPr>
          <w:p w14:paraId="388FACA8" w14:textId="77777777" w:rsidR="00304236" w:rsidRDefault="00000000">
            <w:r>
              <w:rPr>
                <w:b/>
                <w:bCs/>
                <w:sz w:val="18"/>
                <w:szCs w:val="18"/>
              </w:rPr>
              <w:t>Group A</w:t>
            </w:r>
          </w:p>
        </w:tc>
        <w:tc>
          <w:tcPr>
            <w:tcW w:w="1900" w:type="dxa"/>
            <w:tcMar>
              <w:top w:w="60" w:type="dxa"/>
              <w:left w:w="110" w:type="dxa"/>
              <w:bottom w:w="60" w:type="dxa"/>
              <w:right w:w="110" w:type="dxa"/>
            </w:tcMar>
          </w:tcPr>
          <w:p w14:paraId="7ADF8D35" w14:textId="77777777" w:rsidR="00304236" w:rsidRDefault="00000000">
            <w:r>
              <w:rPr>
                <w:sz w:val="18"/>
                <w:szCs w:val="18"/>
              </w:rPr>
              <w:t>5,700</w:t>
            </w:r>
          </w:p>
        </w:tc>
        <w:tc>
          <w:tcPr>
            <w:tcW w:w="1500" w:type="dxa"/>
            <w:tcMar>
              <w:top w:w="60" w:type="dxa"/>
              <w:left w:w="110" w:type="dxa"/>
              <w:bottom w:w="60" w:type="dxa"/>
              <w:right w:w="110" w:type="dxa"/>
            </w:tcMar>
          </w:tcPr>
          <w:p w14:paraId="6D3924D6" w14:textId="77777777" w:rsidR="00304236" w:rsidRDefault="00000000">
            <w:r>
              <w:rPr>
                <w:sz w:val="18"/>
                <w:szCs w:val="18"/>
              </w:rPr>
              <w:t>3,953</w:t>
            </w:r>
          </w:p>
        </w:tc>
        <w:tc>
          <w:tcPr>
            <w:tcW w:w="1800" w:type="dxa"/>
            <w:tcMar>
              <w:top w:w="60" w:type="dxa"/>
              <w:left w:w="110" w:type="dxa"/>
              <w:bottom w:w="60" w:type="dxa"/>
              <w:right w:w="110" w:type="dxa"/>
            </w:tcMar>
          </w:tcPr>
          <w:p w14:paraId="444705E0" w14:textId="77777777" w:rsidR="00304236" w:rsidRDefault="00000000">
            <w:r>
              <w:rPr>
                <w:sz w:val="18"/>
                <w:szCs w:val="18"/>
              </w:rPr>
              <w:t>69.4%</w:t>
            </w:r>
          </w:p>
        </w:tc>
        <w:tc>
          <w:tcPr>
            <w:tcW w:w="1500" w:type="dxa"/>
            <w:tcMar>
              <w:top w:w="60" w:type="dxa"/>
              <w:left w:w="110" w:type="dxa"/>
              <w:bottom w:w="60" w:type="dxa"/>
              <w:right w:w="110" w:type="dxa"/>
            </w:tcMar>
          </w:tcPr>
          <w:p w14:paraId="73B93E02" w14:textId="77777777" w:rsidR="00304236" w:rsidRDefault="00000000">
            <w:r>
              <w:rPr>
                <w:sz w:val="18"/>
                <w:szCs w:val="18"/>
              </w:rPr>
              <w:t>64.0%</w:t>
            </w:r>
          </w:p>
        </w:tc>
        <w:tc>
          <w:tcPr>
            <w:tcW w:w="1200" w:type="dxa"/>
            <w:tcMar>
              <w:top w:w="60" w:type="dxa"/>
              <w:left w:w="110" w:type="dxa"/>
              <w:bottom w:w="60" w:type="dxa"/>
              <w:right w:w="110" w:type="dxa"/>
            </w:tcMar>
          </w:tcPr>
          <w:p w14:paraId="248CD88D" w14:textId="77777777" w:rsidR="00304236" w:rsidRDefault="00000000">
            <w:r>
              <w:rPr>
                <w:sz w:val="18"/>
                <w:szCs w:val="18"/>
              </w:rPr>
              <w:t>91.0%</w:t>
            </w:r>
          </w:p>
        </w:tc>
      </w:tr>
      <w:tr w:rsidR="00304236" w14:paraId="1CA8E8CA" w14:textId="77777777">
        <w:tc>
          <w:tcPr>
            <w:tcW w:w="1700" w:type="dxa"/>
            <w:shd w:val="clear" w:color="auto" w:fill="F2F5FA"/>
            <w:tcMar>
              <w:top w:w="60" w:type="dxa"/>
              <w:left w:w="110" w:type="dxa"/>
              <w:bottom w:w="60" w:type="dxa"/>
              <w:right w:w="110" w:type="dxa"/>
            </w:tcMar>
          </w:tcPr>
          <w:p w14:paraId="5458A548" w14:textId="77777777" w:rsidR="00304236" w:rsidRDefault="00000000">
            <w:r>
              <w:rPr>
                <w:b/>
                <w:bCs/>
                <w:sz w:val="18"/>
                <w:szCs w:val="18"/>
              </w:rPr>
              <w:t>Group B</w:t>
            </w:r>
          </w:p>
        </w:tc>
        <w:tc>
          <w:tcPr>
            <w:tcW w:w="1900" w:type="dxa"/>
            <w:shd w:val="clear" w:color="auto" w:fill="F2F5FA"/>
            <w:tcMar>
              <w:top w:w="60" w:type="dxa"/>
              <w:left w:w="110" w:type="dxa"/>
              <w:bottom w:w="60" w:type="dxa"/>
              <w:right w:w="110" w:type="dxa"/>
            </w:tcMar>
          </w:tcPr>
          <w:p w14:paraId="67C99D3C" w14:textId="77777777" w:rsidR="00304236" w:rsidRDefault="00000000">
            <w:r>
              <w:rPr>
                <w:sz w:val="18"/>
                <w:szCs w:val="18"/>
              </w:rPr>
              <w:t>4,150</w:t>
            </w:r>
          </w:p>
        </w:tc>
        <w:tc>
          <w:tcPr>
            <w:tcW w:w="1500" w:type="dxa"/>
            <w:shd w:val="clear" w:color="auto" w:fill="F2F5FA"/>
            <w:tcMar>
              <w:top w:w="60" w:type="dxa"/>
              <w:left w:w="110" w:type="dxa"/>
              <w:bottom w:w="60" w:type="dxa"/>
              <w:right w:w="110" w:type="dxa"/>
            </w:tcMar>
          </w:tcPr>
          <w:p w14:paraId="3CA1FE15" w14:textId="77777777" w:rsidR="00304236" w:rsidRDefault="00000000">
            <w:r>
              <w:rPr>
                <w:sz w:val="18"/>
                <w:szCs w:val="18"/>
              </w:rPr>
              <w:t>3,533</w:t>
            </w:r>
          </w:p>
        </w:tc>
        <w:tc>
          <w:tcPr>
            <w:tcW w:w="1800" w:type="dxa"/>
            <w:shd w:val="clear" w:color="auto" w:fill="F2F5FA"/>
            <w:tcMar>
              <w:top w:w="60" w:type="dxa"/>
              <w:left w:w="110" w:type="dxa"/>
              <w:bottom w:w="60" w:type="dxa"/>
              <w:right w:w="110" w:type="dxa"/>
            </w:tcMar>
          </w:tcPr>
          <w:p w14:paraId="2D9D4C10" w14:textId="77777777" w:rsidR="00304236" w:rsidRDefault="00000000">
            <w:r>
              <w:rPr>
                <w:sz w:val="18"/>
                <w:szCs w:val="18"/>
              </w:rPr>
              <w:t>85.1%</w:t>
            </w:r>
          </w:p>
        </w:tc>
        <w:tc>
          <w:tcPr>
            <w:tcW w:w="1500" w:type="dxa"/>
            <w:shd w:val="clear" w:color="auto" w:fill="F2F5FA"/>
            <w:tcMar>
              <w:top w:w="60" w:type="dxa"/>
              <w:left w:w="110" w:type="dxa"/>
              <w:bottom w:w="60" w:type="dxa"/>
              <w:right w:w="110" w:type="dxa"/>
            </w:tcMar>
          </w:tcPr>
          <w:p w14:paraId="067BD2E4" w14:textId="77777777" w:rsidR="00304236" w:rsidRDefault="00000000">
            <w:r>
              <w:rPr>
                <w:sz w:val="18"/>
                <w:szCs w:val="18"/>
              </w:rPr>
              <w:t>67.3%</w:t>
            </w:r>
          </w:p>
        </w:tc>
        <w:tc>
          <w:tcPr>
            <w:tcW w:w="1200" w:type="dxa"/>
            <w:shd w:val="clear" w:color="auto" w:fill="F2F5FA"/>
            <w:tcMar>
              <w:top w:w="60" w:type="dxa"/>
              <w:left w:w="110" w:type="dxa"/>
              <w:bottom w:w="60" w:type="dxa"/>
              <w:right w:w="110" w:type="dxa"/>
            </w:tcMar>
          </w:tcPr>
          <w:p w14:paraId="57561678" w14:textId="77777777" w:rsidR="00304236" w:rsidRDefault="00000000">
            <w:r>
              <w:rPr>
                <w:sz w:val="18"/>
                <w:szCs w:val="18"/>
              </w:rPr>
              <w:t>92.8%</w:t>
            </w:r>
          </w:p>
        </w:tc>
      </w:tr>
      <w:tr w:rsidR="00304236" w14:paraId="5BFC4998" w14:textId="77777777">
        <w:tc>
          <w:tcPr>
            <w:tcW w:w="1700" w:type="dxa"/>
            <w:tcMar>
              <w:top w:w="60" w:type="dxa"/>
              <w:left w:w="110" w:type="dxa"/>
              <w:bottom w:w="60" w:type="dxa"/>
              <w:right w:w="110" w:type="dxa"/>
            </w:tcMar>
          </w:tcPr>
          <w:p w14:paraId="16F75624" w14:textId="77777777" w:rsidR="00304236" w:rsidRDefault="00000000">
            <w:r>
              <w:rPr>
                <w:b/>
                <w:bCs/>
                <w:sz w:val="18"/>
                <w:szCs w:val="18"/>
              </w:rPr>
              <w:t>Group C</w:t>
            </w:r>
          </w:p>
        </w:tc>
        <w:tc>
          <w:tcPr>
            <w:tcW w:w="1900" w:type="dxa"/>
            <w:tcMar>
              <w:top w:w="60" w:type="dxa"/>
              <w:left w:w="110" w:type="dxa"/>
              <w:bottom w:w="60" w:type="dxa"/>
              <w:right w:w="110" w:type="dxa"/>
            </w:tcMar>
          </w:tcPr>
          <w:p w14:paraId="29B064DE" w14:textId="77777777" w:rsidR="00304236" w:rsidRDefault="00000000">
            <w:r>
              <w:rPr>
                <w:sz w:val="18"/>
                <w:szCs w:val="18"/>
              </w:rPr>
              <w:t>2,650</w:t>
            </w:r>
          </w:p>
        </w:tc>
        <w:tc>
          <w:tcPr>
            <w:tcW w:w="1500" w:type="dxa"/>
            <w:tcMar>
              <w:top w:w="60" w:type="dxa"/>
              <w:left w:w="110" w:type="dxa"/>
              <w:bottom w:w="60" w:type="dxa"/>
              <w:right w:w="110" w:type="dxa"/>
            </w:tcMar>
          </w:tcPr>
          <w:p w14:paraId="6F1A5E8E" w14:textId="77777777" w:rsidR="00304236" w:rsidRDefault="00000000">
            <w:r>
              <w:rPr>
                <w:sz w:val="18"/>
                <w:szCs w:val="18"/>
              </w:rPr>
              <w:t>3,075</w:t>
            </w:r>
          </w:p>
        </w:tc>
        <w:tc>
          <w:tcPr>
            <w:tcW w:w="1800" w:type="dxa"/>
            <w:tcMar>
              <w:top w:w="60" w:type="dxa"/>
              <w:left w:w="110" w:type="dxa"/>
              <w:bottom w:w="60" w:type="dxa"/>
              <w:right w:w="110" w:type="dxa"/>
            </w:tcMar>
          </w:tcPr>
          <w:p w14:paraId="61AA597B" w14:textId="77777777" w:rsidR="00304236" w:rsidRDefault="00000000">
            <w:r>
              <w:rPr>
                <w:sz w:val="18"/>
                <w:szCs w:val="18"/>
              </w:rPr>
              <w:t>116.0%</w:t>
            </w:r>
          </w:p>
        </w:tc>
        <w:tc>
          <w:tcPr>
            <w:tcW w:w="1500" w:type="dxa"/>
            <w:tcMar>
              <w:top w:w="60" w:type="dxa"/>
              <w:left w:w="110" w:type="dxa"/>
              <w:bottom w:w="60" w:type="dxa"/>
              <w:right w:w="110" w:type="dxa"/>
            </w:tcMar>
          </w:tcPr>
          <w:p w14:paraId="5F37B31A" w14:textId="77777777" w:rsidR="00304236" w:rsidRDefault="00000000">
            <w:r>
              <w:rPr>
                <w:sz w:val="18"/>
                <w:szCs w:val="18"/>
              </w:rPr>
              <w:t>75.1%</w:t>
            </w:r>
          </w:p>
        </w:tc>
        <w:tc>
          <w:tcPr>
            <w:tcW w:w="1200" w:type="dxa"/>
            <w:tcMar>
              <w:top w:w="60" w:type="dxa"/>
              <w:left w:w="110" w:type="dxa"/>
              <w:bottom w:w="60" w:type="dxa"/>
              <w:right w:w="110" w:type="dxa"/>
            </w:tcMar>
          </w:tcPr>
          <w:p w14:paraId="76DECA1A" w14:textId="77777777" w:rsidR="00304236" w:rsidRDefault="00000000">
            <w:r>
              <w:rPr>
                <w:sz w:val="18"/>
                <w:szCs w:val="18"/>
              </w:rPr>
              <w:t>104.1%</w:t>
            </w:r>
          </w:p>
        </w:tc>
      </w:tr>
      <w:tr w:rsidR="00304236" w14:paraId="436A982E" w14:textId="77777777">
        <w:tc>
          <w:tcPr>
            <w:tcW w:w="1700" w:type="dxa"/>
            <w:shd w:val="clear" w:color="auto" w:fill="F2F5FA"/>
            <w:tcMar>
              <w:top w:w="60" w:type="dxa"/>
              <w:left w:w="110" w:type="dxa"/>
              <w:bottom w:w="60" w:type="dxa"/>
              <w:right w:w="110" w:type="dxa"/>
            </w:tcMar>
          </w:tcPr>
          <w:p w14:paraId="78A039B0" w14:textId="77777777" w:rsidR="00304236" w:rsidRDefault="00000000">
            <w:r>
              <w:rPr>
                <w:b/>
                <w:bCs/>
                <w:sz w:val="18"/>
                <w:szCs w:val="18"/>
              </w:rPr>
              <w:t>Portfolio</w:t>
            </w:r>
          </w:p>
        </w:tc>
        <w:tc>
          <w:tcPr>
            <w:tcW w:w="1900" w:type="dxa"/>
            <w:shd w:val="clear" w:color="auto" w:fill="F2F5FA"/>
            <w:tcMar>
              <w:top w:w="60" w:type="dxa"/>
              <w:left w:w="110" w:type="dxa"/>
              <w:bottom w:w="60" w:type="dxa"/>
              <w:right w:w="110" w:type="dxa"/>
            </w:tcMar>
          </w:tcPr>
          <w:p w14:paraId="35D1FD3D" w14:textId="77777777" w:rsidR="00304236" w:rsidRDefault="00000000">
            <w:r>
              <w:rPr>
                <w:sz w:val="18"/>
                <w:szCs w:val="18"/>
              </w:rPr>
              <w:t>12,500</w:t>
            </w:r>
          </w:p>
        </w:tc>
        <w:tc>
          <w:tcPr>
            <w:tcW w:w="1500" w:type="dxa"/>
            <w:shd w:val="clear" w:color="auto" w:fill="F2F5FA"/>
            <w:tcMar>
              <w:top w:w="60" w:type="dxa"/>
              <w:left w:w="110" w:type="dxa"/>
              <w:bottom w:w="60" w:type="dxa"/>
              <w:right w:w="110" w:type="dxa"/>
            </w:tcMar>
          </w:tcPr>
          <w:p w14:paraId="53ECE101" w14:textId="77777777" w:rsidR="00304236" w:rsidRDefault="00000000">
            <w:r>
              <w:rPr>
                <w:sz w:val="18"/>
                <w:szCs w:val="18"/>
              </w:rPr>
              <w:t>10,561</w:t>
            </w:r>
          </w:p>
        </w:tc>
        <w:tc>
          <w:tcPr>
            <w:tcW w:w="1800" w:type="dxa"/>
            <w:shd w:val="clear" w:color="auto" w:fill="F2F5FA"/>
            <w:tcMar>
              <w:top w:w="60" w:type="dxa"/>
              <w:left w:w="110" w:type="dxa"/>
              <w:bottom w:w="60" w:type="dxa"/>
              <w:right w:w="110" w:type="dxa"/>
            </w:tcMar>
          </w:tcPr>
          <w:p w14:paraId="4180C705" w14:textId="77777777" w:rsidR="00304236" w:rsidRDefault="00000000">
            <w:r>
              <w:rPr>
                <w:sz w:val="18"/>
                <w:szCs w:val="18"/>
              </w:rPr>
              <w:t>84.5%</w:t>
            </w:r>
          </w:p>
        </w:tc>
        <w:tc>
          <w:tcPr>
            <w:tcW w:w="1500" w:type="dxa"/>
            <w:shd w:val="clear" w:color="auto" w:fill="F2F5FA"/>
            <w:tcMar>
              <w:top w:w="60" w:type="dxa"/>
              <w:left w:w="110" w:type="dxa"/>
              <w:bottom w:w="60" w:type="dxa"/>
              <w:right w:w="110" w:type="dxa"/>
            </w:tcMar>
          </w:tcPr>
          <w:p w14:paraId="045FD4A0" w14:textId="77777777" w:rsidR="00304236" w:rsidRDefault="00000000">
            <w:r>
              <w:rPr>
                <w:sz w:val="18"/>
                <w:szCs w:val="18"/>
              </w:rPr>
              <w:t>–</w:t>
            </w:r>
          </w:p>
        </w:tc>
        <w:tc>
          <w:tcPr>
            <w:tcW w:w="1200" w:type="dxa"/>
            <w:shd w:val="clear" w:color="auto" w:fill="F2F5FA"/>
            <w:tcMar>
              <w:top w:w="60" w:type="dxa"/>
              <w:left w:w="110" w:type="dxa"/>
              <w:bottom w:w="60" w:type="dxa"/>
              <w:right w:w="110" w:type="dxa"/>
            </w:tcMar>
          </w:tcPr>
          <w:p w14:paraId="6B6CAE60" w14:textId="77777777" w:rsidR="00304236" w:rsidRDefault="00000000">
            <w:r>
              <w:rPr>
                <w:sz w:val="18"/>
                <w:szCs w:val="18"/>
              </w:rPr>
              <w:t>–</w:t>
            </w:r>
          </w:p>
        </w:tc>
      </w:tr>
    </w:tbl>
    <w:p w14:paraId="4002E915" w14:textId="77777777" w:rsidR="007320BE" w:rsidRDefault="007320BE">
      <w:pPr>
        <w:spacing w:after="110" w:line="270" w:lineRule="auto"/>
      </w:pPr>
    </w:p>
    <w:p w14:paraId="6B5CE790" w14:textId="666EB42C" w:rsidR="00304236" w:rsidRDefault="00000000">
      <w:pPr>
        <w:spacing w:after="110" w:line="270" w:lineRule="auto"/>
      </w:pPr>
      <w:r>
        <w:t>The ultimate loss ratio is the proportion of premium expected to be paid out in claims. The combined ratio adds the expense ratio (the proportion of premium spent on running the business) to the loss ratio, giving a single figure for underwriting profitability before investment income. A combined ratio below 100% means the account is expected to make an underwriting profit. Above 100% means the account is expected to make an underwriting loss on the business alone, before any income earned on invested premium.</w:t>
      </w:r>
    </w:p>
    <w:p w14:paraId="662C6AC2" w14:textId="77777777" w:rsidR="00304236" w:rsidRDefault="00000000">
      <w:pPr>
        <w:spacing w:before="80"/>
        <w:jc w:val="center"/>
      </w:pPr>
      <w:r>
        <w:rPr>
          <w:noProof/>
        </w:rPr>
        <w:drawing>
          <wp:inline distT="0" distB="0" distL="0" distR="0" wp14:anchorId="7B1DC98F" wp14:editId="741ADAC7">
            <wp:extent cx="4231227" cy="2429933"/>
            <wp:effectExtent l="0" t="0" r="0" b="8890"/>
            <wp:docPr id="2078456332" name="Picture 207845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55292" cy="2443753"/>
                    </a:xfrm>
                    <a:prstGeom prst="rect">
                      <a:avLst/>
                    </a:prstGeom>
                  </pic:spPr>
                </pic:pic>
              </a:graphicData>
            </a:graphic>
          </wp:inline>
        </w:drawing>
      </w:r>
    </w:p>
    <w:p w14:paraId="51088099" w14:textId="77777777" w:rsidR="00304236" w:rsidRDefault="00000000">
      <w:pPr>
        <w:spacing w:before="60" w:after="240"/>
        <w:jc w:val="center"/>
      </w:pPr>
      <w:r>
        <w:rPr>
          <w:i/>
          <w:iCs/>
          <w:color w:val="595959"/>
          <w:sz w:val="18"/>
          <w:szCs w:val="18"/>
        </w:rPr>
        <w:t>Figure 3. Claims development pattern by rating group.</w:t>
      </w:r>
    </w:p>
    <w:p w14:paraId="4E3A4B8B" w14:textId="77777777" w:rsidR="00304236" w:rsidRDefault="00000000">
      <w:pPr>
        <w:spacing w:before="80"/>
        <w:jc w:val="center"/>
      </w:pPr>
      <w:r>
        <w:rPr>
          <w:noProof/>
        </w:rPr>
        <w:drawing>
          <wp:inline distT="0" distB="0" distL="0" distR="0" wp14:anchorId="31DB8F0D" wp14:editId="74BFFD5B">
            <wp:extent cx="4083798" cy="2345267"/>
            <wp:effectExtent l="0" t="0" r="0" b="0"/>
            <wp:docPr id="1112954261" name="Picture 111295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9884" cy="2354505"/>
                    </a:xfrm>
                    <a:prstGeom prst="rect">
                      <a:avLst/>
                    </a:prstGeom>
                  </pic:spPr>
                </pic:pic>
              </a:graphicData>
            </a:graphic>
          </wp:inline>
        </w:drawing>
      </w:r>
    </w:p>
    <w:p w14:paraId="2D70E4CB" w14:textId="77777777" w:rsidR="00304236" w:rsidRDefault="00000000">
      <w:pPr>
        <w:spacing w:before="60" w:after="240"/>
        <w:jc w:val="center"/>
      </w:pPr>
      <w:r>
        <w:rPr>
          <w:i/>
          <w:iCs/>
          <w:color w:val="595959"/>
          <w:sz w:val="18"/>
          <w:szCs w:val="18"/>
        </w:rPr>
        <w:t>Figure 4. 2025 combined ratio by rating group.</w:t>
      </w:r>
    </w:p>
    <w:p w14:paraId="5F061CA8" w14:textId="77777777" w:rsidR="00304236" w:rsidRDefault="00000000">
      <w:pPr>
        <w:spacing w:after="110" w:line="270" w:lineRule="auto"/>
      </w:pPr>
      <w:r>
        <w:t xml:space="preserve">Group C stands out. Its reserve is 116% of its 2025 earned premium, by far the highest of the three groups, and its estimated combined ratio for 2025 is 104.1%, above the 100% break-even line. Figure 3 helps explain why. Group C develops the most slowly of the three groups, with only 26.0% of ultimate claims paid by 12 months, against 41.7% for Group A. Slower development means more of the claim </w:t>
      </w:r>
      <w:r>
        <w:lastRenderedPageBreak/>
        <w:t>cost still lies ahead, and more exposure to the extension scenario’s inflation assumption, which is exactly what Section 8 showed. Group C’s combined ratio above 100% is a finding that goes beyond reserving. It suggests the pricing basis for this group is worth a separate review by the pricing team, since the current rates appear insufficient to cover the account’s own claims and expenses at 2025 cost levels.</w:t>
      </w:r>
    </w:p>
    <w:p w14:paraId="08863BDE" w14:textId="4205690D" w:rsidR="00304236" w:rsidRDefault="00000000">
      <w:pPr>
        <w:pStyle w:val="Heading1"/>
        <w:spacing w:before="320" w:after="150"/>
      </w:pPr>
      <w:r>
        <w:rPr>
          <w:b/>
          <w:bCs/>
          <w:color w:val="1F3864"/>
          <w:sz w:val="27"/>
          <w:szCs w:val="27"/>
        </w:rPr>
        <w:t>11. The Adverse Development Cover</w:t>
      </w:r>
      <w:r w:rsidR="00626AAB">
        <w:rPr>
          <w:b/>
          <w:bCs/>
          <w:color w:val="1F3864"/>
          <w:sz w:val="27"/>
          <w:szCs w:val="27"/>
        </w:rPr>
        <w:t>: Recommendation to Buy</w:t>
      </w:r>
    </w:p>
    <w:p w14:paraId="20B3572B" w14:textId="382AB5E9" w:rsidR="00304236" w:rsidRDefault="00000000">
      <w:pPr>
        <w:spacing w:after="110" w:line="270" w:lineRule="auto"/>
      </w:pPr>
      <w:r>
        <w:t>An Adverse Development Cover is a form of reinsurance that protects an insurer against its own reserve turning out to be too low. It works differently to reinsurance on individual claims. Instead, the reinsurer agrees to pay part of any future increase in the company’s overall booked reserve for this account. In exchange, the company pays a premium up front. The terms quoted by Northgate Mutual’s reinsurer are set out below</w:t>
      </w:r>
      <w:r w:rsidR="005F06B5">
        <w:t>:</w:t>
      </w:r>
    </w:p>
    <w:p w14:paraId="1B23C3D9" w14:textId="77777777" w:rsidR="00304236" w:rsidRDefault="00000000">
      <w:pPr>
        <w:pStyle w:val="ListParagraph"/>
        <w:numPr>
          <w:ilvl w:val="0"/>
          <w:numId w:val="2"/>
        </w:numPr>
        <w:spacing w:after="70" w:line="270" w:lineRule="auto"/>
      </w:pPr>
      <w:r>
        <w:rPr>
          <w:b/>
          <w:bCs/>
        </w:rPr>
        <w:t xml:space="preserve">Attachment point. </w:t>
      </w:r>
      <w:r>
        <w:t xml:space="preserve">The level the reserve </w:t>
      </w:r>
      <w:proofErr w:type="gramStart"/>
      <w:r>
        <w:t>has to</w:t>
      </w:r>
      <w:proofErr w:type="gramEnd"/>
      <w:r>
        <w:t xml:space="preserve"> rise to before the cover starts paying out. Quoted here as 105% of the booked reserve.</w:t>
      </w:r>
    </w:p>
    <w:p w14:paraId="461D0A4A" w14:textId="77777777" w:rsidR="00304236" w:rsidRDefault="00000000">
      <w:pPr>
        <w:pStyle w:val="ListParagraph"/>
        <w:numPr>
          <w:ilvl w:val="0"/>
          <w:numId w:val="2"/>
        </w:numPr>
        <w:spacing w:after="70" w:line="270" w:lineRule="auto"/>
      </w:pPr>
      <w:r>
        <w:rPr>
          <w:b/>
          <w:bCs/>
        </w:rPr>
        <w:t xml:space="preserve">Exhaustion point. </w:t>
      </w:r>
      <w:r>
        <w:t>The level at which the cover has paid out its maximum and stops responding further. Quoted here as 130% of the booked reserve.</w:t>
      </w:r>
    </w:p>
    <w:p w14:paraId="63208409" w14:textId="77777777" w:rsidR="00304236" w:rsidRDefault="00000000">
      <w:pPr>
        <w:pStyle w:val="ListParagraph"/>
        <w:numPr>
          <w:ilvl w:val="0"/>
          <w:numId w:val="2"/>
        </w:numPr>
        <w:spacing w:after="70" w:line="270" w:lineRule="auto"/>
      </w:pPr>
      <w:r>
        <w:rPr>
          <w:b/>
          <w:bCs/>
        </w:rPr>
        <w:t xml:space="preserve">Limit of cover. </w:t>
      </w:r>
      <w:r>
        <w:t>The most the reinsurer will ever pay, being the gap between the attachment and exhaustion points.</w:t>
      </w:r>
    </w:p>
    <w:p w14:paraId="71762E39" w14:textId="77777777" w:rsidR="00304236" w:rsidRDefault="00000000">
      <w:pPr>
        <w:pStyle w:val="ListParagraph"/>
        <w:numPr>
          <w:ilvl w:val="0"/>
          <w:numId w:val="2"/>
        </w:numPr>
        <w:spacing w:after="70" w:line="270" w:lineRule="auto"/>
      </w:pPr>
      <w:r>
        <w:rPr>
          <w:b/>
          <w:bCs/>
        </w:rPr>
        <w:t xml:space="preserve">Premium. </w:t>
      </w:r>
      <w:r>
        <w:t xml:space="preserve">The amount paid to the reinsurer for the cover, </w:t>
      </w:r>
      <w:proofErr w:type="gramStart"/>
      <w:r>
        <w:t>whether or not</w:t>
      </w:r>
      <w:proofErr w:type="gramEnd"/>
      <w:r>
        <w:t xml:space="preserve"> it ends up paying out. Quoted here as 12% of the limit of cover.</w:t>
      </w:r>
    </w:p>
    <w:p w14:paraId="5DD8428E" w14:textId="77777777" w:rsidR="00304236" w:rsidRDefault="00000000">
      <w:pPr>
        <w:pStyle w:val="ListParagraph"/>
        <w:numPr>
          <w:ilvl w:val="0"/>
          <w:numId w:val="2"/>
        </w:numPr>
        <w:spacing w:after="70" w:line="270" w:lineRule="auto"/>
      </w:pPr>
      <w:r>
        <w:rPr>
          <w:b/>
          <w:bCs/>
        </w:rPr>
        <w:t xml:space="preserve">Recovery. </w:t>
      </w:r>
      <w:r>
        <w:t xml:space="preserve">The amount the reinsurer </w:t>
      </w:r>
      <w:proofErr w:type="gramStart"/>
      <w:r>
        <w:t>actually pays</w:t>
      </w:r>
      <w:proofErr w:type="gramEnd"/>
      <w:r>
        <w:t>, if the reserve does rise, capped at the limit of cover.</w:t>
      </w:r>
    </w:p>
    <w:p w14:paraId="4C7E398C" w14:textId="77777777" w:rsidR="00304236" w:rsidRDefault="00000000">
      <w:pPr>
        <w:spacing w:after="110" w:line="270" w:lineRule="auto"/>
      </w:pPr>
      <w:r>
        <w:t>Because the three reserving methods produce different reserves, each would in practice be reinsured on different terms. The table below values the cover separately for all three, each against its own attachment and exhaustion points.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900"/>
        <w:gridCol w:w="2000"/>
        <w:gridCol w:w="2300"/>
      </w:tblGrid>
      <w:tr w:rsidR="00304236" w14:paraId="4BEA754E" w14:textId="77777777">
        <w:trPr>
          <w:tblHeader/>
        </w:trPr>
        <w:tc>
          <w:tcPr>
            <w:tcW w:w="3100" w:type="dxa"/>
            <w:shd w:val="clear" w:color="auto" w:fill="1F3864"/>
            <w:tcMar>
              <w:top w:w="60" w:type="dxa"/>
              <w:left w:w="110" w:type="dxa"/>
              <w:bottom w:w="60" w:type="dxa"/>
              <w:right w:w="110" w:type="dxa"/>
            </w:tcMar>
          </w:tcPr>
          <w:p w14:paraId="21728248" w14:textId="77777777" w:rsidR="00304236" w:rsidRDefault="00000000">
            <w:r>
              <w:rPr>
                <w:b/>
                <w:bCs/>
                <w:color w:val="FFFFFF"/>
                <w:sz w:val="18"/>
                <w:szCs w:val="18"/>
              </w:rPr>
              <w:t>Metric</w:t>
            </w:r>
          </w:p>
        </w:tc>
        <w:tc>
          <w:tcPr>
            <w:tcW w:w="1900" w:type="dxa"/>
            <w:shd w:val="clear" w:color="auto" w:fill="1F3864"/>
            <w:tcMar>
              <w:top w:w="60" w:type="dxa"/>
              <w:left w:w="110" w:type="dxa"/>
              <w:bottom w:w="60" w:type="dxa"/>
              <w:right w:w="110" w:type="dxa"/>
            </w:tcMar>
          </w:tcPr>
          <w:p w14:paraId="40FCD681" w14:textId="77777777" w:rsidR="00304236" w:rsidRDefault="00000000">
            <w:r>
              <w:rPr>
                <w:b/>
                <w:bCs/>
                <w:color w:val="FFFFFF"/>
                <w:sz w:val="18"/>
                <w:szCs w:val="18"/>
              </w:rPr>
              <w:t>Chain Ladder</w:t>
            </w:r>
          </w:p>
        </w:tc>
        <w:tc>
          <w:tcPr>
            <w:tcW w:w="2000" w:type="dxa"/>
            <w:shd w:val="clear" w:color="auto" w:fill="1F3864"/>
            <w:tcMar>
              <w:top w:w="60" w:type="dxa"/>
              <w:left w:w="110" w:type="dxa"/>
              <w:bottom w:w="60" w:type="dxa"/>
              <w:right w:w="110" w:type="dxa"/>
            </w:tcMar>
          </w:tcPr>
          <w:p w14:paraId="3EBDDE3E" w14:textId="77777777" w:rsidR="00304236" w:rsidRDefault="00000000">
            <w:r>
              <w:rPr>
                <w:b/>
                <w:bCs/>
                <w:color w:val="FFFFFF"/>
                <w:sz w:val="18"/>
                <w:szCs w:val="18"/>
              </w:rPr>
              <w:t>Expected Claims</w:t>
            </w:r>
          </w:p>
        </w:tc>
        <w:tc>
          <w:tcPr>
            <w:tcW w:w="2300" w:type="dxa"/>
            <w:shd w:val="clear" w:color="auto" w:fill="1F3864"/>
            <w:tcMar>
              <w:top w:w="60" w:type="dxa"/>
              <w:left w:w="110" w:type="dxa"/>
              <w:bottom w:w="60" w:type="dxa"/>
              <w:right w:w="110" w:type="dxa"/>
            </w:tcMar>
          </w:tcPr>
          <w:p w14:paraId="1503C006" w14:textId="77777777" w:rsidR="00304236" w:rsidRDefault="00000000">
            <w:r>
              <w:rPr>
                <w:b/>
                <w:bCs/>
                <w:color w:val="FFFFFF"/>
                <w:sz w:val="18"/>
                <w:szCs w:val="18"/>
              </w:rPr>
              <w:t>Bornhuetter-Ferguson</w:t>
            </w:r>
          </w:p>
        </w:tc>
      </w:tr>
      <w:tr w:rsidR="00304236" w14:paraId="0F4B99F2" w14:textId="77777777">
        <w:tc>
          <w:tcPr>
            <w:tcW w:w="3100" w:type="dxa"/>
            <w:tcMar>
              <w:top w:w="60" w:type="dxa"/>
              <w:left w:w="110" w:type="dxa"/>
              <w:bottom w:w="60" w:type="dxa"/>
              <w:right w:w="110" w:type="dxa"/>
            </w:tcMar>
          </w:tcPr>
          <w:p w14:paraId="7CA303FA" w14:textId="77777777" w:rsidR="00304236" w:rsidRDefault="00000000">
            <w:r>
              <w:rPr>
                <w:b/>
                <w:bCs/>
                <w:sz w:val="18"/>
                <w:szCs w:val="18"/>
              </w:rPr>
              <w:t>Booked reserve (£000)</w:t>
            </w:r>
          </w:p>
        </w:tc>
        <w:tc>
          <w:tcPr>
            <w:tcW w:w="1900" w:type="dxa"/>
            <w:tcMar>
              <w:top w:w="60" w:type="dxa"/>
              <w:left w:w="110" w:type="dxa"/>
              <w:bottom w:w="60" w:type="dxa"/>
              <w:right w:w="110" w:type="dxa"/>
            </w:tcMar>
          </w:tcPr>
          <w:p w14:paraId="14DC9B70" w14:textId="77777777" w:rsidR="00304236" w:rsidRDefault="00000000">
            <w:r>
              <w:rPr>
                <w:sz w:val="18"/>
                <w:szCs w:val="18"/>
              </w:rPr>
              <w:t>10,337</w:t>
            </w:r>
          </w:p>
        </w:tc>
        <w:tc>
          <w:tcPr>
            <w:tcW w:w="2000" w:type="dxa"/>
            <w:tcMar>
              <w:top w:w="60" w:type="dxa"/>
              <w:left w:w="110" w:type="dxa"/>
              <w:bottom w:w="60" w:type="dxa"/>
              <w:right w:w="110" w:type="dxa"/>
            </w:tcMar>
          </w:tcPr>
          <w:p w14:paraId="6E43D6D9" w14:textId="77777777" w:rsidR="00304236" w:rsidRDefault="00000000">
            <w:r>
              <w:rPr>
                <w:sz w:val="18"/>
                <w:szCs w:val="18"/>
              </w:rPr>
              <w:t>10,572</w:t>
            </w:r>
          </w:p>
        </w:tc>
        <w:tc>
          <w:tcPr>
            <w:tcW w:w="2300" w:type="dxa"/>
            <w:tcMar>
              <w:top w:w="60" w:type="dxa"/>
              <w:left w:w="110" w:type="dxa"/>
              <w:bottom w:w="60" w:type="dxa"/>
              <w:right w:w="110" w:type="dxa"/>
            </w:tcMar>
          </w:tcPr>
          <w:p w14:paraId="3B9647C1" w14:textId="77777777" w:rsidR="00304236" w:rsidRDefault="00000000">
            <w:r>
              <w:rPr>
                <w:sz w:val="18"/>
                <w:szCs w:val="18"/>
              </w:rPr>
              <w:t>10,561</w:t>
            </w:r>
          </w:p>
        </w:tc>
      </w:tr>
      <w:tr w:rsidR="00304236" w14:paraId="6E8BB3AA" w14:textId="77777777">
        <w:tc>
          <w:tcPr>
            <w:tcW w:w="3100" w:type="dxa"/>
            <w:shd w:val="clear" w:color="auto" w:fill="F2F5FA"/>
            <w:tcMar>
              <w:top w:w="60" w:type="dxa"/>
              <w:left w:w="110" w:type="dxa"/>
              <w:bottom w:w="60" w:type="dxa"/>
              <w:right w:w="110" w:type="dxa"/>
            </w:tcMar>
          </w:tcPr>
          <w:p w14:paraId="625DA2CB" w14:textId="77777777" w:rsidR="00304236" w:rsidRDefault="00000000">
            <w:r>
              <w:rPr>
                <w:b/>
                <w:bCs/>
                <w:sz w:val="18"/>
                <w:szCs w:val="18"/>
              </w:rPr>
              <w:t>Attachment point (£000)</w:t>
            </w:r>
          </w:p>
        </w:tc>
        <w:tc>
          <w:tcPr>
            <w:tcW w:w="1900" w:type="dxa"/>
            <w:shd w:val="clear" w:color="auto" w:fill="F2F5FA"/>
            <w:tcMar>
              <w:top w:w="60" w:type="dxa"/>
              <w:left w:w="110" w:type="dxa"/>
              <w:bottom w:w="60" w:type="dxa"/>
              <w:right w:w="110" w:type="dxa"/>
            </w:tcMar>
          </w:tcPr>
          <w:p w14:paraId="3D3B2355" w14:textId="77777777" w:rsidR="00304236" w:rsidRDefault="00000000">
            <w:r>
              <w:rPr>
                <w:sz w:val="18"/>
                <w:szCs w:val="18"/>
              </w:rPr>
              <w:t>10,854</w:t>
            </w:r>
          </w:p>
        </w:tc>
        <w:tc>
          <w:tcPr>
            <w:tcW w:w="2000" w:type="dxa"/>
            <w:shd w:val="clear" w:color="auto" w:fill="F2F5FA"/>
            <w:tcMar>
              <w:top w:w="60" w:type="dxa"/>
              <w:left w:w="110" w:type="dxa"/>
              <w:bottom w:w="60" w:type="dxa"/>
              <w:right w:w="110" w:type="dxa"/>
            </w:tcMar>
          </w:tcPr>
          <w:p w14:paraId="20C748B3" w14:textId="77777777" w:rsidR="00304236" w:rsidRDefault="00000000">
            <w:r>
              <w:rPr>
                <w:sz w:val="18"/>
                <w:szCs w:val="18"/>
              </w:rPr>
              <w:t>11,101</w:t>
            </w:r>
          </w:p>
        </w:tc>
        <w:tc>
          <w:tcPr>
            <w:tcW w:w="2300" w:type="dxa"/>
            <w:shd w:val="clear" w:color="auto" w:fill="F2F5FA"/>
            <w:tcMar>
              <w:top w:w="60" w:type="dxa"/>
              <w:left w:w="110" w:type="dxa"/>
              <w:bottom w:w="60" w:type="dxa"/>
              <w:right w:w="110" w:type="dxa"/>
            </w:tcMar>
          </w:tcPr>
          <w:p w14:paraId="183CC62F" w14:textId="77777777" w:rsidR="00304236" w:rsidRDefault="00000000">
            <w:r>
              <w:rPr>
                <w:sz w:val="18"/>
                <w:szCs w:val="18"/>
              </w:rPr>
              <w:t>11,089</w:t>
            </w:r>
          </w:p>
        </w:tc>
      </w:tr>
      <w:tr w:rsidR="00304236" w14:paraId="3F30A001" w14:textId="77777777">
        <w:tc>
          <w:tcPr>
            <w:tcW w:w="3100" w:type="dxa"/>
            <w:tcMar>
              <w:top w:w="60" w:type="dxa"/>
              <w:left w:w="110" w:type="dxa"/>
              <w:bottom w:w="60" w:type="dxa"/>
              <w:right w:w="110" w:type="dxa"/>
            </w:tcMar>
          </w:tcPr>
          <w:p w14:paraId="0078829D" w14:textId="77777777" w:rsidR="00304236" w:rsidRDefault="00000000">
            <w:r>
              <w:rPr>
                <w:b/>
                <w:bCs/>
                <w:sz w:val="18"/>
                <w:szCs w:val="18"/>
              </w:rPr>
              <w:t>Exhaustion point (£000)</w:t>
            </w:r>
          </w:p>
        </w:tc>
        <w:tc>
          <w:tcPr>
            <w:tcW w:w="1900" w:type="dxa"/>
            <w:tcMar>
              <w:top w:w="60" w:type="dxa"/>
              <w:left w:w="110" w:type="dxa"/>
              <w:bottom w:w="60" w:type="dxa"/>
              <w:right w:w="110" w:type="dxa"/>
            </w:tcMar>
          </w:tcPr>
          <w:p w14:paraId="2A376C45" w14:textId="77777777" w:rsidR="00304236" w:rsidRDefault="00000000">
            <w:r>
              <w:rPr>
                <w:sz w:val="18"/>
                <w:szCs w:val="18"/>
              </w:rPr>
              <w:t>13,438</w:t>
            </w:r>
          </w:p>
        </w:tc>
        <w:tc>
          <w:tcPr>
            <w:tcW w:w="2000" w:type="dxa"/>
            <w:tcMar>
              <w:top w:w="60" w:type="dxa"/>
              <w:left w:w="110" w:type="dxa"/>
              <w:bottom w:w="60" w:type="dxa"/>
              <w:right w:w="110" w:type="dxa"/>
            </w:tcMar>
          </w:tcPr>
          <w:p w14:paraId="2B41657E" w14:textId="77777777" w:rsidR="00304236" w:rsidRDefault="00000000">
            <w:r>
              <w:rPr>
                <w:sz w:val="18"/>
                <w:szCs w:val="18"/>
              </w:rPr>
              <w:t>13,744</w:t>
            </w:r>
          </w:p>
        </w:tc>
        <w:tc>
          <w:tcPr>
            <w:tcW w:w="2300" w:type="dxa"/>
            <w:tcMar>
              <w:top w:w="60" w:type="dxa"/>
              <w:left w:w="110" w:type="dxa"/>
              <w:bottom w:w="60" w:type="dxa"/>
              <w:right w:w="110" w:type="dxa"/>
            </w:tcMar>
          </w:tcPr>
          <w:p w14:paraId="06DF4A43" w14:textId="77777777" w:rsidR="00304236" w:rsidRDefault="00000000">
            <w:r>
              <w:rPr>
                <w:sz w:val="18"/>
                <w:szCs w:val="18"/>
              </w:rPr>
              <w:t>13,729</w:t>
            </w:r>
          </w:p>
        </w:tc>
      </w:tr>
      <w:tr w:rsidR="00304236" w14:paraId="3A7134DC" w14:textId="77777777">
        <w:tc>
          <w:tcPr>
            <w:tcW w:w="3100" w:type="dxa"/>
            <w:shd w:val="clear" w:color="auto" w:fill="F2F5FA"/>
            <w:tcMar>
              <w:top w:w="60" w:type="dxa"/>
              <w:left w:w="110" w:type="dxa"/>
              <w:bottom w:w="60" w:type="dxa"/>
              <w:right w:w="110" w:type="dxa"/>
            </w:tcMar>
          </w:tcPr>
          <w:p w14:paraId="47771646" w14:textId="77777777" w:rsidR="00304236" w:rsidRDefault="00000000">
            <w:r>
              <w:rPr>
                <w:b/>
                <w:bCs/>
                <w:sz w:val="18"/>
                <w:szCs w:val="18"/>
              </w:rPr>
              <w:t>Limit of cover (£000)</w:t>
            </w:r>
          </w:p>
        </w:tc>
        <w:tc>
          <w:tcPr>
            <w:tcW w:w="1900" w:type="dxa"/>
            <w:shd w:val="clear" w:color="auto" w:fill="F2F5FA"/>
            <w:tcMar>
              <w:top w:w="60" w:type="dxa"/>
              <w:left w:w="110" w:type="dxa"/>
              <w:bottom w:w="60" w:type="dxa"/>
              <w:right w:w="110" w:type="dxa"/>
            </w:tcMar>
          </w:tcPr>
          <w:p w14:paraId="3E9E5DBC" w14:textId="77777777" w:rsidR="00304236" w:rsidRDefault="00000000">
            <w:r>
              <w:rPr>
                <w:sz w:val="18"/>
                <w:szCs w:val="18"/>
              </w:rPr>
              <w:t>2,584</w:t>
            </w:r>
          </w:p>
        </w:tc>
        <w:tc>
          <w:tcPr>
            <w:tcW w:w="2000" w:type="dxa"/>
            <w:shd w:val="clear" w:color="auto" w:fill="F2F5FA"/>
            <w:tcMar>
              <w:top w:w="60" w:type="dxa"/>
              <w:left w:w="110" w:type="dxa"/>
              <w:bottom w:w="60" w:type="dxa"/>
              <w:right w:w="110" w:type="dxa"/>
            </w:tcMar>
          </w:tcPr>
          <w:p w14:paraId="5C7EDB1F" w14:textId="77777777" w:rsidR="00304236" w:rsidRDefault="00000000">
            <w:r>
              <w:rPr>
                <w:sz w:val="18"/>
                <w:szCs w:val="18"/>
              </w:rPr>
              <w:t>2,643</w:t>
            </w:r>
          </w:p>
        </w:tc>
        <w:tc>
          <w:tcPr>
            <w:tcW w:w="2300" w:type="dxa"/>
            <w:shd w:val="clear" w:color="auto" w:fill="F2F5FA"/>
            <w:tcMar>
              <w:top w:w="60" w:type="dxa"/>
              <w:left w:w="110" w:type="dxa"/>
              <w:bottom w:w="60" w:type="dxa"/>
              <w:right w:w="110" w:type="dxa"/>
            </w:tcMar>
          </w:tcPr>
          <w:p w14:paraId="09A92EB3" w14:textId="77777777" w:rsidR="00304236" w:rsidRDefault="00000000">
            <w:r>
              <w:rPr>
                <w:sz w:val="18"/>
                <w:szCs w:val="18"/>
              </w:rPr>
              <w:t>2,640</w:t>
            </w:r>
          </w:p>
        </w:tc>
      </w:tr>
      <w:tr w:rsidR="00304236" w14:paraId="288F0BFA" w14:textId="77777777">
        <w:tc>
          <w:tcPr>
            <w:tcW w:w="3100" w:type="dxa"/>
            <w:tcMar>
              <w:top w:w="60" w:type="dxa"/>
              <w:left w:w="110" w:type="dxa"/>
              <w:bottom w:w="60" w:type="dxa"/>
              <w:right w:w="110" w:type="dxa"/>
            </w:tcMar>
          </w:tcPr>
          <w:p w14:paraId="2405BFBA" w14:textId="77777777" w:rsidR="00304236" w:rsidRDefault="00000000">
            <w:r>
              <w:rPr>
                <w:b/>
                <w:bCs/>
                <w:sz w:val="18"/>
                <w:szCs w:val="18"/>
              </w:rPr>
              <w:t>Premium payable (£000)</w:t>
            </w:r>
          </w:p>
        </w:tc>
        <w:tc>
          <w:tcPr>
            <w:tcW w:w="1900" w:type="dxa"/>
            <w:tcMar>
              <w:top w:w="60" w:type="dxa"/>
              <w:left w:w="110" w:type="dxa"/>
              <w:bottom w:w="60" w:type="dxa"/>
              <w:right w:w="110" w:type="dxa"/>
            </w:tcMar>
          </w:tcPr>
          <w:p w14:paraId="0B991A51" w14:textId="77777777" w:rsidR="00304236" w:rsidRDefault="00000000">
            <w:r>
              <w:rPr>
                <w:sz w:val="18"/>
                <w:szCs w:val="18"/>
              </w:rPr>
              <w:t>310</w:t>
            </w:r>
          </w:p>
        </w:tc>
        <w:tc>
          <w:tcPr>
            <w:tcW w:w="2000" w:type="dxa"/>
            <w:tcMar>
              <w:top w:w="60" w:type="dxa"/>
              <w:left w:w="110" w:type="dxa"/>
              <w:bottom w:w="60" w:type="dxa"/>
              <w:right w:w="110" w:type="dxa"/>
            </w:tcMar>
          </w:tcPr>
          <w:p w14:paraId="0B933D71" w14:textId="77777777" w:rsidR="00304236" w:rsidRDefault="00000000">
            <w:r>
              <w:rPr>
                <w:sz w:val="18"/>
                <w:szCs w:val="18"/>
              </w:rPr>
              <w:t>317</w:t>
            </w:r>
          </w:p>
        </w:tc>
        <w:tc>
          <w:tcPr>
            <w:tcW w:w="2300" w:type="dxa"/>
            <w:tcMar>
              <w:top w:w="60" w:type="dxa"/>
              <w:left w:w="110" w:type="dxa"/>
              <w:bottom w:w="60" w:type="dxa"/>
              <w:right w:w="110" w:type="dxa"/>
            </w:tcMar>
          </w:tcPr>
          <w:p w14:paraId="2AA8CB61" w14:textId="77777777" w:rsidR="00304236" w:rsidRDefault="00000000">
            <w:r>
              <w:rPr>
                <w:sz w:val="18"/>
                <w:szCs w:val="18"/>
              </w:rPr>
              <w:t>317</w:t>
            </w:r>
          </w:p>
        </w:tc>
      </w:tr>
      <w:tr w:rsidR="00304236" w14:paraId="56A6181F" w14:textId="77777777">
        <w:tc>
          <w:tcPr>
            <w:tcW w:w="3100" w:type="dxa"/>
            <w:shd w:val="clear" w:color="auto" w:fill="F2F5FA"/>
            <w:tcMar>
              <w:top w:w="60" w:type="dxa"/>
              <w:left w:w="110" w:type="dxa"/>
              <w:bottom w:w="60" w:type="dxa"/>
              <w:right w:w="110" w:type="dxa"/>
            </w:tcMar>
          </w:tcPr>
          <w:p w14:paraId="12CB3117" w14:textId="77777777" w:rsidR="00304236" w:rsidRDefault="00000000">
            <w:r>
              <w:rPr>
                <w:b/>
                <w:bCs/>
                <w:sz w:val="18"/>
                <w:szCs w:val="18"/>
              </w:rPr>
              <w:t>Reserve under extension scenario (£000)</w:t>
            </w:r>
          </w:p>
        </w:tc>
        <w:tc>
          <w:tcPr>
            <w:tcW w:w="1900" w:type="dxa"/>
            <w:shd w:val="clear" w:color="auto" w:fill="F2F5FA"/>
            <w:tcMar>
              <w:top w:w="60" w:type="dxa"/>
              <w:left w:w="110" w:type="dxa"/>
              <w:bottom w:w="60" w:type="dxa"/>
              <w:right w:w="110" w:type="dxa"/>
            </w:tcMar>
          </w:tcPr>
          <w:p w14:paraId="18270CD6" w14:textId="77777777" w:rsidR="00304236" w:rsidRDefault="00000000">
            <w:r>
              <w:rPr>
                <w:sz w:val="18"/>
                <w:szCs w:val="18"/>
              </w:rPr>
              <w:t>12,669</w:t>
            </w:r>
          </w:p>
        </w:tc>
        <w:tc>
          <w:tcPr>
            <w:tcW w:w="2000" w:type="dxa"/>
            <w:shd w:val="clear" w:color="auto" w:fill="F2F5FA"/>
            <w:tcMar>
              <w:top w:w="60" w:type="dxa"/>
              <w:left w:w="110" w:type="dxa"/>
              <w:bottom w:w="60" w:type="dxa"/>
              <w:right w:w="110" w:type="dxa"/>
            </w:tcMar>
          </w:tcPr>
          <w:p w14:paraId="2D241A2D" w14:textId="77777777" w:rsidR="00304236" w:rsidRDefault="00000000">
            <w:r>
              <w:rPr>
                <w:sz w:val="18"/>
                <w:szCs w:val="18"/>
              </w:rPr>
              <w:t>12,385</w:t>
            </w:r>
          </w:p>
        </w:tc>
        <w:tc>
          <w:tcPr>
            <w:tcW w:w="2300" w:type="dxa"/>
            <w:shd w:val="clear" w:color="auto" w:fill="F2F5FA"/>
            <w:tcMar>
              <w:top w:w="60" w:type="dxa"/>
              <w:left w:w="110" w:type="dxa"/>
              <w:bottom w:w="60" w:type="dxa"/>
              <w:right w:w="110" w:type="dxa"/>
            </w:tcMar>
          </w:tcPr>
          <w:p w14:paraId="5D0CFF2C" w14:textId="77777777" w:rsidR="00304236" w:rsidRDefault="00000000">
            <w:r>
              <w:rPr>
                <w:sz w:val="18"/>
                <w:szCs w:val="18"/>
              </w:rPr>
              <w:t>12,756</w:t>
            </w:r>
          </w:p>
        </w:tc>
      </w:tr>
      <w:tr w:rsidR="00304236" w14:paraId="3865B03B" w14:textId="77777777">
        <w:tc>
          <w:tcPr>
            <w:tcW w:w="3100" w:type="dxa"/>
            <w:tcMar>
              <w:top w:w="60" w:type="dxa"/>
              <w:left w:w="110" w:type="dxa"/>
              <w:bottom w:w="60" w:type="dxa"/>
              <w:right w:w="110" w:type="dxa"/>
            </w:tcMar>
          </w:tcPr>
          <w:p w14:paraId="3CF82EA2" w14:textId="77777777" w:rsidR="00304236" w:rsidRDefault="00000000">
            <w:r>
              <w:rPr>
                <w:b/>
                <w:bCs/>
                <w:sz w:val="18"/>
                <w:szCs w:val="18"/>
              </w:rPr>
              <w:t>Recovery under extension scenario (£000)</w:t>
            </w:r>
          </w:p>
        </w:tc>
        <w:tc>
          <w:tcPr>
            <w:tcW w:w="1900" w:type="dxa"/>
            <w:tcMar>
              <w:top w:w="60" w:type="dxa"/>
              <w:left w:w="110" w:type="dxa"/>
              <w:bottom w:w="60" w:type="dxa"/>
              <w:right w:w="110" w:type="dxa"/>
            </w:tcMar>
          </w:tcPr>
          <w:p w14:paraId="1821E0BC" w14:textId="77777777" w:rsidR="00304236" w:rsidRDefault="00000000">
            <w:r>
              <w:rPr>
                <w:sz w:val="18"/>
                <w:szCs w:val="18"/>
              </w:rPr>
              <w:t>1,815</w:t>
            </w:r>
          </w:p>
        </w:tc>
        <w:tc>
          <w:tcPr>
            <w:tcW w:w="2000" w:type="dxa"/>
            <w:tcMar>
              <w:top w:w="60" w:type="dxa"/>
              <w:left w:w="110" w:type="dxa"/>
              <w:bottom w:w="60" w:type="dxa"/>
              <w:right w:w="110" w:type="dxa"/>
            </w:tcMar>
          </w:tcPr>
          <w:p w14:paraId="66B744A4" w14:textId="77777777" w:rsidR="00304236" w:rsidRDefault="00000000">
            <w:r>
              <w:rPr>
                <w:sz w:val="18"/>
                <w:szCs w:val="18"/>
              </w:rPr>
              <w:t>1,284</w:t>
            </w:r>
          </w:p>
        </w:tc>
        <w:tc>
          <w:tcPr>
            <w:tcW w:w="2300" w:type="dxa"/>
            <w:tcMar>
              <w:top w:w="60" w:type="dxa"/>
              <w:left w:w="110" w:type="dxa"/>
              <w:bottom w:w="60" w:type="dxa"/>
              <w:right w:w="110" w:type="dxa"/>
            </w:tcMar>
          </w:tcPr>
          <w:p w14:paraId="1FD13833" w14:textId="77777777" w:rsidR="00304236" w:rsidRDefault="00000000">
            <w:r>
              <w:rPr>
                <w:sz w:val="18"/>
                <w:szCs w:val="18"/>
              </w:rPr>
              <w:t>1,667</w:t>
            </w:r>
          </w:p>
        </w:tc>
      </w:tr>
      <w:tr w:rsidR="00304236" w14:paraId="7BA16AA5" w14:textId="77777777">
        <w:tc>
          <w:tcPr>
            <w:tcW w:w="3100" w:type="dxa"/>
            <w:shd w:val="clear" w:color="auto" w:fill="F2F5FA"/>
            <w:tcMar>
              <w:top w:w="60" w:type="dxa"/>
              <w:left w:w="110" w:type="dxa"/>
              <w:bottom w:w="60" w:type="dxa"/>
              <w:right w:w="110" w:type="dxa"/>
            </w:tcMar>
          </w:tcPr>
          <w:p w14:paraId="302687A6" w14:textId="77777777" w:rsidR="00304236" w:rsidRDefault="00000000">
            <w:r>
              <w:rPr>
                <w:b/>
                <w:bCs/>
                <w:sz w:val="18"/>
                <w:szCs w:val="18"/>
              </w:rPr>
              <w:t>Net benefit of the cover (£000)</w:t>
            </w:r>
          </w:p>
        </w:tc>
        <w:tc>
          <w:tcPr>
            <w:tcW w:w="1900" w:type="dxa"/>
            <w:shd w:val="clear" w:color="auto" w:fill="F2F5FA"/>
            <w:tcMar>
              <w:top w:w="60" w:type="dxa"/>
              <w:left w:w="110" w:type="dxa"/>
              <w:bottom w:w="60" w:type="dxa"/>
              <w:right w:w="110" w:type="dxa"/>
            </w:tcMar>
          </w:tcPr>
          <w:p w14:paraId="512EB855" w14:textId="77777777" w:rsidR="00304236" w:rsidRDefault="00000000">
            <w:r>
              <w:rPr>
                <w:sz w:val="18"/>
                <w:szCs w:val="18"/>
              </w:rPr>
              <w:t>1,505</w:t>
            </w:r>
          </w:p>
        </w:tc>
        <w:tc>
          <w:tcPr>
            <w:tcW w:w="2000" w:type="dxa"/>
            <w:shd w:val="clear" w:color="auto" w:fill="F2F5FA"/>
            <w:tcMar>
              <w:top w:w="60" w:type="dxa"/>
              <w:left w:w="110" w:type="dxa"/>
              <w:bottom w:w="60" w:type="dxa"/>
              <w:right w:w="110" w:type="dxa"/>
            </w:tcMar>
          </w:tcPr>
          <w:p w14:paraId="0862643B" w14:textId="77777777" w:rsidR="00304236" w:rsidRDefault="00000000">
            <w:r>
              <w:rPr>
                <w:sz w:val="18"/>
                <w:szCs w:val="18"/>
              </w:rPr>
              <w:t>966</w:t>
            </w:r>
          </w:p>
        </w:tc>
        <w:tc>
          <w:tcPr>
            <w:tcW w:w="2300" w:type="dxa"/>
            <w:shd w:val="clear" w:color="auto" w:fill="F2F5FA"/>
            <w:tcMar>
              <w:top w:w="60" w:type="dxa"/>
              <w:left w:w="110" w:type="dxa"/>
              <w:bottom w:w="60" w:type="dxa"/>
              <w:right w:w="110" w:type="dxa"/>
            </w:tcMar>
          </w:tcPr>
          <w:p w14:paraId="41ABEC9F" w14:textId="77777777" w:rsidR="00304236" w:rsidRDefault="00000000">
            <w:r>
              <w:rPr>
                <w:sz w:val="18"/>
                <w:szCs w:val="18"/>
              </w:rPr>
              <w:t>1,350</w:t>
            </w:r>
          </w:p>
        </w:tc>
      </w:tr>
    </w:tbl>
    <w:p w14:paraId="57CCCA03" w14:textId="77777777" w:rsidR="007320BE" w:rsidRDefault="007320BE">
      <w:pPr>
        <w:spacing w:after="110" w:line="270" w:lineRule="auto"/>
      </w:pPr>
    </w:p>
    <w:p w14:paraId="7A8548CE" w14:textId="47064D35" w:rsidR="00304236" w:rsidRDefault="00000000">
      <w:pPr>
        <w:spacing w:after="110" w:line="270" w:lineRule="auto"/>
      </w:pPr>
      <w:r>
        <w:t>On the recommended Bornhuetter-Ferguson basis, the cover would attach at £11,089,000 and be exhausted at £13,729,000. Under the Chief Actuary’s extension scenario, the reserve rises to £12,756,000, which sits between the two. The cover would respond with a recovery of £1,667,000. After deducting the £317,000 premium, the net benefit to the company of having bought the cover, in this scenario, is £1,350,000.</w:t>
      </w:r>
    </w:p>
    <w:p w14:paraId="6646F341" w14:textId="77777777" w:rsidR="00304236" w:rsidRDefault="00000000">
      <w:pPr>
        <w:spacing w:before="80"/>
        <w:jc w:val="center"/>
      </w:pPr>
      <w:r>
        <w:rPr>
          <w:noProof/>
        </w:rPr>
        <w:lastRenderedPageBreak/>
        <w:drawing>
          <wp:inline distT="0" distB="0" distL="0" distR="0" wp14:anchorId="0F427A30" wp14:editId="20CD4B5A">
            <wp:extent cx="5043897" cy="2760133"/>
            <wp:effectExtent l="0" t="0" r="4445" b="2540"/>
            <wp:docPr id="1843956201" name="Picture 184395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68973" cy="2773855"/>
                    </a:xfrm>
                    <a:prstGeom prst="rect">
                      <a:avLst/>
                    </a:prstGeom>
                  </pic:spPr>
                </pic:pic>
              </a:graphicData>
            </a:graphic>
          </wp:inline>
        </w:drawing>
      </w:r>
    </w:p>
    <w:p w14:paraId="4AEEFE85" w14:textId="77777777" w:rsidR="00304236" w:rsidRDefault="00000000">
      <w:pPr>
        <w:spacing w:before="60" w:after="240"/>
        <w:jc w:val="center"/>
      </w:pPr>
      <w:r>
        <w:rPr>
          <w:i/>
          <w:iCs/>
          <w:color w:val="595959"/>
          <w:sz w:val="18"/>
          <w:szCs w:val="18"/>
        </w:rPr>
        <w:t>Figure 5. Sensitivity of the reserve to additional claims inflation, all three reserving methods, against the Bornhuetter-Ferguson attachment and exhaustion points.</w:t>
      </w:r>
    </w:p>
    <w:p w14:paraId="4726B8AF" w14:textId="77777777" w:rsidR="00150869" w:rsidRDefault="00000000">
      <w:pPr>
        <w:spacing w:after="110" w:line="270" w:lineRule="auto"/>
      </w:pPr>
      <w:r>
        <w:t xml:space="preserve">Figure 5 shows how the reserve would move under a wider range of additional inflation than the Chief Actuary’s 4.0% central assumption, and where that range sits relative to the Bornhuetter-Ferguson layer. </w:t>
      </w:r>
    </w:p>
    <w:p w14:paraId="1FE1E328" w14:textId="7FACDB32" w:rsidR="00304236" w:rsidRDefault="00000000">
      <w:pPr>
        <w:spacing w:after="110" w:line="270" w:lineRule="auto"/>
      </w:pPr>
      <w:r>
        <w:t>Two results stand out.</w:t>
      </w:r>
      <w:r w:rsidR="00150869">
        <w:t xml:space="preserve"> </w:t>
      </w:r>
      <w:r>
        <w:t>First, the tail factor alone, before any additional inflation at all, is already enough to push the reserve above the attachment point for every method. This means the cover is expected to respond to some degree simply because claims are recognised to run on beyond the observed 72 months, independent of the Chief Actuary’s inflation concern. Second, the exhaustion point is not reached at the 4.0% central assumption for any method. The additional inflation rate that would exhaust the cover entirely is 6.7% for Chain Ladder, 8.8% for Expected Claims, and 7.4% for Bornhuetter-Ferguson. All three sit comfortably above the 4.0% assumption, meaning there is a meaningful margin before the company’s own exposure returns in full.</w:t>
      </w:r>
    </w:p>
    <w:p w14:paraId="37D44AA7" w14:textId="77777777" w:rsidR="00304236" w:rsidRDefault="00000000">
      <w:pPr>
        <w:spacing w:after="110" w:line="270" w:lineRule="auto"/>
      </w:pPr>
      <w:r>
        <w:t xml:space="preserve">The cover shows a positive net benefit under all three reserving methods in the extension </w:t>
      </w:r>
      <w:proofErr w:type="gramStart"/>
      <w:r>
        <w:t>scenario, and</w:t>
      </w:r>
      <w:proofErr w:type="gramEnd"/>
      <w:r>
        <w:t xml:space="preserve"> is recommended for purchase. The recommendation is strongest on the recommended Bornhuetter-Ferguson basis, and the 7.4% exhaustion threshold on that basis gives a specific, monitorable figure for the Committee to track against actual claims inflation experience in future periods.</w:t>
      </w:r>
    </w:p>
    <w:p w14:paraId="6640A954" w14:textId="77777777" w:rsidR="00304236" w:rsidRDefault="00000000">
      <w:pPr>
        <w:pStyle w:val="Heading1"/>
        <w:spacing w:before="320" w:after="150"/>
      </w:pPr>
      <w:r>
        <w:rPr>
          <w:b/>
          <w:bCs/>
          <w:color w:val="1F3864"/>
          <w:sz w:val="27"/>
          <w:szCs w:val="27"/>
        </w:rPr>
        <w:t>12. Comparison of all final scenarios</w:t>
      </w:r>
    </w:p>
    <w:p w14:paraId="59ACF25A" w14:textId="77777777" w:rsidR="00304236" w:rsidRDefault="00000000">
      <w:pPr>
        <w:spacing w:after="110" w:line="270" w:lineRule="auto"/>
      </w:pPr>
      <w:r>
        <w:t xml:space="preserve">Figures 1 to 5 together give a full graphical picture of every scenario modelled, from the three base methods, through the extension scenario, to the reinsurance analysis. Across every view, the same pattern holds. The three reserving methods stay reasonably close together in the base scenario, Bornhuetter-Ferguson sits consistently within the range set by the other two, the extension scenario increases every method’s reserve by a broadly similar amount in percentage terms, and Group C is consistently the outlier, whether measured by reserve as a percentage of premium, combined ratio, or speed of claims development. This consistency across several independent views is itself a form of reasonableness check on the </w:t>
      </w:r>
      <w:proofErr w:type="gramStart"/>
      <w:r>
        <w:t>model as a whole</w:t>
      </w:r>
      <w:proofErr w:type="gramEnd"/>
      <w:r>
        <w:t>.</w:t>
      </w:r>
    </w:p>
    <w:p w14:paraId="5ADA43AE" w14:textId="77777777" w:rsidR="00304236" w:rsidRDefault="00000000">
      <w:pPr>
        <w:pStyle w:val="Heading1"/>
        <w:spacing w:before="320" w:after="150"/>
      </w:pPr>
      <w:r>
        <w:rPr>
          <w:b/>
          <w:bCs/>
          <w:color w:val="1F3864"/>
          <w:sz w:val="27"/>
          <w:szCs w:val="27"/>
        </w:rPr>
        <w:t>13. Conclusions</w:t>
      </w:r>
    </w:p>
    <w:p w14:paraId="02635404" w14:textId="77777777" w:rsidR="00304236" w:rsidRDefault="00000000">
      <w:pPr>
        <w:pStyle w:val="ListParagraph"/>
        <w:numPr>
          <w:ilvl w:val="0"/>
          <w:numId w:val="2"/>
        </w:numPr>
        <w:spacing w:after="70" w:line="270" w:lineRule="auto"/>
      </w:pPr>
      <w:r>
        <w:t xml:space="preserve">Bornhuetter-Ferguson is recommended as the basis to book, giving a portfolio reserve of £10,561,000 </w:t>
      </w:r>
      <w:proofErr w:type="gramStart"/>
      <w:r>
        <w:t>at</w:t>
      </w:r>
      <w:proofErr w:type="gramEnd"/>
      <w:r>
        <w:t xml:space="preserve"> 31 December 2025. It sits between the Chain Ladder and </w:t>
      </w:r>
      <w:proofErr w:type="gramStart"/>
      <w:r>
        <w:t>Expected</w:t>
      </w:r>
      <w:proofErr w:type="gramEnd"/>
      <w:r>
        <w:t xml:space="preserve"> Claims estimates in every single accident year and rating group, and it avoids the specific weaknesses shown by each of the other two methods on their own.</w:t>
      </w:r>
    </w:p>
    <w:p w14:paraId="379ABCD9" w14:textId="77777777" w:rsidR="00304236" w:rsidRDefault="00000000">
      <w:pPr>
        <w:pStyle w:val="ListParagraph"/>
        <w:numPr>
          <w:ilvl w:val="0"/>
          <w:numId w:val="2"/>
        </w:numPr>
        <w:spacing w:after="70" w:line="270" w:lineRule="auto"/>
      </w:pPr>
      <w:r>
        <w:t>The Chief Actuary’s extension scenario increases the reserve materially, by between 17% and 23% depending on the method, and widens the gap between methods by around 58%. The choice of reserving method therefore matters more, not less, under adverse conditions.</w:t>
      </w:r>
    </w:p>
    <w:p w14:paraId="464BAECB" w14:textId="77777777" w:rsidR="00304236" w:rsidRDefault="00000000">
      <w:pPr>
        <w:pStyle w:val="ListParagraph"/>
        <w:numPr>
          <w:ilvl w:val="0"/>
          <w:numId w:val="2"/>
        </w:numPr>
        <w:spacing w:after="70" w:line="270" w:lineRule="auto"/>
      </w:pPr>
      <w:r>
        <w:lastRenderedPageBreak/>
        <w:t>Group C, the specialist haulage account, is the weakest part of the portfolio on every metric considered. Its reserve as a percentage of premium, its combined ratio, and its speed of claims development are all worse than Groups A and B. Its estimated 2025 combined ratio of 104.1% suggests the current pricing basis does not cover the account’s own claims and expenses, and this is flagged for the pricing team’s attention separately from the reserving decision.</w:t>
      </w:r>
    </w:p>
    <w:p w14:paraId="607D8A0B" w14:textId="77777777" w:rsidR="00304236" w:rsidRDefault="00000000">
      <w:pPr>
        <w:pStyle w:val="ListParagraph"/>
        <w:numPr>
          <w:ilvl w:val="0"/>
          <w:numId w:val="2"/>
        </w:numPr>
        <w:spacing w:after="70" w:line="270" w:lineRule="auto"/>
      </w:pPr>
      <w:r>
        <w:t>The Adverse Development Cover offered by the reinsurer is recommended for purchase. It shows a positive net benefit under all three reserving methods in the adverse scenario, and its exhaustion point is not reached even at the Chief Actuary’s central inflation assumption, leaving a meaningful margin before the company’s own exposure returns.</w:t>
      </w:r>
    </w:p>
    <w:p w14:paraId="4C661E71" w14:textId="4FD664A0" w:rsidR="005A64B7" w:rsidRDefault="00000000" w:rsidP="005A64B7">
      <w:pPr>
        <w:pStyle w:val="ListParagraph"/>
        <w:numPr>
          <w:ilvl w:val="0"/>
          <w:numId w:val="2"/>
        </w:numPr>
        <w:spacing w:after="70" w:line="270" w:lineRule="auto"/>
      </w:pPr>
      <w:r>
        <w:t>The data validation exercise found and corrected four defects in the claims data, plus one material decimal error in the rate change history. Correcting the rate change error alone was shown to have a material effect on Group C’s expected loss ratio, underlining the importance of validating source data before it is used, rather than assuming it is correct because it comes from an operational system.</w:t>
      </w:r>
    </w:p>
    <w:p w14:paraId="0298288D" w14:textId="77777777" w:rsidR="00304236" w:rsidRDefault="00000000">
      <w:pPr>
        <w:pStyle w:val="Heading1"/>
        <w:spacing w:before="320" w:after="150"/>
      </w:pPr>
      <w:r>
        <w:rPr>
          <w:b/>
          <w:bCs/>
          <w:color w:val="1F3864"/>
          <w:sz w:val="27"/>
          <w:szCs w:val="27"/>
        </w:rPr>
        <w:t>14. Next steps</w:t>
      </w:r>
    </w:p>
    <w:p w14:paraId="22584CAA" w14:textId="77777777" w:rsidR="00304236" w:rsidRDefault="00000000">
      <w:pPr>
        <w:pStyle w:val="Heading2"/>
        <w:spacing w:before="220" w:after="110"/>
      </w:pPr>
      <w:r>
        <w:rPr>
          <w:b/>
          <w:bCs/>
          <w:color w:val="1F3864"/>
          <w:sz w:val="23"/>
          <w:szCs w:val="23"/>
        </w:rPr>
        <w:t>Data refinement and validation</w:t>
      </w:r>
    </w:p>
    <w:p w14:paraId="3081EC61" w14:textId="7C0E4944" w:rsidR="00304236" w:rsidRDefault="00000000">
      <w:pPr>
        <w:pStyle w:val="ListParagraph"/>
        <w:numPr>
          <w:ilvl w:val="0"/>
          <w:numId w:val="2"/>
        </w:numPr>
        <w:spacing w:after="70" w:line="270" w:lineRule="auto"/>
      </w:pPr>
      <w:r>
        <w:t xml:space="preserve">Obtain incurred claims data, not just paid claims, for at least the most recent two accident years. This would give a second, independent view of the reserve and would likely </w:t>
      </w:r>
      <w:r w:rsidR="00610F79">
        <w:t>improve</w:t>
      </w:r>
      <w:r>
        <w:t xml:space="preserve"> the tail factor estimate, which is currently a market benchmark rather than a figure derived from the account’s own experience.</w:t>
      </w:r>
    </w:p>
    <w:p w14:paraId="03560ED2" w14:textId="091E41AC" w:rsidR="00304236" w:rsidRDefault="00000000">
      <w:pPr>
        <w:pStyle w:val="ListParagraph"/>
        <w:numPr>
          <w:ilvl w:val="0"/>
          <w:numId w:val="2"/>
        </w:numPr>
        <w:spacing w:after="70" w:line="270" w:lineRule="auto"/>
      </w:pPr>
      <w:r>
        <w:t>Investigate the root cause of the data defects found in this exercise, particularly the decimal error in the rate change history, to see whether the same error type could be present elsewhere in the extract that the current validation rules did not</w:t>
      </w:r>
      <w:r w:rsidR="000165D1">
        <w:t xml:space="preserve"> happen to</w:t>
      </w:r>
      <w:r>
        <w:t xml:space="preserve"> catch.</w:t>
      </w:r>
    </w:p>
    <w:p w14:paraId="17835001" w14:textId="77777777" w:rsidR="00304236" w:rsidRDefault="00000000">
      <w:pPr>
        <w:pStyle w:val="Heading2"/>
        <w:spacing w:before="220" w:after="110"/>
      </w:pPr>
      <w:r>
        <w:rPr>
          <w:b/>
          <w:bCs/>
          <w:color w:val="1F3864"/>
          <w:sz w:val="23"/>
          <w:szCs w:val="23"/>
        </w:rPr>
        <w:t>Model enhancements</w:t>
      </w:r>
    </w:p>
    <w:p w14:paraId="23A0F54E" w14:textId="77777777" w:rsidR="00304236" w:rsidRDefault="00000000">
      <w:pPr>
        <w:pStyle w:val="ListParagraph"/>
        <w:numPr>
          <w:ilvl w:val="0"/>
          <w:numId w:val="2"/>
        </w:numPr>
        <w:spacing w:after="70" w:line="270" w:lineRule="auto"/>
      </w:pPr>
      <w:r>
        <w:t>Consider a more refined credibility approach, for example Buhlmann-Straub credibility, once enough further accident years of data are available to estimate the between-group variance reliably.</w:t>
      </w:r>
    </w:p>
    <w:p w14:paraId="70EF7AFD" w14:textId="77777777" w:rsidR="00304236" w:rsidRDefault="00000000">
      <w:pPr>
        <w:pStyle w:val="ListParagraph"/>
        <w:numPr>
          <w:ilvl w:val="0"/>
          <w:numId w:val="2"/>
        </w:numPr>
        <w:spacing w:after="70" w:line="270" w:lineRule="auto"/>
      </w:pPr>
      <w:r>
        <w:t>Model a fourth reserving method, Cape Cod, which is closely related to Bornhuetter-Ferguson but derives its expected loss ratio directly from the account’s own paid claims. This would provide a further, independent check on the Bornhuetter-Ferguson result.</w:t>
      </w:r>
    </w:p>
    <w:p w14:paraId="2E4E2AF5" w14:textId="67DFEC8B" w:rsidR="00304236" w:rsidRDefault="00000000">
      <w:pPr>
        <w:pStyle w:val="ListParagraph"/>
        <w:numPr>
          <w:ilvl w:val="0"/>
          <w:numId w:val="2"/>
        </w:numPr>
        <w:spacing w:after="70" w:line="270" w:lineRule="auto"/>
      </w:pPr>
      <w:r>
        <w:t>Investigate a deductible or policy limit change scenario as a further extension, alongside the claims inflation scenario already modelled</w:t>
      </w:r>
      <w:r w:rsidR="00A15FF6">
        <w:t xml:space="preserve">. </w:t>
      </w:r>
      <w:r w:rsidR="00A15FF6" w:rsidRPr="00A15FF6">
        <w:t xml:space="preserve">This is a </w:t>
      </w:r>
      <w:r w:rsidR="00A15FF6">
        <w:t>potential</w:t>
      </w:r>
      <w:r w:rsidR="00A15FF6" w:rsidRPr="00A15FF6">
        <w:t xml:space="preserve"> lever available to the business, distinct from the rate increase already flagged for Group C in Section 10. Raising the deductible would remove a share of the smallest claims from the account, which could improve the combined ratio without relying on a rate increase that the market may not sustain. It would also change the shape of the remaining claims, since the smaller, faster-settling claims would be removed and the account would be left with a larger share of the slower, more severe claims that are already driving Group C's long tail. This could lengthen the observed development pattern further</w:t>
      </w:r>
      <w:r w:rsidR="00A15FF6">
        <w:t xml:space="preserve"> </w:t>
      </w:r>
      <w:r w:rsidR="00A15FF6" w:rsidRPr="00A15FF6">
        <w:t xml:space="preserve">and would also change the reserve that the </w:t>
      </w:r>
      <w:r w:rsidR="00A15FF6">
        <w:t>ADC</w:t>
      </w:r>
      <w:r w:rsidR="00A15FF6" w:rsidRPr="00A15FF6">
        <w:t xml:space="preserve"> is priced against</w:t>
      </w:r>
      <w:r w:rsidR="00A15FF6">
        <w:t>.</w:t>
      </w:r>
    </w:p>
    <w:p w14:paraId="07D2B3FA" w14:textId="77777777" w:rsidR="00304236" w:rsidRDefault="00000000">
      <w:pPr>
        <w:pStyle w:val="Heading2"/>
        <w:spacing w:before="220" w:after="110"/>
      </w:pPr>
      <w:r>
        <w:rPr>
          <w:b/>
          <w:bCs/>
          <w:color w:val="1F3864"/>
          <w:sz w:val="23"/>
          <w:szCs w:val="23"/>
        </w:rPr>
        <w:t>Scenario expansion and risk management</w:t>
      </w:r>
    </w:p>
    <w:p w14:paraId="394F2F6C" w14:textId="77777777" w:rsidR="00304236" w:rsidRDefault="00000000">
      <w:pPr>
        <w:pStyle w:val="ListParagraph"/>
        <w:numPr>
          <w:ilvl w:val="0"/>
          <w:numId w:val="2"/>
        </w:numPr>
        <w:spacing w:after="70" w:line="270" w:lineRule="auto"/>
      </w:pPr>
      <w:r>
        <w:t>Model the effect of a change in Group C’s pricing basis, given the combined ratio finding in Section 10, and quantify what rate increase would be needed to bring the group back under 100%.</w:t>
      </w:r>
    </w:p>
    <w:p w14:paraId="2DDB2584" w14:textId="77777777" w:rsidR="00304236" w:rsidRDefault="00000000">
      <w:pPr>
        <w:pStyle w:val="ListParagraph"/>
        <w:numPr>
          <w:ilvl w:val="0"/>
          <w:numId w:val="2"/>
        </w:numPr>
        <w:spacing w:after="70" w:line="270" w:lineRule="auto"/>
      </w:pPr>
      <w:r>
        <w:t xml:space="preserve">Re-run the Adverse Development Cover analysis periodically as the reserve is updated at future reserving </w:t>
      </w:r>
      <w:proofErr w:type="gramStart"/>
      <w:r>
        <w:t>dates, and</w:t>
      </w:r>
      <w:proofErr w:type="gramEnd"/>
      <w:r>
        <w:t xml:space="preserve"> monitor actual claims inflation experience against the 7.4% exhaustion threshold identified for the recommended basis.</w:t>
      </w:r>
    </w:p>
    <w:p w14:paraId="4B3B0647" w14:textId="77777777" w:rsidR="00304236" w:rsidRDefault="00000000">
      <w:pPr>
        <w:pStyle w:val="ListParagraph"/>
        <w:numPr>
          <w:ilvl w:val="0"/>
          <w:numId w:val="2"/>
        </w:numPr>
        <w:spacing w:after="70" w:line="270" w:lineRule="auto"/>
      </w:pPr>
      <w:r>
        <w:t>Review the reinsurer’s own financial strength, since the value of the cover depends on the reinsurer being able to pay recoveries when they fall due, which has been assumed rather than tested in this analysis.</w:t>
      </w:r>
    </w:p>
    <w:sectPr w:rsidR="00304236">
      <w:footerReference w:type="default" r:id="rId12"/>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854BB" w14:textId="77777777" w:rsidR="001D3561" w:rsidRDefault="001D3561">
      <w:r>
        <w:separator/>
      </w:r>
    </w:p>
  </w:endnote>
  <w:endnote w:type="continuationSeparator" w:id="0">
    <w:p w14:paraId="3724C241" w14:textId="77777777" w:rsidR="001D3561" w:rsidRDefault="001D3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4F9E" w14:textId="3BA8DFD2" w:rsidR="001F3742" w:rsidRPr="00171C41" w:rsidRDefault="00D335E4" w:rsidP="001F3742">
    <w:pPr>
      <w:jc w:val="center"/>
      <w:rPr>
        <w:color w:val="808080"/>
        <w:sz w:val="20"/>
        <w:szCs w:val="20"/>
      </w:rPr>
    </w:pPr>
    <w:r w:rsidRPr="00171C41">
      <w:rPr>
        <w:color w:val="808080"/>
        <w:sz w:val="20"/>
        <w:szCs w:val="20"/>
      </w:rPr>
      <w:t xml:space="preserve">Ardi Wira Sudarmo – </w:t>
    </w:r>
    <w:r w:rsidR="002E5AB4" w:rsidRPr="00171C41">
      <w:rPr>
        <w:color w:val="808080"/>
        <w:sz w:val="20"/>
        <w:szCs w:val="20"/>
      </w:rPr>
      <w:t>CP</w:t>
    </w:r>
    <w:r w:rsidR="002A7F9C">
      <w:rPr>
        <w:color w:val="808080"/>
        <w:sz w:val="20"/>
        <w:szCs w:val="20"/>
      </w:rPr>
      <w:t>2</w:t>
    </w:r>
    <w:r w:rsidRPr="00171C41">
      <w:rPr>
        <w:color w:val="808080"/>
        <w:sz w:val="20"/>
        <w:szCs w:val="20"/>
      </w:rPr>
      <w:t xml:space="preserve"> Summary – page </w:t>
    </w:r>
    <w:r w:rsidRPr="00171C41">
      <w:rPr>
        <w:color w:val="808080"/>
        <w:sz w:val="20"/>
        <w:szCs w:val="20"/>
      </w:rPr>
      <w:fldChar w:fldCharType="begin"/>
    </w:r>
    <w:r w:rsidRPr="00171C41">
      <w:rPr>
        <w:color w:val="808080"/>
        <w:sz w:val="20"/>
        <w:szCs w:val="20"/>
      </w:rPr>
      <w:instrText>PAGE</w:instrText>
    </w:r>
    <w:r w:rsidRPr="00171C41">
      <w:rPr>
        <w:color w:val="808080"/>
        <w:sz w:val="20"/>
        <w:szCs w:val="20"/>
      </w:rPr>
      <w:fldChar w:fldCharType="separate"/>
    </w:r>
    <w:r w:rsidR="00654841" w:rsidRPr="00171C41">
      <w:rPr>
        <w:noProof/>
        <w:color w:val="808080"/>
        <w:sz w:val="20"/>
        <w:szCs w:val="20"/>
      </w:rPr>
      <w:t>1</w:t>
    </w:r>
    <w:r w:rsidRPr="00171C41">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45720" w14:textId="77777777" w:rsidR="001D3561" w:rsidRDefault="001D3561">
      <w:r>
        <w:separator/>
      </w:r>
    </w:p>
  </w:footnote>
  <w:footnote w:type="continuationSeparator" w:id="0">
    <w:p w14:paraId="72120F31" w14:textId="77777777" w:rsidR="001D3561" w:rsidRDefault="001D35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5142E"/>
    <w:multiLevelType w:val="hybridMultilevel"/>
    <w:tmpl w:val="C5ACD240"/>
    <w:lvl w:ilvl="0" w:tplc="5C6E4730">
      <w:start w:val="1"/>
      <w:numFmt w:val="bullet"/>
      <w:lvlText w:val="•"/>
      <w:lvlJc w:val="left"/>
      <w:pPr>
        <w:ind w:left="560" w:hanging="260"/>
      </w:pPr>
    </w:lvl>
    <w:lvl w:ilvl="1" w:tplc="4A7CCE80">
      <w:start w:val="1"/>
      <w:numFmt w:val="bullet"/>
      <w:lvlText w:val="◦"/>
      <w:lvlJc w:val="left"/>
      <w:pPr>
        <w:ind w:left="900" w:hanging="260"/>
      </w:pPr>
    </w:lvl>
    <w:lvl w:ilvl="2" w:tplc="9F3E82E6">
      <w:numFmt w:val="decimal"/>
      <w:lvlText w:val=""/>
      <w:lvlJc w:val="left"/>
    </w:lvl>
    <w:lvl w:ilvl="3" w:tplc="4AD42D58">
      <w:numFmt w:val="decimal"/>
      <w:lvlText w:val=""/>
      <w:lvlJc w:val="left"/>
    </w:lvl>
    <w:lvl w:ilvl="4" w:tplc="172EA682">
      <w:numFmt w:val="decimal"/>
      <w:lvlText w:val=""/>
      <w:lvlJc w:val="left"/>
    </w:lvl>
    <w:lvl w:ilvl="5" w:tplc="7B64169C">
      <w:numFmt w:val="decimal"/>
      <w:lvlText w:val=""/>
      <w:lvlJc w:val="left"/>
    </w:lvl>
    <w:lvl w:ilvl="6" w:tplc="A6DE1D92">
      <w:numFmt w:val="decimal"/>
      <w:lvlText w:val=""/>
      <w:lvlJc w:val="left"/>
    </w:lvl>
    <w:lvl w:ilvl="7" w:tplc="D3E246A6">
      <w:numFmt w:val="decimal"/>
      <w:lvlText w:val=""/>
      <w:lvlJc w:val="left"/>
    </w:lvl>
    <w:lvl w:ilvl="8" w:tplc="9E06CEB2">
      <w:numFmt w:val="decimal"/>
      <w:lvlText w:val=""/>
      <w:lvlJc w:val="left"/>
    </w:lvl>
  </w:abstractNum>
  <w:abstractNum w:abstractNumId="1" w15:restartNumberingAfterBreak="0">
    <w:nsid w:val="4E4148D6"/>
    <w:multiLevelType w:val="hybridMultilevel"/>
    <w:tmpl w:val="DA4AC2F0"/>
    <w:lvl w:ilvl="0" w:tplc="11D6C23E">
      <w:start w:val="1"/>
      <w:numFmt w:val="bullet"/>
      <w:lvlText w:val="●"/>
      <w:lvlJc w:val="left"/>
      <w:pPr>
        <w:ind w:left="720" w:hanging="360"/>
      </w:pPr>
    </w:lvl>
    <w:lvl w:ilvl="1" w:tplc="80B0525E">
      <w:start w:val="1"/>
      <w:numFmt w:val="bullet"/>
      <w:lvlText w:val="○"/>
      <w:lvlJc w:val="left"/>
      <w:pPr>
        <w:ind w:left="1440" w:hanging="360"/>
      </w:pPr>
    </w:lvl>
    <w:lvl w:ilvl="2" w:tplc="5D4A762E">
      <w:start w:val="1"/>
      <w:numFmt w:val="bullet"/>
      <w:lvlText w:val="■"/>
      <w:lvlJc w:val="left"/>
      <w:pPr>
        <w:ind w:left="2160" w:hanging="360"/>
      </w:pPr>
    </w:lvl>
    <w:lvl w:ilvl="3" w:tplc="1D221042">
      <w:start w:val="1"/>
      <w:numFmt w:val="bullet"/>
      <w:lvlText w:val="●"/>
      <w:lvlJc w:val="left"/>
      <w:pPr>
        <w:ind w:left="2880" w:hanging="360"/>
      </w:pPr>
    </w:lvl>
    <w:lvl w:ilvl="4" w:tplc="0B46017C">
      <w:start w:val="1"/>
      <w:numFmt w:val="bullet"/>
      <w:lvlText w:val="○"/>
      <w:lvlJc w:val="left"/>
      <w:pPr>
        <w:ind w:left="3600" w:hanging="360"/>
      </w:pPr>
    </w:lvl>
    <w:lvl w:ilvl="5" w:tplc="2E7EDC2C">
      <w:start w:val="1"/>
      <w:numFmt w:val="bullet"/>
      <w:lvlText w:val="■"/>
      <w:lvlJc w:val="left"/>
      <w:pPr>
        <w:ind w:left="4320" w:hanging="360"/>
      </w:pPr>
    </w:lvl>
    <w:lvl w:ilvl="6" w:tplc="2FB0E79E">
      <w:start w:val="1"/>
      <w:numFmt w:val="bullet"/>
      <w:lvlText w:val="●"/>
      <w:lvlJc w:val="left"/>
      <w:pPr>
        <w:ind w:left="5040" w:hanging="360"/>
      </w:pPr>
    </w:lvl>
    <w:lvl w:ilvl="7" w:tplc="4A0C39B2">
      <w:start w:val="1"/>
      <w:numFmt w:val="bullet"/>
      <w:lvlText w:val="●"/>
      <w:lvlJc w:val="left"/>
      <w:pPr>
        <w:ind w:left="5760" w:hanging="360"/>
      </w:pPr>
    </w:lvl>
    <w:lvl w:ilvl="8" w:tplc="DF30D5B8">
      <w:start w:val="1"/>
      <w:numFmt w:val="bullet"/>
      <w:lvlText w:val="●"/>
      <w:lvlJc w:val="left"/>
      <w:pPr>
        <w:ind w:left="6480" w:hanging="360"/>
      </w:pPr>
    </w:lvl>
  </w:abstractNum>
  <w:num w:numId="1" w16cid:durableId="794447593">
    <w:abstractNumId w:val="1"/>
    <w:lvlOverride w:ilvl="0">
      <w:startOverride w:val="1"/>
    </w:lvlOverride>
  </w:num>
  <w:num w:numId="2" w16cid:durableId="360740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236"/>
    <w:rsid w:val="000033E1"/>
    <w:rsid w:val="000165D1"/>
    <w:rsid w:val="0009184E"/>
    <w:rsid w:val="000A0F47"/>
    <w:rsid w:val="000B4895"/>
    <w:rsid w:val="00146762"/>
    <w:rsid w:val="00150869"/>
    <w:rsid w:val="00171C41"/>
    <w:rsid w:val="001D3561"/>
    <w:rsid w:val="001F3742"/>
    <w:rsid w:val="002A7F9C"/>
    <w:rsid w:val="002E5AB4"/>
    <w:rsid w:val="00304236"/>
    <w:rsid w:val="00374BBE"/>
    <w:rsid w:val="00405A38"/>
    <w:rsid w:val="00431C4C"/>
    <w:rsid w:val="00481E88"/>
    <w:rsid w:val="004B1269"/>
    <w:rsid w:val="005A64B7"/>
    <w:rsid w:val="005F06B5"/>
    <w:rsid w:val="005F0F3A"/>
    <w:rsid w:val="00610F79"/>
    <w:rsid w:val="00626AAB"/>
    <w:rsid w:val="00654841"/>
    <w:rsid w:val="00676D33"/>
    <w:rsid w:val="00691415"/>
    <w:rsid w:val="007320BE"/>
    <w:rsid w:val="00741510"/>
    <w:rsid w:val="007544BF"/>
    <w:rsid w:val="00785C3C"/>
    <w:rsid w:val="007933ED"/>
    <w:rsid w:val="008048DC"/>
    <w:rsid w:val="00830AC8"/>
    <w:rsid w:val="00834436"/>
    <w:rsid w:val="00864DB9"/>
    <w:rsid w:val="00886081"/>
    <w:rsid w:val="00945A1C"/>
    <w:rsid w:val="00A13872"/>
    <w:rsid w:val="00A15FF6"/>
    <w:rsid w:val="00A23E3D"/>
    <w:rsid w:val="00A41266"/>
    <w:rsid w:val="00A96213"/>
    <w:rsid w:val="00AF6288"/>
    <w:rsid w:val="00B062FF"/>
    <w:rsid w:val="00B70CEC"/>
    <w:rsid w:val="00B974DC"/>
    <w:rsid w:val="00C4491F"/>
    <w:rsid w:val="00D335E4"/>
    <w:rsid w:val="00DC1A39"/>
    <w:rsid w:val="00DF4316"/>
    <w:rsid w:val="00F01849"/>
    <w:rsid w:val="00F16654"/>
    <w:rsid w:val="00F63611"/>
    <w:rsid w:val="00FA136F"/>
    <w:rsid w:val="00FF2FB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AF7A"/>
  <w15:docId w15:val="{F882ED16-285C-4115-A153-65319B335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35E4"/>
    <w:pPr>
      <w:tabs>
        <w:tab w:val="center" w:pos="4513"/>
        <w:tab w:val="right" w:pos="9026"/>
      </w:tabs>
    </w:pPr>
  </w:style>
  <w:style w:type="character" w:customStyle="1" w:styleId="HeaderChar">
    <w:name w:val="Header Char"/>
    <w:basedOn w:val="DefaultParagraphFont"/>
    <w:link w:val="Header"/>
    <w:uiPriority w:val="99"/>
    <w:rsid w:val="00D335E4"/>
  </w:style>
  <w:style w:type="paragraph" w:styleId="Footer">
    <w:name w:val="footer"/>
    <w:basedOn w:val="Normal"/>
    <w:link w:val="FooterChar"/>
    <w:uiPriority w:val="99"/>
    <w:unhideWhenUsed/>
    <w:rsid w:val="00D335E4"/>
    <w:pPr>
      <w:tabs>
        <w:tab w:val="center" w:pos="4513"/>
        <w:tab w:val="right" w:pos="9026"/>
      </w:tabs>
    </w:pPr>
  </w:style>
  <w:style w:type="character" w:customStyle="1" w:styleId="FooterChar">
    <w:name w:val="Footer Char"/>
    <w:basedOn w:val="DefaultParagraphFont"/>
    <w:link w:val="Footer"/>
    <w:uiPriority w:val="99"/>
    <w:rsid w:val="00D33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4463</Words>
  <Characters>25445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PG-Sudarmo, Ardi Wira</cp:lastModifiedBy>
  <cp:revision>3</cp:revision>
  <dcterms:created xsi:type="dcterms:W3CDTF">2026-08-28T11:17:00Z</dcterms:created>
  <dcterms:modified xsi:type="dcterms:W3CDTF">2026-09-18T13:07:00Z</dcterms:modified>
</cp:coreProperties>
</file>