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4C75"/>
          <w:sz w:val="48"/>
        </w:rPr>
        <w:t>NovaCart Marketplace - Company Profile</w:t>
      </w:r>
    </w:p>
    <w:p>
      <w:pPr>
        <w:jc w:val="center"/>
      </w:pPr>
      <w:r>
        <w:rPr>
          <w:i/>
          <w:color w:val="505050"/>
          <w:sz w:val="22"/>
        </w:rPr>
        <w:t>Fictitious e-commerce company profile for customer chatbot / RAG testing</w:t>
      </w:r>
    </w:p>
    <w:p/>
    <w:p>
      <w:pPr>
        <w:pStyle w:val="Heading1"/>
      </w:pPr>
      <w:r>
        <w:rPr>
          <w:color w:val="0F4C75"/>
        </w:rPr>
        <w:t>1. Executive Summary</w:t>
      </w:r>
    </w:p>
    <w:p>
      <w:r>
        <w:t>NovaCart Marketplace is a fictitious digital marketplace that connects customers with millions of products across electronics, home, beauty, fashion, groceries, books, toys, automotive accessories, and small business supplies. The company operates like a modern e-commerce platform with customer accounts, personalized recommendations, secure checkout, fast delivery, returns, seller support, and shipment tracking. This profile is designed as synthetic knowledge that can be uploaded into a retrieval augmented generation system for chatbot experimentation.</w:t>
      </w:r>
    </w:p>
    <w:p>
      <w:pPr>
        <w:pStyle w:val="Heading1"/>
      </w:pPr>
      <w:r>
        <w:rPr>
          <w:color w:val="0F4C75"/>
        </w:rPr>
        <w:t>2. Company Snapshot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0F4C75"/>
          </w:tcPr>
          <w:p>
            <w:r/>
            <w:r>
              <w:rPr>
                <w:b/>
                <w:color w:val="FFFFFF"/>
              </w:rPr>
              <w:t>Field</w:t>
            </w:r>
          </w:p>
        </w:tc>
        <w:tc>
          <w:tcPr>
            <w:tcW w:type="dxa" w:w="5112"/>
            <w:vAlign w:val="center"/>
            <w:shd w:fill="0F4C75"/>
          </w:tcPr>
          <w:p>
            <w:r/>
            <w:r>
              <w:rPr>
                <w:b/>
                <w:color w:val="FFFFFF"/>
              </w:rPr>
              <w:t>Detail</w:t>
            </w:r>
          </w:p>
        </w:tc>
      </w:tr>
      <w:tr>
        <w:tc>
          <w:tcPr>
            <w:tcW w:type="dxa" w:w="5112"/>
            <w:vAlign w:val="center"/>
          </w:tcPr>
          <w:p>
            <w:r/>
            <w:r>
              <w:rPr>
                <w:b/>
              </w:rPr>
              <w:t>Company Name</w:t>
            </w:r>
          </w:p>
        </w:tc>
        <w:tc>
          <w:tcPr>
            <w:tcW w:type="dxa" w:w="5112"/>
            <w:vAlign w:val="center"/>
          </w:tcPr>
          <w:p>
            <w:r/>
            <w:r>
              <w:rPr>
                <w:b w:val="0"/>
              </w:rPr>
              <w:t>NovaCart Marketplace</w:t>
            </w:r>
          </w:p>
        </w:tc>
      </w:tr>
      <w:tr>
        <w:tc>
          <w:tcPr>
            <w:tcW w:type="dxa" w:w="5112"/>
            <w:vAlign w:val="center"/>
          </w:tcPr>
          <w:p>
            <w:r/>
            <w:r>
              <w:rPr>
                <w:b/>
              </w:rPr>
              <w:t>Business Type</w:t>
            </w:r>
          </w:p>
        </w:tc>
        <w:tc>
          <w:tcPr>
            <w:tcW w:type="dxa" w:w="5112"/>
            <w:vAlign w:val="center"/>
          </w:tcPr>
          <w:p>
            <w:r/>
            <w:r>
              <w:rPr>
                <w:b w:val="0"/>
              </w:rPr>
              <w:t>Online marketplace and logistics-enabled retail platform</w:t>
            </w:r>
          </w:p>
        </w:tc>
      </w:tr>
      <w:tr>
        <w:tc>
          <w:tcPr>
            <w:tcW w:type="dxa" w:w="5112"/>
            <w:vAlign w:val="center"/>
          </w:tcPr>
          <w:p>
            <w:r/>
            <w:r>
              <w:rPr>
                <w:b/>
              </w:rPr>
              <w:t>Founded</w:t>
            </w:r>
          </w:p>
        </w:tc>
        <w:tc>
          <w:tcPr>
            <w:tcW w:type="dxa" w:w="5112"/>
            <w:vAlign w:val="center"/>
          </w:tcPr>
          <w:p>
            <w:r/>
            <w:r>
              <w:rPr>
                <w:b w:val="0"/>
              </w:rPr>
              <w:t>2018, fictitious</w:t>
            </w:r>
          </w:p>
        </w:tc>
      </w:tr>
      <w:tr>
        <w:tc>
          <w:tcPr>
            <w:tcW w:type="dxa" w:w="5112"/>
            <w:vAlign w:val="center"/>
          </w:tcPr>
          <w:p>
            <w:r/>
            <w:r>
              <w:rPr>
                <w:b/>
              </w:rPr>
              <w:t>Headquarters</w:t>
            </w:r>
          </w:p>
        </w:tc>
        <w:tc>
          <w:tcPr>
            <w:tcW w:type="dxa" w:w="5112"/>
            <w:vAlign w:val="center"/>
          </w:tcPr>
          <w:p>
            <w:r/>
            <w:r>
              <w:rPr>
                <w:b w:val="0"/>
              </w:rPr>
              <w:t>Aster City, United Arab Emirates</w:t>
            </w:r>
          </w:p>
        </w:tc>
      </w:tr>
      <w:tr>
        <w:tc>
          <w:tcPr>
            <w:tcW w:type="dxa" w:w="5112"/>
            <w:vAlign w:val="center"/>
          </w:tcPr>
          <w:p>
            <w:r/>
            <w:r>
              <w:rPr>
                <w:b/>
              </w:rPr>
              <w:t>Operating Regions</w:t>
            </w:r>
          </w:p>
        </w:tc>
        <w:tc>
          <w:tcPr>
            <w:tcW w:type="dxa" w:w="5112"/>
            <w:vAlign w:val="center"/>
          </w:tcPr>
          <w:p>
            <w:r/>
            <w:r>
              <w:rPr>
                <w:b w:val="0"/>
              </w:rPr>
              <w:t>UAE, Saudi Arabia, Jordan, Egypt, Qatar, Bahrain, Kuwait, and Oman</w:t>
            </w:r>
          </w:p>
        </w:tc>
      </w:tr>
      <w:tr>
        <w:tc>
          <w:tcPr>
            <w:tcW w:type="dxa" w:w="5112"/>
            <w:vAlign w:val="center"/>
          </w:tcPr>
          <w:p>
            <w:r/>
            <w:r>
              <w:rPr>
                <w:b/>
              </w:rPr>
              <w:t>Customer Segments</w:t>
            </w:r>
          </w:p>
        </w:tc>
        <w:tc>
          <w:tcPr>
            <w:tcW w:type="dxa" w:w="5112"/>
            <w:vAlign w:val="center"/>
          </w:tcPr>
          <w:p>
            <w:r/>
            <w:r>
              <w:rPr>
                <w:b w:val="0"/>
              </w:rPr>
              <w:t>Individual shoppers, families, small businesses, sellers, and enterprise procurement users</w:t>
            </w:r>
          </w:p>
        </w:tc>
      </w:tr>
      <w:tr>
        <w:tc>
          <w:tcPr>
            <w:tcW w:type="dxa" w:w="5112"/>
            <w:vAlign w:val="center"/>
          </w:tcPr>
          <w:p>
            <w:r/>
            <w:r>
              <w:rPr>
                <w:b/>
              </w:rPr>
              <w:t>Core Promise</w:t>
            </w:r>
          </w:p>
        </w:tc>
        <w:tc>
          <w:tcPr>
            <w:tcW w:type="dxa" w:w="5112"/>
            <w:vAlign w:val="center"/>
          </w:tcPr>
          <w:p>
            <w:r/>
            <w:r>
              <w:rPr>
                <w:b w:val="0"/>
              </w:rPr>
              <w:t>Everyday products, trusted sellers, simple returns, and fast delivery</w:t>
            </w:r>
          </w:p>
        </w:tc>
      </w:tr>
      <w:tr>
        <w:tc>
          <w:tcPr>
            <w:tcW w:type="dxa" w:w="5112"/>
            <w:vAlign w:val="center"/>
          </w:tcPr>
          <w:p>
            <w:r/>
            <w:r>
              <w:rPr>
                <w:b/>
              </w:rPr>
              <w:t>Customer Support Channels</w:t>
            </w:r>
          </w:p>
        </w:tc>
        <w:tc>
          <w:tcPr>
            <w:tcW w:type="dxa" w:w="5112"/>
            <w:vAlign w:val="center"/>
          </w:tcPr>
          <w:p>
            <w:r/>
            <w:r>
              <w:rPr>
                <w:b w:val="0"/>
              </w:rPr>
              <w:t>Chatbot, live chat, email, hotline, WhatsApp, in-app support center</w:t>
            </w:r>
          </w:p>
        </w:tc>
      </w:tr>
      <w:tr>
        <w:tc>
          <w:tcPr>
            <w:tcW w:type="dxa" w:w="5112"/>
            <w:vAlign w:val="center"/>
          </w:tcPr>
          <w:p>
            <w:r/>
            <w:r>
              <w:rPr>
                <w:b/>
              </w:rPr>
              <w:t>Delivery Network</w:t>
            </w:r>
          </w:p>
        </w:tc>
        <w:tc>
          <w:tcPr>
            <w:tcW w:type="dxa" w:w="5112"/>
            <w:vAlign w:val="center"/>
          </w:tcPr>
          <w:p>
            <w:r/>
            <w:r>
              <w:rPr>
                <w:b w:val="0"/>
              </w:rPr>
              <w:t>NovaCart Express fleet plus regional courier partners</w:t>
            </w:r>
          </w:p>
        </w:tc>
      </w:tr>
      <w:tr>
        <w:tc>
          <w:tcPr>
            <w:tcW w:type="dxa" w:w="5112"/>
            <w:vAlign w:val="center"/>
          </w:tcPr>
          <w:p>
            <w:r/>
            <w:r>
              <w:rPr>
                <w:b/>
              </w:rPr>
              <w:t>Loyalty Program</w:t>
            </w:r>
          </w:p>
        </w:tc>
        <w:tc>
          <w:tcPr>
            <w:tcW w:type="dxa" w:w="5112"/>
            <w:vAlign w:val="center"/>
          </w:tcPr>
          <w:p>
            <w:r/>
            <w:r>
              <w:rPr>
                <w:b w:val="0"/>
              </w:rPr>
              <w:t>NovaPlus membership</w:t>
            </w:r>
          </w:p>
        </w:tc>
      </w:tr>
    </w:tbl>
    <w:p>
      <w:pPr>
        <w:pStyle w:val="Heading1"/>
      </w:pPr>
      <w:r>
        <w:rPr>
          <w:color w:val="0F4C75"/>
        </w:rPr>
        <w:t>3. Mission, Vision, and Values</w:t>
      </w:r>
    </w:p>
    <w:p>
      <w:r>
        <w:t>Mission: To make online shopping simple, reliable, and affordable for every household and business in the region.</w:t>
      </w:r>
    </w:p>
    <w:p>
      <w:r>
        <w:t>Vision: To become the most trusted digital marketplace for daily needs, premium products, and business essentials across the Middle East.</w:t>
      </w:r>
    </w:p>
    <w:p>
      <w:pPr>
        <w:pStyle w:val="ListBullet"/>
      </w:pPr>
      <w:r>
        <w:t>Customer obsession: solve customer problems quickly and transparently.</w:t>
      </w:r>
    </w:p>
    <w:p>
      <w:pPr>
        <w:pStyle w:val="ListBullet"/>
      </w:pPr>
      <w:r>
        <w:t>Trust and safety: verify sellers, protect payments, and reduce counterfeit risk.</w:t>
      </w:r>
    </w:p>
    <w:p>
      <w:pPr>
        <w:pStyle w:val="ListBullet"/>
      </w:pPr>
      <w:r>
        <w:t>Speed with reliability: deliver quickly while keeping customers informed.</w:t>
      </w:r>
    </w:p>
    <w:p>
      <w:pPr>
        <w:pStyle w:val="ListBullet"/>
      </w:pPr>
      <w:r>
        <w:t>Responsible growth: reduce packaging waste and support local sellers.</w:t>
      </w:r>
    </w:p>
    <w:p>
      <w:pPr>
        <w:pStyle w:val="ListBullet"/>
      </w:pPr>
      <w:r>
        <w:t>Data-driven improvement: use customer feedback to improve search, recommendations, service, and logistics.</w:t>
      </w:r>
    </w:p>
    <w:p>
      <w:pPr>
        <w:pStyle w:val="Heading1"/>
      </w:pPr>
      <w:r>
        <w:rPr>
          <w:color w:val="0F4C75"/>
        </w:rPr>
        <w:t>4. Product Categories</w:t>
      </w:r>
    </w:p>
    <w:tbl>
      <w:tblPr>
        <w:tblStyle w:val="TableGrid"/>
        <w:tblW w:type="auto" w:w="0"/>
        <w:tblLook w:firstColumn="1" w:firstRow="1" w:lastColumn="0" w:lastRow="0" w:noHBand="0" w:noVBand="1" w:val="04A0"/>
      </w:tblPr>
      <w:tblGrid>
        <w:gridCol w:w="3408"/>
        <w:gridCol w:w="3408"/>
        <w:gridCol w:w="3408"/>
      </w:tblGrid>
      <w:tr>
        <w:tc>
          <w:tcPr>
            <w:tcW w:type="dxa" w:w="3408"/>
            <w:vAlign w:val="center"/>
            <w:shd w:fill="3282B8"/>
          </w:tcPr>
          <w:p>
            <w:r/>
            <w:r>
              <w:rPr>
                <w:b/>
                <w:color w:val="FFFFFF"/>
              </w:rPr>
              <w:t>Category</w:t>
            </w:r>
          </w:p>
        </w:tc>
        <w:tc>
          <w:tcPr>
            <w:tcW w:type="dxa" w:w="3408"/>
            <w:vAlign w:val="center"/>
            <w:shd w:fill="3282B8"/>
          </w:tcPr>
          <w:p>
            <w:r/>
            <w:r>
              <w:rPr>
                <w:b/>
                <w:color w:val="FFFFFF"/>
              </w:rPr>
              <w:t>Examples</w:t>
            </w:r>
          </w:p>
        </w:tc>
        <w:tc>
          <w:tcPr>
            <w:tcW w:type="dxa" w:w="3408"/>
            <w:vAlign w:val="center"/>
            <w:shd w:fill="3282B8"/>
          </w:tcPr>
          <w:p>
            <w:r/>
            <w:r>
              <w:rPr>
                <w:b/>
                <w:color w:val="FFFFFF"/>
              </w:rPr>
              <w:t>Notes for Chatbot</w:t>
            </w:r>
          </w:p>
        </w:tc>
      </w:tr>
      <w:tr>
        <w:tc>
          <w:tcPr>
            <w:tcW w:type="dxa" w:w="3408"/>
            <w:vAlign w:val="center"/>
          </w:tcPr>
          <w:p>
            <w:r/>
            <w:r>
              <w:rPr>
                <w:b/>
              </w:rPr>
              <w:t>Electronics</w:t>
            </w:r>
          </w:p>
        </w:tc>
        <w:tc>
          <w:tcPr>
            <w:tcW w:type="dxa" w:w="3408"/>
            <w:vAlign w:val="center"/>
          </w:tcPr>
          <w:p>
            <w:r/>
            <w:r>
              <w:rPr>
                <w:b w:val="0"/>
              </w:rPr>
              <w:t>Phones, laptops, headphones, smart watches, cameras</w:t>
            </w:r>
          </w:p>
        </w:tc>
        <w:tc>
          <w:tcPr>
            <w:tcW w:type="dxa" w:w="3408"/>
            <w:vAlign w:val="center"/>
          </w:tcPr>
          <w:p>
            <w:r/>
            <w:r>
              <w:rPr>
                <w:b w:val="0"/>
              </w:rPr>
              <w:t>Warranty varies by brand and seller.</w:t>
            </w:r>
          </w:p>
        </w:tc>
      </w:tr>
      <w:tr>
        <w:tc>
          <w:tcPr>
            <w:tcW w:type="dxa" w:w="3408"/>
            <w:vAlign w:val="center"/>
          </w:tcPr>
          <w:p>
            <w:r/>
            <w:r>
              <w:rPr>
                <w:b/>
              </w:rPr>
              <w:t>Home &amp; Kitchen</w:t>
            </w:r>
          </w:p>
        </w:tc>
        <w:tc>
          <w:tcPr>
            <w:tcW w:type="dxa" w:w="3408"/>
            <w:vAlign w:val="center"/>
          </w:tcPr>
          <w:p>
            <w:r/>
            <w:r>
              <w:rPr>
                <w:b w:val="0"/>
              </w:rPr>
              <w:t>Furniture, cookware, appliances, decor</w:t>
            </w:r>
          </w:p>
        </w:tc>
        <w:tc>
          <w:tcPr>
            <w:tcW w:type="dxa" w:w="3408"/>
            <w:vAlign w:val="center"/>
          </w:tcPr>
          <w:p>
            <w:r/>
            <w:r>
              <w:rPr>
                <w:b w:val="0"/>
              </w:rPr>
              <w:t>Large items may require scheduled delivery.</w:t>
            </w:r>
          </w:p>
        </w:tc>
      </w:tr>
      <w:tr>
        <w:tc>
          <w:tcPr>
            <w:tcW w:type="dxa" w:w="3408"/>
            <w:vAlign w:val="center"/>
          </w:tcPr>
          <w:p>
            <w:r/>
            <w:r>
              <w:rPr>
                <w:b/>
              </w:rPr>
              <w:t>Fashion</w:t>
            </w:r>
          </w:p>
        </w:tc>
        <w:tc>
          <w:tcPr>
            <w:tcW w:type="dxa" w:w="3408"/>
            <w:vAlign w:val="center"/>
          </w:tcPr>
          <w:p>
            <w:r/>
            <w:r>
              <w:rPr>
                <w:b w:val="0"/>
              </w:rPr>
              <w:t>Clothing, shoes, bags, accessories</w:t>
            </w:r>
          </w:p>
        </w:tc>
        <w:tc>
          <w:tcPr>
            <w:tcW w:type="dxa" w:w="3408"/>
            <w:vAlign w:val="center"/>
          </w:tcPr>
          <w:p>
            <w:r/>
            <w:r>
              <w:rPr>
                <w:b w:val="0"/>
              </w:rPr>
              <w:t>Size exchange is available for eligible items.</w:t>
            </w:r>
          </w:p>
        </w:tc>
      </w:tr>
      <w:tr>
        <w:tc>
          <w:tcPr>
            <w:tcW w:type="dxa" w:w="3408"/>
            <w:vAlign w:val="center"/>
          </w:tcPr>
          <w:p>
            <w:r/>
            <w:r>
              <w:rPr>
                <w:b/>
              </w:rPr>
              <w:t>Beauty &amp; Personal Care</w:t>
            </w:r>
          </w:p>
        </w:tc>
        <w:tc>
          <w:tcPr>
            <w:tcW w:type="dxa" w:w="3408"/>
            <w:vAlign w:val="center"/>
          </w:tcPr>
          <w:p>
            <w:r/>
            <w:r>
              <w:rPr>
                <w:b w:val="0"/>
              </w:rPr>
              <w:t>Skincare, perfumes, haircare, grooming</w:t>
            </w:r>
          </w:p>
        </w:tc>
        <w:tc>
          <w:tcPr>
            <w:tcW w:type="dxa" w:w="3408"/>
            <w:vAlign w:val="center"/>
          </w:tcPr>
          <w:p>
            <w:r/>
            <w:r>
              <w:rPr>
                <w:b w:val="0"/>
              </w:rPr>
              <w:t>Hygiene restrictions apply to opened items.</w:t>
            </w:r>
          </w:p>
        </w:tc>
      </w:tr>
      <w:tr>
        <w:tc>
          <w:tcPr>
            <w:tcW w:type="dxa" w:w="3408"/>
            <w:vAlign w:val="center"/>
          </w:tcPr>
          <w:p>
            <w:r/>
            <w:r>
              <w:rPr>
                <w:b/>
              </w:rPr>
              <w:t>Grocery &amp; Daily Essentials</w:t>
            </w:r>
          </w:p>
        </w:tc>
        <w:tc>
          <w:tcPr>
            <w:tcW w:type="dxa" w:w="3408"/>
            <w:vAlign w:val="center"/>
          </w:tcPr>
          <w:p>
            <w:r/>
            <w:r>
              <w:rPr>
                <w:b w:val="0"/>
              </w:rPr>
              <w:t>Pantry, beverages, cleaning, baby products</w:t>
            </w:r>
          </w:p>
        </w:tc>
        <w:tc>
          <w:tcPr>
            <w:tcW w:type="dxa" w:w="3408"/>
            <w:vAlign w:val="center"/>
          </w:tcPr>
          <w:p>
            <w:r/>
            <w:r>
              <w:rPr>
                <w:b w:val="0"/>
              </w:rPr>
              <w:t>Cold-chain items have special delivery windows.</w:t>
            </w:r>
          </w:p>
        </w:tc>
      </w:tr>
      <w:tr>
        <w:tc>
          <w:tcPr>
            <w:tcW w:type="dxa" w:w="3408"/>
            <w:vAlign w:val="center"/>
          </w:tcPr>
          <w:p>
            <w:r/>
            <w:r>
              <w:rPr>
                <w:b/>
              </w:rPr>
              <w:t>Books, Toys &amp; Games</w:t>
            </w:r>
          </w:p>
        </w:tc>
        <w:tc>
          <w:tcPr>
            <w:tcW w:type="dxa" w:w="3408"/>
            <w:vAlign w:val="center"/>
          </w:tcPr>
          <w:p>
            <w:r/>
            <w:r>
              <w:rPr>
                <w:b w:val="0"/>
              </w:rPr>
              <w:t>Books, board games, learning toys</w:t>
            </w:r>
          </w:p>
        </w:tc>
        <w:tc>
          <w:tcPr>
            <w:tcW w:type="dxa" w:w="3408"/>
            <w:vAlign w:val="center"/>
          </w:tcPr>
          <w:p>
            <w:r/>
            <w:r>
              <w:rPr>
                <w:b w:val="0"/>
              </w:rPr>
              <w:t>Age recommendations should be shown for toys.</w:t>
            </w:r>
          </w:p>
        </w:tc>
      </w:tr>
      <w:tr>
        <w:tc>
          <w:tcPr>
            <w:tcW w:type="dxa" w:w="3408"/>
            <w:vAlign w:val="center"/>
          </w:tcPr>
          <w:p>
            <w:r/>
            <w:r>
              <w:rPr>
                <w:b/>
              </w:rPr>
              <w:t>Sports &amp; Outdoors</w:t>
            </w:r>
          </w:p>
        </w:tc>
        <w:tc>
          <w:tcPr>
            <w:tcW w:type="dxa" w:w="3408"/>
            <w:vAlign w:val="center"/>
          </w:tcPr>
          <w:p>
            <w:r/>
            <w:r>
              <w:rPr>
                <w:b w:val="0"/>
              </w:rPr>
              <w:t>Fitness gear, bicycles, camping products</w:t>
            </w:r>
          </w:p>
        </w:tc>
        <w:tc>
          <w:tcPr>
            <w:tcW w:type="dxa" w:w="3408"/>
            <w:vAlign w:val="center"/>
          </w:tcPr>
          <w:p>
            <w:r/>
            <w:r>
              <w:rPr>
                <w:b w:val="0"/>
              </w:rPr>
              <w:t>Bulky items may have special delivery fees.</w:t>
            </w:r>
          </w:p>
        </w:tc>
      </w:tr>
      <w:tr>
        <w:tc>
          <w:tcPr>
            <w:tcW w:type="dxa" w:w="3408"/>
            <w:vAlign w:val="center"/>
          </w:tcPr>
          <w:p>
            <w:r/>
            <w:r>
              <w:rPr>
                <w:b/>
              </w:rPr>
              <w:t>Business Supplies</w:t>
            </w:r>
          </w:p>
        </w:tc>
        <w:tc>
          <w:tcPr>
            <w:tcW w:type="dxa" w:w="3408"/>
            <w:vAlign w:val="center"/>
          </w:tcPr>
          <w:p>
            <w:r/>
            <w:r>
              <w:rPr>
                <w:b w:val="0"/>
              </w:rPr>
              <w:t>Office supplies, printers, bulk stationery</w:t>
            </w:r>
          </w:p>
        </w:tc>
        <w:tc>
          <w:tcPr>
            <w:tcW w:type="dxa" w:w="3408"/>
            <w:vAlign w:val="center"/>
          </w:tcPr>
          <w:p>
            <w:r/>
            <w:r>
              <w:rPr>
                <w:b w:val="0"/>
              </w:rPr>
              <w:t>VAT invoice and bulk purchase support available.</w:t>
            </w:r>
          </w:p>
        </w:tc>
      </w:tr>
    </w:tbl>
    <w:p>
      <w:pPr>
        <w:pStyle w:val="Heading1"/>
      </w:pPr>
      <w:r>
        <w:rPr>
          <w:color w:val="0F4C75"/>
        </w:rPr>
        <w:t>5. Customer Account and Ordering Experience</w:t>
      </w:r>
    </w:p>
    <w:p>
      <w:pPr>
        <w:pStyle w:val="ListBullet"/>
      </w:pPr>
      <w:r>
        <w:t>Customers can browse as guests, but checkout requires either an account or guest checkout with phone verification.</w:t>
      </w:r>
    </w:p>
    <w:p>
      <w:pPr>
        <w:pStyle w:val="ListBullet"/>
      </w:pPr>
      <w:r>
        <w:t>Orders are confirmed after payment authorization or successful cash-on-delivery eligibility check.</w:t>
      </w:r>
    </w:p>
    <w:p>
      <w:pPr>
        <w:pStyle w:val="ListBullet"/>
      </w:pPr>
      <w:r>
        <w:t>Customers receive order confirmation by email, SMS, and app notification.</w:t>
      </w:r>
    </w:p>
    <w:p>
      <w:pPr>
        <w:pStyle w:val="ListBullet"/>
      </w:pPr>
      <w:r>
        <w:t>Customers can cancel eligible orders before the shipment moves to “Packed” or “Shipped”.</w:t>
      </w:r>
    </w:p>
    <w:p>
      <w:pPr>
        <w:pStyle w:val="ListBullet"/>
      </w:pPr>
      <w:r>
        <w:t>Customers can save addresses, payment cards, wish lists, and communication preferences.</w:t>
      </w:r>
    </w:p>
    <w:p>
      <w:pPr>
        <w:pStyle w:val="Heading1"/>
      </w:pPr>
      <w:r>
        <w:rPr>
          <w:color w:val="0F4C75"/>
        </w:rPr>
        <w:t>6. Payment Methods</w:t>
      </w:r>
    </w:p>
    <w:p>
      <w:pPr>
        <w:pStyle w:val="ListBullet"/>
      </w:pPr>
      <w:r>
        <w:t>Credit and debit cards including Visa, Mastercard, and regional card schemes.</w:t>
      </w:r>
    </w:p>
    <w:p>
      <w:pPr>
        <w:pStyle w:val="ListBullet"/>
      </w:pPr>
      <w:r>
        <w:t>Digital wallets such as Apple Pay, Google Pay, and NovaWallet.</w:t>
      </w:r>
    </w:p>
    <w:p>
      <w:pPr>
        <w:pStyle w:val="ListBullet"/>
      </w:pPr>
      <w:r>
        <w:t>Cash on delivery for eligible products, countries, and customer risk profiles.</w:t>
      </w:r>
    </w:p>
    <w:p>
      <w:pPr>
        <w:pStyle w:val="ListBullet"/>
      </w:pPr>
      <w:r>
        <w:t>Gift cards and promotional credit.</w:t>
      </w:r>
    </w:p>
    <w:p>
      <w:pPr>
        <w:pStyle w:val="ListBullet"/>
      </w:pPr>
      <w:r>
        <w:t>Corporate accounts with monthly billing for approved business customers.</w:t>
      </w:r>
    </w:p>
    <w:p>
      <w:pPr>
        <w:pStyle w:val="Heading1"/>
      </w:pPr>
      <w:r>
        <w:rPr>
          <w:color w:val="0F4C75"/>
        </w:rPr>
        <w:t>7. Shipping and Delivery Policy</w:t>
      </w:r>
    </w:p>
    <w:p>
      <w:pPr>
        <w:pStyle w:val="ListBullet"/>
      </w:pPr>
      <w:r>
        <w:t>Standard delivery normally takes 2-5 business days depending on country, city, product availability, and seller location.</w:t>
      </w:r>
    </w:p>
    <w:p>
      <w:pPr>
        <w:pStyle w:val="ListBullet"/>
      </w:pPr>
      <w:r>
        <w:t>Express delivery is available in selected cities for eligible items.</w:t>
      </w:r>
    </w:p>
    <w:p>
      <w:pPr>
        <w:pStyle w:val="ListBullet"/>
      </w:pPr>
      <w:r>
        <w:t>Same-day delivery is available for selected NovaCart Express items ordered before the local cut-off time.</w:t>
      </w:r>
    </w:p>
    <w:p>
      <w:pPr>
        <w:pStyle w:val="ListBullet"/>
      </w:pPr>
      <w:r>
        <w:t>Customers can track shipments using shipment IDs that begin with NVC followed by eight digits.</w:t>
      </w:r>
    </w:p>
    <w:p>
      <w:pPr>
        <w:pStyle w:val="ListBullet"/>
      </w:pPr>
      <w:r>
        <w:t>Delivery attempts are normally made twice before the shipment is returned to the fulfillment center.</w:t>
      </w:r>
    </w:p>
    <w:p>
      <w:pPr>
        <w:pStyle w:val="ListBullet"/>
      </w:pPr>
      <w:r>
        <w:t>Customers can reschedule delivery from the app if the shipment status supports rescheduling.</w:t>
      </w:r>
    </w:p>
    <w:p>
      <w:pPr>
        <w:pStyle w:val="Heading1"/>
      </w:pPr>
      <w:r>
        <w:rPr>
          <w:color w:val="0F4C75"/>
        </w:rPr>
        <w:t>8. Returns, Refunds, and Exchange Policy</w:t>
      </w:r>
    </w:p>
    <w:p>
      <w:pPr>
        <w:pStyle w:val="ListBullet"/>
      </w:pPr>
      <w:r>
        <w:t>Most eligible products can be returned within 14 days of delivery.</w:t>
      </w:r>
    </w:p>
    <w:p>
      <w:pPr>
        <w:pStyle w:val="ListBullet"/>
      </w:pPr>
      <w:r>
        <w:t>NovaPlus members receive an extended 30-day return window for eligible products.</w:t>
      </w:r>
    </w:p>
    <w:p>
      <w:pPr>
        <w:pStyle w:val="ListBullet"/>
      </w:pPr>
      <w:r>
        <w:t>Products must be returned unused, with original packaging, accessories, manuals, and warranty cards.</w:t>
      </w:r>
    </w:p>
    <w:p>
      <w:pPr>
        <w:pStyle w:val="ListBullet"/>
      </w:pPr>
      <w:r>
        <w:t>Refunds are issued to the original payment method or NovaWallet, depending on customer preference and payment rules.</w:t>
      </w:r>
    </w:p>
    <w:p>
      <w:pPr>
        <w:pStyle w:val="ListBullet"/>
      </w:pPr>
      <w:r>
        <w:t>Opened hygiene-sensitive items, custom products, digital codes, perishable groceries, and final-sale items are not returnable unless defective.</w:t>
      </w:r>
    </w:p>
    <w:p>
      <w:pPr>
        <w:pStyle w:val="ListBullet"/>
      </w:pPr>
      <w:r>
        <w:t>Exchange is available for eligible fashion items and selected electronics accessories.</w:t>
      </w:r>
    </w:p>
    <w:p>
      <w:pPr>
        <w:pStyle w:val="Heading1"/>
      </w:pPr>
      <w:r>
        <w:rPr>
          <w:color w:val="0F4C75"/>
        </w:rPr>
        <w:t>9. NovaPlus Membership</w:t>
      </w:r>
    </w:p>
    <w:p>
      <w:pPr>
        <w:pStyle w:val="ListBullet"/>
      </w:pPr>
      <w:r>
        <w:t>Free express delivery on eligible orders above the minimum basket value.</w:t>
      </w:r>
    </w:p>
    <w:p>
      <w:pPr>
        <w:pStyle w:val="ListBullet"/>
      </w:pPr>
      <w:r>
        <w:t>Early access to seasonal sales and limited stock campaigns.</w:t>
      </w:r>
    </w:p>
    <w:p>
      <w:pPr>
        <w:pStyle w:val="ListBullet"/>
      </w:pPr>
      <w:r>
        <w:t>Extended return window for eligible items.</w:t>
      </w:r>
    </w:p>
    <w:p>
      <w:pPr>
        <w:pStyle w:val="ListBullet"/>
      </w:pPr>
      <w:r>
        <w:t>Priority live chat during peak campaign periods.</w:t>
      </w:r>
    </w:p>
    <w:p>
      <w:pPr>
        <w:pStyle w:val="ListBullet"/>
      </w:pPr>
      <w:r>
        <w:t>Monthly member-only coupons and bundled offers.</w:t>
      </w:r>
    </w:p>
    <w:p>
      <w:pPr>
        <w:pStyle w:val="Heading1"/>
      </w:pPr>
      <w:r>
        <w:rPr>
          <w:color w:val="0F4C75"/>
        </w:rPr>
        <w:t>10. Seller Marketplace Model</w:t>
      </w:r>
    </w:p>
    <w:p>
      <w:r>
        <w:t>NovaCart Marketplace sells products directly and also allows verified third-party sellers to list items. Each seller must pass onboarding checks, agree to product authenticity rules, and maintain performance standards for cancellation rate, shipping speed, return rate, and customer ratings. The platform may suspend sellers that repeatedly violate customer trust or product safety rules.</w:t>
      </w:r>
    </w:p>
    <w:p>
      <w:pPr>
        <w:pStyle w:val="Heading1"/>
      </w:pPr>
      <w:r>
        <w:rPr>
          <w:color w:val="0F4C75"/>
        </w:rPr>
        <w:t>11. Customer Support Operating Model</w:t>
      </w:r>
    </w:p>
    <w:p>
      <w:pPr>
        <w:pStyle w:val="ListBullet"/>
      </w:pPr>
      <w:r>
        <w:t>The chatbot should answer policy questions, order tracking questions, account questions, return questions, payment questions, and seller-related questions.</w:t>
      </w:r>
    </w:p>
    <w:p>
      <w:pPr>
        <w:pStyle w:val="ListBullet"/>
      </w:pPr>
      <w:r>
        <w:t>When the chatbot cannot solve a case, it should escalate to a human support agent and summarize the customer intent, shipment ID, order ID, and attempted solution.</w:t>
      </w:r>
    </w:p>
    <w:p>
      <w:pPr>
        <w:pStyle w:val="ListBullet"/>
      </w:pPr>
      <w:r>
        <w:t>Sensitive account actions such as changing email, refund method, or payment information require customer authentication.</w:t>
      </w:r>
    </w:p>
    <w:p>
      <w:pPr>
        <w:pStyle w:val="ListBullet"/>
      </w:pPr>
      <w:r>
        <w:t>The chatbot should never expose private customer data without verification.</w:t>
      </w:r>
    </w:p>
    <w:p>
      <w:pPr>
        <w:pStyle w:val="Heading1"/>
      </w:pPr>
      <w:r>
        <w:rPr>
          <w:color w:val="0F4C75"/>
        </w:rPr>
        <w:t>12. Example Entity Names for RAG Testing</w:t>
      </w:r>
    </w:p>
    <w:tbl>
      <w:tblPr>
        <w:tblStyle w:val="TableGrid"/>
        <w:tblW w:type="auto" w:w="0"/>
        <w:tblLook w:firstColumn="1" w:firstRow="1" w:lastColumn="0" w:lastRow="0" w:noHBand="0" w:noVBand="1" w:val="04A0"/>
      </w:tblPr>
      <w:tblGrid>
        <w:gridCol w:w="5112"/>
        <w:gridCol w:w="5112"/>
      </w:tblGrid>
      <w:tr>
        <w:tc>
          <w:tcPr>
            <w:tcW w:type="dxa" w:w="5112"/>
            <w:vAlign w:val="center"/>
            <w:shd w:fill="0F4C75"/>
          </w:tcPr>
          <w:p>
            <w:r/>
            <w:r>
              <w:rPr>
                <w:b/>
                <w:color w:val="FFFFFF"/>
              </w:rPr>
              <w:t>Entity</w:t>
            </w:r>
          </w:p>
        </w:tc>
        <w:tc>
          <w:tcPr>
            <w:tcW w:type="dxa" w:w="5112"/>
            <w:vAlign w:val="center"/>
            <w:shd w:fill="0F4C75"/>
          </w:tcPr>
          <w:p>
            <w:r/>
            <w:r>
              <w:rPr>
                <w:b/>
                <w:color w:val="FFFFFF"/>
              </w:rPr>
              <w:t>Example / Rule</w:t>
            </w:r>
          </w:p>
        </w:tc>
      </w:tr>
      <w:tr>
        <w:tc>
          <w:tcPr>
            <w:tcW w:type="dxa" w:w="5112"/>
            <w:vAlign w:val="center"/>
          </w:tcPr>
          <w:p>
            <w:r/>
            <w:r>
              <w:rPr>
                <w:b/>
              </w:rPr>
              <w:t>Shipment ID pattern</w:t>
            </w:r>
          </w:p>
        </w:tc>
        <w:tc>
          <w:tcPr>
            <w:tcW w:type="dxa" w:w="5112"/>
            <w:vAlign w:val="center"/>
          </w:tcPr>
          <w:p>
            <w:r/>
            <w:r>
              <w:rPr>
                <w:b w:val="0"/>
              </w:rPr>
              <w:t>NVC00000001 to NVC99999999</w:t>
            </w:r>
          </w:p>
        </w:tc>
      </w:tr>
      <w:tr>
        <w:tc>
          <w:tcPr>
            <w:tcW w:type="dxa" w:w="5112"/>
            <w:vAlign w:val="center"/>
          </w:tcPr>
          <w:p>
            <w:r/>
            <w:r>
              <w:rPr>
                <w:b/>
              </w:rPr>
              <w:t>Order ID pattern</w:t>
            </w:r>
          </w:p>
        </w:tc>
        <w:tc>
          <w:tcPr>
            <w:tcW w:type="dxa" w:w="5112"/>
            <w:vAlign w:val="center"/>
          </w:tcPr>
          <w:p>
            <w:r/>
            <w:r>
              <w:rPr>
                <w:b w:val="0"/>
              </w:rPr>
              <w:t>ORD-YYYY-NNNNNN</w:t>
            </w:r>
          </w:p>
        </w:tc>
      </w:tr>
      <w:tr>
        <w:tc>
          <w:tcPr>
            <w:tcW w:type="dxa" w:w="5112"/>
            <w:vAlign w:val="center"/>
          </w:tcPr>
          <w:p>
            <w:r/>
            <w:r>
              <w:rPr>
                <w:b/>
              </w:rPr>
              <w:t>Customer ID pattern</w:t>
            </w:r>
          </w:p>
        </w:tc>
        <w:tc>
          <w:tcPr>
            <w:tcW w:type="dxa" w:w="5112"/>
            <w:vAlign w:val="center"/>
          </w:tcPr>
          <w:p>
            <w:r/>
            <w:r>
              <w:rPr>
                <w:b w:val="0"/>
              </w:rPr>
              <w:t>CUS-NNNNN</w:t>
            </w:r>
          </w:p>
        </w:tc>
      </w:tr>
      <w:tr>
        <w:tc>
          <w:tcPr>
            <w:tcW w:type="dxa" w:w="5112"/>
            <w:vAlign w:val="center"/>
          </w:tcPr>
          <w:p>
            <w:r/>
            <w:r>
              <w:rPr>
                <w:b/>
              </w:rPr>
              <w:t>Seller ID pattern</w:t>
            </w:r>
          </w:p>
        </w:tc>
        <w:tc>
          <w:tcPr>
            <w:tcW w:type="dxa" w:w="5112"/>
            <w:vAlign w:val="center"/>
          </w:tcPr>
          <w:p>
            <w:r/>
            <w:r>
              <w:rPr>
                <w:b w:val="0"/>
              </w:rPr>
              <w:t>SEL-NNNNN</w:t>
            </w:r>
          </w:p>
        </w:tc>
      </w:tr>
      <w:tr>
        <w:tc>
          <w:tcPr>
            <w:tcW w:type="dxa" w:w="5112"/>
            <w:vAlign w:val="center"/>
          </w:tcPr>
          <w:p>
            <w:r/>
            <w:r>
              <w:rPr>
                <w:b/>
              </w:rPr>
              <w:t>Warehouse examples</w:t>
            </w:r>
          </w:p>
        </w:tc>
        <w:tc>
          <w:tcPr>
            <w:tcW w:type="dxa" w:w="5112"/>
            <w:vAlign w:val="center"/>
          </w:tcPr>
          <w:p>
            <w:r/>
            <w:r>
              <w:rPr>
                <w:b w:val="0"/>
              </w:rPr>
              <w:t>Aster Central FC, Riyadh East FC, Amman North FC, Cairo West FC</w:t>
            </w:r>
          </w:p>
        </w:tc>
      </w:tr>
      <w:tr>
        <w:tc>
          <w:tcPr>
            <w:tcW w:type="dxa" w:w="5112"/>
            <w:vAlign w:val="center"/>
          </w:tcPr>
          <w:p>
            <w:r/>
            <w:r>
              <w:rPr>
                <w:b/>
              </w:rPr>
              <w:t>Courier examples</w:t>
            </w:r>
          </w:p>
        </w:tc>
        <w:tc>
          <w:tcPr>
            <w:tcW w:type="dxa" w:w="5112"/>
            <w:vAlign w:val="center"/>
          </w:tcPr>
          <w:p>
            <w:r/>
            <w:r>
              <w:rPr>
                <w:b w:val="0"/>
              </w:rPr>
              <w:t>NovaCart Express, GulfLine Courier, LevantShip, CityRunner</w:t>
            </w:r>
          </w:p>
        </w:tc>
      </w:tr>
    </w:tbl>
    <w:p>
      <w:pPr>
        <w:pStyle w:val="Heading1"/>
      </w:pPr>
      <w:r>
        <w:rPr>
          <w:color w:val="0F4C75"/>
        </w:rPr>
        <w:t>13. Chatbot Tone and Guardrails</w:t>
      </w:r>
    </w:p>
    <w:p>
      <w:pPr>
        <w:pStyle w:val="ListBullet"/>
      </w:pPr>
      <w:r>
        <w:t>Tone should be friendly, concise, helpful, and transparent.</w:t>
      </w:r>
    </w:p>
    <w:p>
      <w:pPr>
        <w:pStyle w:val="ListBullet"/>
      </w:pPr>
      <w:r>
        <w:t>The chatbot should ask for a shipment ID when the customer asks about shipment status but does not provide one.</w:t>
      </w:r>
    </w:p>
    <w:p>
      <w:pPr>
        <w:pStyle w:val="ListBullet"/>
      </w:pPr>
      <w:r>
        <w:t>The chatbot should use the shipment database as the source of truth for status lookups.</w:t>
      </w:r>
    </w:p>
    <w:p>
      <w:pPr>
        <w:pStyle w:val="ListBullet"/>
      </w:pPr>
      <w:r>
        <w:t>The chatbot should explain policies in simple customer language and avoid legalistic phrasing.</w:t>
      </w:r>
    </w:p>
    <w:p>
      <w:pPr>
        <w:pStyle w:val="ListBullet"/>
      </w:pPr>
      <w:r>
        <w:t>The chatbot should escalate when the case involves fraud, damaged high-value goods, payment disputes, repeated failed delivery, or angry customers.</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NovaCart Marketplace | Fictitious RAG Knowledge Base Sample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