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2"/>
        </w:rPr>
        <w:t>研究流程手册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黄金量化预测项目完整流程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从数据获取、线性建模到涨跌金额误差与交易评估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当前状态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研究原型。已建立可复现的数据、建模、PCA、稳健损失、Bagging、加权平均和金额误差分析流程；尚未达到生产部署标准。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667085"/>
          <w:sz w:val="22"/>
        </w:rPr>
        <w:t>版本日期：2026-07-21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工作目录：GitHub 项目根目录</w:t>
      </w:r>
    </w:p>
    <w:p>
      <w:r>
        <w:br w:type="page"/>
      </w:r>
    </w:p>
    <w:p>
      <w:pPr>
        <w:pStyle w:val="Heading1"/>
        <w:keepNext/>
      </w:pPr>
      <w:r>
        <w:t>使用说明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本手册记录当前项目的完整研究流程、模型决策、主要结果、已知限制及下一阶段计划。它用于项目汇报、代码复现和后续交接。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重要口径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高级 PCA、损失函数和加权模型不再使用方向准确率进行选择。核心目标是预测实际涨跌幅金额，并衡量预测值与真实值在百分点和人民币/克上的差异。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流程目录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项目目标与流程总览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数据收集、缓存与时间对齐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预测目标与交易时间规则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特征工程、市场状态与异常事件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训练集、验证集与测试集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预处理 Pipeline 与统计特征选择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五类线性回归模型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Bagging、PCA 与损失函数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样本外加权平均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涨跌金额和价格变化误差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当前主要问题与下一阶段计划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已完成的十分组 Huber 实验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关键代码与输出文件</w:t>
      </w:r>
    </w:p>
    <w:p>
      <w:pPr>
        <w:pStyle w:val="Heading1"/>
        <w:keepNext/>
      </w:pPr>
      <w:r>
        <w:t>1. 项目目标与流程总览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项目目标是利用交易前已经获得的黄金、汇率、利率、通胀、原油和期货市场信息，预测 Au99.99 下一个交易时段从开盘到收盘的具体涨跌幅和价格变化。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360"/>
        <w:gridCol w:w="25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 数据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Au99.99 与外部因子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下载、缓存、日期对齐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统一日频数据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2. 特征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历史价格和宏观数据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收益率、动量、波动率、溢价、交互项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候选解释变量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 建模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训练集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AIC、五类回归、PCA、稳健损失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候选预测模型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4. 组合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样本外预测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Bagging 与误差加权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组合预测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 评估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预测值与真实值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百分点误差、人民币/克误差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金额误差账本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6. 交易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最终预测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仓位、成本与持有期规则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P&amp;L 与风险指标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数据收集与缓存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主要研究品种为上海黄金交易所 Au99.99。程序优先读取本地缓存，只有在缓存不存在或明确要求刷新时才重新下载。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国际现货黄金 XAU/USD。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USD/CNH 和美元相关数据。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原油价格与动量。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美国名义利率、实际利率和盈亏平衡通胀率。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VIX 与 GVZ 波动率。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上期所黄金价格、结算价、成交量和持仓量。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上海黄金相对于国际黄金的溢价。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数据缓存目录：data/</w:t>
              <w:br/>
              <w:t>外部因子缓存：data/factors/</w:t>
              <w:br/>
              <w:t>主要 Au99.99 文件：data/Au99_99_20150101_20260703.csv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日期对齐与信息可用时间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全部外部数据与 Au99.99 交易日历对齐。海外市场因子根据其实际发布时间进行平移，尽量保证模型只使用预测时点之前可以获得的信息。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防止未来信息泄漏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不能因为两个市场使用同一个日历日期，就假设它们的收盘数据在中国市场开盘前已经可用。所有因子都必须按照真实信息时间检查。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预测目标与交易时间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当前定义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信号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使用入场之前已经获得的信息计算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入场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下一个交易日开盘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离场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同一个交易日收盘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预测期限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一个交易时段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主要标签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开盘到收盘的对数收益率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target_log_return = log(exit_close / entry_open)</w:t>
              <w:br/>
              <w:t>growth_pct = 100 * (exp(target_log_return) - 1)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模型内部使用对数收益率以便进行回归；最终报告使用普通百分比涨跌幅和人民币/克价格变化，便于解释和交易评估。</w:t>
      </w:r>
    </w:p>
    <w:p>
      <w:pPr>
        <w:pStyle w:val="Heading1"/>
        <w:keepNext/>
      </w:pPr>
      <w:r>
        <w:t>5. 特征工程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原始市场数据被转换为能够描述趋势、波动、相对定价和宏观环境的特征。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特征类别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代表性特征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经济含义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黄金自身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一日收益、五日/二十日动量、均线偏离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短期惯性和中期趋势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波动率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二十日波动率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风险状态与预期波动幅度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国际黄金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XAU/USD 收益和动量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国际定价传导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汇率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USD/CNH 收益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人民币计价转换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通胀与利率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盈亏平衡通胀率、实际利率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持有黄金的宏观机会成本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商品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原油动量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通胀和风险环境代理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跨市场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上期所结算价收益、上海溢价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境内外价差与本地定价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当前保留的重要交互项为：五日动量 × 二十日波动率。它允许动量影响随波动率变化。</w:t>
      </w:r>
    </w:p>
    <w:p>
      <w:pPr>
        <w:pStyle w:val="Heading1"/>
        <w:keepNext/>
      </w:pPr>
      <w:r>
        <w:t>6. 市场状态与虚拟变量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900"/>
        <w:gridCol w:w="53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市场状态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正常市场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基准组，全部状态虚拟变量为 0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高波动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对应虚拟变量为 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强上涨趋势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对应虚拟变量为 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强下跌趋势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对应虚拟变量为 1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流动性压力代理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对应虚拟变量为 1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状态虚拟变量和状态交互项已经进行验证测试，但没有带来足够稳定的改善。因此它们保留为诊断信息，不强制进入当前模型。</w:t>
      </w:r>
    </w:p>
    <w:p>
      <w:pPr>
        <w:pStyle w:val="Heading1"/>
        <w:keepNext/>
      </w:pPr>
      <w:r>
        <w:t>7. 异常事件处理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当前设置排除了七个异常事件窗口，共影响 30 条模型观测。这些时期涉及贸易政策、地缘政治、利率和流动性冲击。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方法论限制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这些事件窗口是在早期检查测试集残差之后确定的。因此过滤后的测试结果只能作为诊断，不能被宣传为完全未使用的独立样本证据。最终模型必须保留新的未来测试区间。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训练集、验证集与测试集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900"/>
        <w:gridCol w:w="37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数据部分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观测数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训练集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1,929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2015-02-02 至 2023-01-05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估计系数、PCA 和预处理参数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验证集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2023-01-17 至 2024-09-20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选择特征、模型、损失与组合方式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测试集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384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2024-10-09 至 2026-06-23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模型冻结后的诊断评估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主流程按时间顺序划分，不随机打乱交易日期。时间顺序是避免金融预测未来信息泄漏的核心要求。</w:t>
      </w:r>
    </w:p>
    <w:p>
      <w:pPr>
        <w:pStyle w:val="Heading1"/>
        <w:keepNext/>
      </w:pPr>
      <w:r>
        <w:t>9. 数据预处理 Pipeline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Pipeline([</w:t>
              <w:br/>
              <w:t xml:space="preserve">    ('imputer', SimpleImputer(strategy='median')),</w:t>
              <w:br/>
              <w:t xml:space="preserve">    ('scaler', StandardScaler()),</w:t>
              <w:br/>
              <w:t xml:space="preserve">    ('model', regression_model),</w:t>
              <w:br/>
              <w:t xml:space="preserve">]) 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缺失值只使用训练样本的中位数填补。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标准化参数只使用训练样本计算。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模型只接收经过相同预处理的特征。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验证集和测试集不能反向影响预处理参数。</w:t>
      </w:r>
    </w:p>
    <w:p>
      <w:pPr>
        <w:pStyle w:val="Heading1"/>
        <w:keepNext/>
      </w:pPr>
      <w:r>
        <w:t>10. 统计特征选择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检验对象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项目中的用途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 检验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单个系数是否显著偏离 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识别单个弱变量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ANOVA/部分 F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一组系数是否可以同时视为 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按经济分组检查因子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AIC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拟合质量与参数数量之间的平衡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当前生产特征选择方法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BIC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对复杂度施加更强惩罚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较保守的对照模型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当前使用带 P 值约束的 AIC 后向剔除：只有 p&gt;0.05 的变量可以进入删除候选，并且删除后 AIC 必须改善。保留交互项时必须同时保留它的基础变量。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当前结果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一日预测模型最终保留 14 个 AIC 特征。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五类回归模型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核心思想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主要作用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OLS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最小化平方误差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基础线性模型和统计解释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Ridge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L2 系数惩罚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处理共线性并稳定系数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Lasso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L1 系数惩罚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压缩并可能删除变量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Elastic Net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L1 与 L2 结合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在稀疏性和稳定性之间折中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普通误差平方损失，大误差近似线性损失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降低极端观测影响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在原始五个模型中，Huber 通常表现最好，说明稳健损失对黄金极端波动具有一定价值。</w:t>
      </w:r>
    </w:p>
    <w:p>
      <w:pPr>
        <w:pStyle w:val="Heading1"/>
        <w:keepNext/>
      </w:pPr>
      <w:r>
        <w:t>12. 移动区块 Bagging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金融时间序列中的相邻交易日可能存在依赖关系，因此项目不是随机抽取单日，而是有放回地抽取连续数据区块。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随机选择一个连续区块的起点。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抽取连续 20 条训练观测。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重复抽取直到形成一个与原训练集同等长度的 Bootstrap 样本。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对每个样本拟合一个 Huber 模型。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对 50 个模型的预测取算术平均。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block_size = 20</w:t>
              <w:br/>
              <w:t>n_estimators = 50</w:t>
              <w:br/>
              <w:t>random_state = 42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对 OLS、Ridge、Lasso 和 Elastic Net 进行 Bagging 后，验证改善没有稳定延续到测试阶段。目前只保留 Bagged Huber 作为基准。</w:t>
      </w:r>
    </w:p>
    <w:p>
      <w:pPr>
        <w:pStyle w:val="Heading1"/>
        <w:keepNext/>
      </w:pPr>
      <w:r>
        <w:t>13. 主成分分析 PCA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PCA 在中位数填补和标准化之后拟合，且只能使用训练样本。测试的主成分数量为 3、5、7、9、11、13 和 14。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400"/>
        <w:gridCol w:w="39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PCA 决策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OLS/Ridge/Lasso/Elastic Net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拒绝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金额误差没有同时改善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选择 11 个主成分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解释约 97.8% 的标准化特征方差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PCA 单独改善较小，并会降低经济解释性；它与绝对误差损失组合时更有价值。</w:t>
      </w:r>
    </w:p>
    <w:p>
      <w:pPr>
        <w:pStyle w:val="Heading1"/>
        <w:keepNext/>
      </w:pPr>
      <w:r>
        <w:t>14. 损失函数比较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损失函数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优化重点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平方误差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大误差受到平方惩罚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OLS 基准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普通误差平方、大误差线性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原五模型中最好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绝对误差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最小化绝对偏差，估计条件中位数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PCA11 组合成为最强金额预测挑战者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模型：QuantileRegressor</w:t>
              <w:br/>
              <w:t>quantile = 0.50</w:t>
              <w:br/>
              <w:t>alpha = 0</w:t>
              <w:br/>
              <w:t>PCA components = 11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样本外加权平均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权重使用五个扩展窗口的训练集样本外预测计算，并设置一个观测期的时间间隔。验证集只负责选择权重方法，不直接计算数值权重。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等权重。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反增长 MSE 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反增长 MAE 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非负且和为 1 的最优增长 MSE 权重。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带稳定惩罚的最优权重。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39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组合成员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当前权重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移动区块 Bagged Huber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39.62%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保留原始特征上的稳健相关信息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PCA11 绝对误差回归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60.38%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降低典型金额误差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完整五模型加权没有明显优势，因为 OLS、Ridge、Lasso 和 Elastic Net 的预测高度相似，缺乏组合所需的模型多样性。</w:t>
      </w:r>
    </w:p>
    <w:p>
      <w:pPr>
        <w:pStyle w:val="Heading1"/>
        <w:keepNext/>
      </w:pPr>
      <w:r>
        <w:t>16. 涨跌金额与价格变化误差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高级模型不再使用方向准确率。每个日期都直接比较预测涨跌金额和真实涨跌金额。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0B2545"/>
                <w:sz w:val="18"/>
              </w:rPr>
              <w:t>actual_growth_pct = 100 * (exp(actual_log_return) - 1)</w:t>
              <w:br/>
              <w:t>predicted_growth_pct = 100 * (exp(predicted_log_return) - 1)</w:t>
              <w:br/>
              <w:t>growth_error_pp = predicted_growth_pct - actual_growth_pct</w:t>
              <w:br/>
              <w:t>price_change_error = predicted_exit_price - actual_exit_price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计算含义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增长 MAE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平均绝对百分点误差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典型交易日的平均预测偏差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增长 RMSE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百分点误差平方后平均再开根号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更重视少数大错误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波动幅度 MAE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预测绝对幅度与实际绝对幅度之差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判断是否低估或高估波动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人民币/克变化 MAE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预测价格变化与实际价格变化的平均绝对差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直接连接交易金额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17. 当前金额预测结果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1500"/>
        <w:gridCol w:w="1500"/>
        <w:gridCol w:w="22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诊断测试候选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增长 MAE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增长 RMSE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幅度 MAE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价格变化 MAE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Bagged Huber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0.684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0.955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0.578 pp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5.914 元/克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PCA11 绝对误差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0.669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0.921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0.573 pp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5.768 元/克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稳健双模型加权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0.671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0.929 pp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0.572 pp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5.778 元/克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按照金额误差，PCA11 绝对误差模型目前最有潜力；加权模型只在波动幅度 MAE 上略好，因此还不能明确替代单独模型。</w:t>
      </w:r>
    </w:p>
    <w:p>
      <w:pPr>
        <w:pStyle w:val="Heading1"/>
        <w:keepNext/>
      </w:pPr>
      <w:r>
        <w:t>18. 当前主要问题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实际波动区间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平均实际幅度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平均预测幅度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低估比例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低于 0.5%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0.235%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0.235%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54.6%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0.5%–1%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0.739%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0.248%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97.2%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1%–2%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1.341%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0.318%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98.5%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高于 2%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2.494%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0.701%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100%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核心问题：预测过度收缩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模型对小于 0.5% 的变化较合理，但几乎总是低估较大波动。下一阶段的主要任务不是继续增加相似线性模型，而是预测和校准波动幅度。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现有测试区间受到事后事件窗口定义影响。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五个原始线性模型的预测高度相关，组合多样性不足。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PCA 改善有限，并降低单个经济因子的解释性。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入场时点尚需最终确认，决定能否使用开盘跳空和前 5–15 分钟信息。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极端事件缺乏可在事前获得的高质量因子。</w:t>
      </w:r>
    </w:p>
    <w:p>
      <w:pPr>
        <w:pStyle w:val="Heading1"/>
        <w:keepNext/>
      </w:pPr>
      <w:r>
        <w:t>19. 下一阶段计划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使用滚动样本外预测估计幅度校准系数。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单独建立绝对波动幅度模型，标签为实际涨跌幅的绝对值。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将连续收益预测与预测波动幅度组合。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加入隔夜 XAU/USD、COMEX、USD/CNH、开盘跳空和开盘量价信息。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针对不同波动率状态估计不同校准系数。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保留新的未来数据作为完全独立的最终测试集。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将预测误差连接至仓位、交易成本、持有期和 P&amp;L 账本。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最近的低风险改进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对 PCA11 绝对误差模型进行滚动幅度校准。初步诊断表明约 1.42 倍的放大系数可能降低 RMSE，但必须在多个时间折中重新估计，不能直接固定使用。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十分组 Huber 交叉验证（已完成）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全部 2,728 条可用建模观测已按日期顺序切分为十个连续数据块。每次保留一块测试，使用其余九块重新训练完整的中位数填补、标准化和 Huber Pipeline，最终保存十个独立模型，并让每条观测获得一次保留块预测。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将观测划分为十个数据块。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 i 次将第 i 块作为测试块，其余九块作为训练块。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每次重新拟合缺失值、中位数、标准化参数和 Huber 系数。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保存十个模型和每个测试块的样本外预测。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合并十个测试块，形成完整的样本外金额误差报告。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结果口径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十分组汇总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模型数量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每折测试观测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272–273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合并样本外观测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2,728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增长 MAE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0.587 个百分点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增长 RMSE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0.928 个百分点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波动幅度 MAE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0.466 个百分点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价格变化 MAE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2.576 元/克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折间增长 MAE 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0.350–0.958 个百分点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时间序列警告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普通十折方法会让未来数据参与过去测试块的训练，产生未来信息泄漏。更安全的做法是十个滚动或扩展时间窗口：每个测试块只能使用其之前的历史数据训练。若必须严格执行九块训练一块测试，应将其明确标记为相关性诊断，而不是可交易的样本外回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Huber 损失函数数值优化与系数报告（已完成）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为回应损失函数、偏导数和梯度下降的研究要求，项目使用全部 2,728 条事件过滤后观测，对当前 14 个特征的正则化 Huber 损失进行数值最小化。目标变量为从下一交易日开盘到预测期退出收盘的对数收益率。固定 epsilon=1.1、alpha=0.001，并使用带解析梯度的 L-BFGS-B 求解；该方法属于梯度型数值优化。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160"/>
        <w:gridCol w:w="2100"/>
        <w:gridCol w:w="240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特征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标准化系数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原始单位系数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xauusd_return_1d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0.002492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0.284013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momentum_5d_x_volatility_20d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-0.001084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-3.863286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premium_change_5d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-0.000925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-0.094578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breakeven_inflation_10y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0.000826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0.002247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shanghai_gold_premium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-0.000685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-0.061942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momentum_5d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0.000631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0.032324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shfe_gold_settle_return_1d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-0.000612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-0.077971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8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return_1d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0.000181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0.021161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xauusd_momentum_5d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0.000162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0.008530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usdcnh_return_1d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0.000161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0.058439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volatility_20d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0.000146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0.031234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oil_momentum_5d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-0.000123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-0.002065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13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ma_gap_20d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-0.000059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-0.002813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momentum_20d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-0.000037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-0.001002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优化诊断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标准化截距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-0.00074433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估计残差尺度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0.00160596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最终 Huber 目标值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33.7448368910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零系数基准目标值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37.3465299306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相对零系数损失下降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9.644%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数值细化迭代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平均目标梯度无穷范数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4.82e-08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优化状态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成功收敛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解释限制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标准化系数适合比较因子影响大小；原始单位系数只能结合各特征的单位解释。该模型使用全部样本估计系数，因此用于参数报告和部署，不得把它的拟合误差当作样本外测试表现。十折结果仍用于检验系数和预测误差的跨时期稳定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关键代码与输出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文件或目录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主模型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gold_model_comparison.py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固定期限比较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compare_fixed_horizons.py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交互项与状态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interaction_regime_features.py；compare_interaction_regimes.py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统计特征选择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statistical_feature_selection.py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Bagging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compare_bagged_huber.py；compare_bagging_all_models.py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PCA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compare_pca_models.py；outputs/pca_h1/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损失函数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compare_loss_functions.py；outputs/loss_function_h1/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加权平均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compare_weighted_ensemble.py；outputs/weighted_ensemble_h1/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金额误差报告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build_growth_amount_report.py；outputs/growth_amount_report_h1/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十分组 Huber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huber_10fold_blocked_cv.py；outputs/huber_10fold_blocked/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 损失最小化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huber_loss_coefficient_report.py；outputs/huber_loss_minimization/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自动化测试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tests/；.github/workflows/tests.yml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QMT 可选集成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qmt/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项目笔记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Gold_Model_Project_Notes.docx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23. GitHub 版本管理与自动化测试（已完成）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项目已连接至公开 GitHub 仓库 asuka20302/Gold-Research。现有研究成果作为基线版本纳入 Git；今后的模型、数据处理和回测修改应使用小而明确的提交记录。GitHub 不能恢复此前真实的开发历史，但可以从本次基线提交开始形成可审计的版本轨迹。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内容与规则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项目根目录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五模型主流程、统计筛选、PCA、损失函数、Bagging、加权及 P&amp;L 代码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docs/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当前项目笔记与中文完整流程文档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qmt/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可选 QMT 信号导出和策略模板，与研究主流程隔离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reports/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供代码审查的小型最终结果表，不包含完整市场数据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目标时间、五模型范围、交互项、状态标签和 Huber 解析梯度测试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data/、outputs/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本地下载和生成目录；默认不提交 Git</w:t>
            </w:r>
          </w:p>
        </w:tc>
      </w:tr>
    </w:tbl>
    <w:p>
      <w:pPr>
        <w:spacing w:after="8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删除已合并进文档的一次性更新脚本和临时渲染目录。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使用 .gitignore 排除虚拟环境、密钥、下载数据、完整输出、模型文件和缓存。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提供 .env.example、requirements.txt、README 和目录说明以便复现。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新增 6 个 pytest 测试；本地测试全部通过。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新增 GitHub Actions，在每次 push 和 pull request 时自动运行测试。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版本管理规则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color w:val="344054"/>
                <w:sz w:val="20"/>
              </w:rPr>
              <w:t>不得提交真实 Tushare Token、账户信息、完整数据缓存或未经审查的大型模型输出。每个研究步骤使用独立、可解释的提交；测试失败时不得合并。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24. 当前结论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项目已经完成从数据获取到金额误差账本的完整研究闭环。统计特征选择、稳健回归、PCA、绝对误差损失、移动区块 Bagging、样本外加权以及十分组 Huber 旋转验证均已有可复现实现。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22"/>
        </w:rPr>
        <w:t>当前最有潜力的金额预测模型是 PCA11 绝对误差回归，但整体仍属于研究原型。主要未解决问题是对大幅黄金波动的系统性低估，以及缺少真正未参与模型开发的未来测试样本。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黄金量化预测项目  |  完整流程说明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黄金量化预测项目完整流程</dc:title>
  <dc:subject>Au99.99 量化预测项目研究流程手册</dc:subject>
  <dc:creator>Quant Research Project</dc:creator>
  <cp:keywords>黄金, Au99.99, 回归, PCA, Huber, Bagging, 损失函数, 加权平均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