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7A5A00"/>
          <w:sz w:val="22"/>
        </w:rPr>
        <w:t>研究流程手册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56"/>
        </w:rPr>
        <w:t>黄金量化预测项目完整流程</w:t>
      </w:r>
    </w:p>
    <w:p>
      <w:pPr>
        <w:spacing w:after="480"/>
        <w:jc w:val="center"/>
      </w:pPr>
      <w:r>
        <w:rPr>
          <w:rFonts w:ascii="Calibri" w:hAnsi="Calibri" w:eastAsia="Microsoft YaHei"/>
          <w:color w:val="1F4D78"/>
          <w:sz w:val="28"/>
        </w:rPr>
        <w:t>从数据获取、线性建模到涨跌金额误差与交易评估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当前状态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研究原型。已建立可复现的数据、建模、PCA、稳健损失、Bagging、加权平均和金额误差分析流程；尚未达到生产部署标准。</w:t>
            </w:r>
          </w:p>
        </w:tc>
      </w:tr>
    </w:tbl>
    <w:p>
      <w:pPr>
        <w:spacing w:after="40"/>
      </w:pPr>
    </w:p>
    <w:p>
      <w:pPr>
        <w:spacing w:before="0" w:after="80" w:line="300" w:lineRule="auto"/>
        <w:jc w:val="center"/>
      </w:pPr>
      <w:r>
        <w:rPr>
          <w:rFonts w:ascii="Calibri" w:hAnsi="Calibri" w:eastAsia="Microsoft YaHei"/>
          <w:b/>
          <w:i w:val="0"/>
          <w:color w:val="667085"/>
          <w:sz w:val="22"/>
        </w:rPr>
        <w:t>版本日期：2026-07-22</w:t>
      </w:r>
    </w:p>
    <w:p>
      <w:pPr>
        <w:spacing w:before="0" w:after="120" w:line="300" w:lineRule="auto"/>
        <w:jc w:val="center"/>
      </w:pPr>
      <w:r>
        <w:rPr>
          <w:rFonts w:ascii="Calibri" w:hAnsi="Calibri" w:eastAsia="Microsoft YaHei"/>
          <w:b w:val="0"/>
          <w:i w:val="0"/>
          <w:color w:val="667085"/>
          <w:sz w:val="22"/>
        </w:rPr>
        <w:t>工作目录：GitHub 项目根目录</w:t>
      </w:r>
    </w:p>
    <w:p>
      <w:r>
        <w:br w:type="page"/>
      </w:r>
    </w:p>
    <w:p>
      <w:pPr>
        <w:pStyle w:val="Heading1"/>
        <w:keepNext/>
      </w:pPr>
      <w:r>
        <w:t>使用说明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本手册记录当前项目的完整研究流程、模型决策、主要结果、已知限制及下一阶段计划。它用于项目汇报、代码复现和后续交接。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重要口径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高级 PCA、损失函数和加权模型不再使用方向准确率进行选择。核心目标是预测实际涨跌幅金额，并衡量预测值与真实值在百分点和人民币/克上的差异。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流程目录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项目目标与流程总览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数据收集、缓存与时间对齐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预测目标与交易时间规则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特征工程、市场状态与异常事件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训练集、验证集与测试集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预处理 Pipeline 与统计特征选择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五类线性回归模型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Bagging、PCA 与损失函数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样本外加权平均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涨跌金额和价格变化误差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当前主要问题与下一阶段计划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已完成的十分组 Huber 实验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关键代码与输出文件</w:t>
      </w:r>
    </w:p>
    <w:p>
      <w:pPr>
        <w:pStyle w:val="Heading1"/>
        <w:keepNext/>
      </w:pPr>
      <w:r>
        <w:t>1. 项目目标与流程总览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项目目标是利用交易前已经获得的黄金、汇率、利率、通胀、原油和期货市场信息，预测 Au99.99 下一个交易时段从开盘到收盘的具体涨跌幅和价格变化。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300"/>
        <w:gridCol w:w="3360"/>
        <w:gridCol w:w="2500"/>
      </w:tblGrid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输入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处理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输出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1. 数据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Au99.99 与外部因子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下载、缓存、日期对齐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统一日频数据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 特征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历史价格和宏观数据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收益率、动量、波动率、溢价、交互项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候选解释变量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 建模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训练集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AIC、五类回归、PCA、稳健损失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候选预测模型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4. 组合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样本外预测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Bagging 与误差加权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组合预测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 评估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预测值与真实值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百分点误差、人民币/克误差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金额误差账本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6. 交易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最终预测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仓位、成本与持有期规则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P&amp;L 与风险指标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2. 数据收集与缓存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主要研究品种为上海黄金交易所 Au99.99。程序优先读取本地缓存，只有在缓存不存在或明确要求刷新时才重新下载。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国际现货黄金 XAU/USD。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USD/CNH 和美元相关数据。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原油价格与动量。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美国名义利率、实际利率和盈亏平衡通胀率。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VIX 与 GVZ 波动率。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上期所黄金价格、结算价、成交量和持仓量。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上海黄金相对于国际黄金的溢价。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数据缓存目录：data/</w:t>
              <w:br/>
              <w:t>外部因子缓存：data/factors/</w:t>
              <w:br/>
              <w:t>主要 Au99.99 文件：data/Au99_99_20150101_20260703.csv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日期对齐与信息可用时间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全部外部数据与 Au99.99 交易日历对齐。海外市场因子根据其实际发布时间进行平移，尽量保证模型只使用预测时点之前可以获得的信息。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防止未来信息泄漏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不能因为两个市场使用同一个日历日期，就假设它们的收盘数据在中国市场开盘前已经可用。所有因子都必须按照真实信息时间检查。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预测目标与交易时间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当前定义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信号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使用入场之前已经获得的信息计算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入场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下一个交易日开盘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离场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同一个交易日收盘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预测期限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一个交易时段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主要标签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开盘到收盘的对数收益率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target_log_return = log(exit_close / entry_open)</w:t>
              <w:br/>
              <w:t>growth_pct = 100 * (exp(target_log_return) - 1)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模型内部使用对数收益率以便进行回归；最终报告使用普通百分比涨跌幅和人民币/克价格变化，便于解释和交易评估。</w:t>
      </w:r>
    </w:p>
    <w:p>
      <w:pPr>
        <w:pStyle w:val="Heading1"/>
        <w:keepNext/>
      </w:pPr>
      <w:r>
        <w:t>5. 特征工程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原始市场数据被转换为能够描述趋势、波动、相对定价和宏观环境的特征。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特征类别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代表性特征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经济含义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黄金自身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一日收益、五日/二十日动量、均线偏离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短期惯性和中期趋势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二十日波动率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风险状态与预期波动幅度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国际黄金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XAU/USD 收益和动量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国际定价传导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汇率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USD/CNH 收益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人民币计价转换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通胀与利率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盈亏平衡通胀率、实际利率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持有黄金的宏观机会成本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商品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原油动量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通胀和风险环境代理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跨市场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上期所结算价收益、上海溢价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境内外价差与本地定价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当前保留的重要交互项为：五日动量 × 二十日波动率。它允许动量影响随波动率变化。</w:t>
      </w:r>
    </w:p>
    <w:p>
      <w:pPr>
        <w:pStyle w:val="Heading1"/>
        <w:keepNext/>
      </w:pPr>
      <w:r>
        <w:t>6. 市场状态与虚拟变量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900"/>
        <w:gridCol w:w="5360"/>
      </w:tblGrid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标签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市场状态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处理方式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正常市场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基准组，全部状态虚拟变量为 0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高波动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强上涨趋势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强下跌趋势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流动性压力代理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对应虚拟变量为 1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状态虚拟变量和状态交互项已经进行验证测试，但没有带来足够稳定的改善。因此它们保留为诊断信息，不强制进入当前模型。</w:t>
      </w:r>
    </w:p>
    <w:p>
      <w:pPr>
        <w:pStyle w:val="Heading1"/>
        <w:keepNext/>
      </w:pPr>
      <w:r>
        <w:t>7. 异常事件处理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当前设置排除了七个异常事件窗口，共影响 30 条模型观测。这些时期涉及贸易政策、地缘政治、利率和流动性冲击。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方法论限制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这些事件窗口是在早期检查测试集残差之后确定的。因此过滤后的测试结果只能作为诊断，不能被宣传为完全未使用的独立样本证据。最终模型必须保留新的未来测试区间。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训练集、验证集与测试集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200"/>
        <w:gridCol w:w="2900"/>
        <w:gridCol w:w="37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数据部分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观测数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日期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用途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训练集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1,929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2015-02-02 至 2023-01-05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估计系数、PCA 和预处理参数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验证集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408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2023-01-17 至 2024-09-20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选择特征、模型、损失与组合方式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测试集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384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2024-10-09 至 2026-06-23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模型冻结后的诊断评估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主流程按时间顺序划分，不随机打乱交易日期。时间顺序是避免金融预测未来信息泄漏的核心要求。</w:t>
      </w:r>
    </w:p>
    <w:p>
      <w:pPr>
        <w:pStyle w:val="Heading1"/>
        <w:keepNext/>
      </w:pPr>
      <w:r>
        <w:t>9. 数据预处理 Pipeline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Pipeline([</w:t>
              <w:br/>
              <w:t xml:space="preserve">    ('imputer', SimpleImputer(strategy='median')),</w:t>
              <w:br/>
              <w:t xml:space="preserve">    ('scaler', StandardScaler()),</w:t>
              <w:br/>
              <w:t xml:space="preserve">    ('model', regression_model),</w:t>
              <w:br/>
              <w:t xml:space="preserve">]) </w:t>
            </w:r>
          </w:p>
        </w:tc>
      </w:tr>
    </w:tbl>
    <w:p>
      <w:pPr>
        <w:spacing w:after="4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缺失值只使用训练样本的中位数填补。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标准化参数只使用训练样本计算。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模型只接收经过相同预处理的特征。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验证集和测试集不能反向影响预处理参数。</w:t>
      </w:r>
    </w:p>
    <w:p>
      <w:pPr>
        <w:pStyle w:val="Heading1"/>
        <w:keepNext/>
      </w:pPr>
      <w:r>
        <w:t>10. 统计特征选择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方法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检验对象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项目中的用途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 检验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单个系数是否显著偏离 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识别单个弱变量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ANOVA/部分 F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一组系数是否可以同时视为 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按经济分组检查因子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AIC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拟合质量与参数数量之间的平衡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当前生产特征选择方法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BIC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对复杂度施加更强惩罚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较保守的对照模型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当前使用带 P 值约束的 AIC 后向剔除：只有 p&gt;0.05 的变量可以进入删除候选，并且删除后 AIC 必须改善。保留交互项时必须同时保留它的基础变量。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当前结果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一日预测模型最终保留 14 个 AIC 特征。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五类回归模型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000"/>
        <w:gridCol w:w="3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模型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核心思想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主要作用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最小化平方误差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基础线性模型和统计解释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Ridge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L2 系数惩罚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处理共线性并稳定系数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Lasso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L1 系数惩罚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压缩并可能删除变量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Elastic Net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L1 与 L2 结合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在稀疏性和稳定性之间折中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普通误差平方损失，大误差近似线性损失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降低极端观测影响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在原始五个模型中，Huber 通常表现最好，说明稳健损失对黄金极端波动具有一定价值。</w:t>
      </w:r>
    </w:p>
    <w:p>
      <w:pPr>
        <w:pStyle w:val="Heading1"/>
        <w:keepNext/>
      </w:pPr>
      <w:r>
        <w:t>12. 移动区块 Bagging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金融时间序列中的相邻交易日可能存在依赖关系，因此项目不是随机抽取单日，而是有放回地抽取连续数据区块。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随机选择一个连续区块的起点。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抽取连续 20 条训练观测。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重复抽取直到形成一个与原训练集同等长度的 Bootstrap 样本。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对每个样本拟合一个 Huber 模型。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对 50 个模型的预测取算术平均。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block_size = 20</w:t>
              <w:br/>
              <w:t>n_estimators = 50</w:t>
              <w:br/>
              <w:t>random_state = 42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对 OLS、Ridge、Lasso 和 Elastic Net 进行 Bagging 后，验证改善没有稳定延续到测试阶段。目前只保留 Bagged Huber 作为基准。</w:t>
      </w:r>
    </w:p>
    <w:p>
      <w:pPr>
        <w:pStyle w:val="Heading1"/>
        <w:keepNext/>
      </w:pPr>
      <w:r>
        <w:t>13. 主成分分析 PCA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PCA 在中位数填补和标准化之后拟合，且只能使用训练样本。测试的主成分数量为 3、5、7、9、11、13 和 14。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2400"/>
        <w:gridCol w:w="39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模型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PCA 决策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OLS/Ridge/Lasso/Elastic Net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拒绝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金额误差没有同时改善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选择 11 个主成分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解释约 97.8% 的标准化特征方差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PCA 单独改善较小，并会降低经济解释性；它与绝对误差损失组合时更有价值。</w:t>
      </w:r>
    </w:p>
    <w:p>
      <w:pPr>
        <w:pStyle w:val="Heading1"/>
        <w:keepNext/>
      </w:pPr>
      <w:r>
        <w:t>14. 损失函数比较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200"/>
        <w:gridCol w:w="39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损失函数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优化重点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平方误差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大误差受到平方惩罚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OLS 基准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普通误差平方、大误差线性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原五模型中最好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绝对误差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最小化绝对偏差，估计条件中位数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组合成为最强金额预测挑战者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模型：QuantileRegressor</w:t>
              <w:br/>
              <w:t>quantile = 0.50</w:t>
              <w:br/>
              <w:t>alpha = 0</w:t>
              <w:br/>
              <w:t>PCA components = 11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15. 样本外加权平均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权重使用五个扩展窗口的训练集样本外预测计算，并设置一个观测期的时间间隔。验证集只负责选择权重方法，不直接计算数值权重。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等权重。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反增长 MSE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反增长 MAE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非负且和为 1 的最优增长 MSE 权重。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带稳定惩罚的最优权重。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800"/>
        <w:gridCol w:w="39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组合成员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当前权重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作用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移动区块 Bagged Huber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39.62%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保留原始特征上的稳健相关信息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绝对误差回归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60.38%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降低典型金额误差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完整五模型加权没有明显优势，因为 OLS、Ridge、Lasso 和 Elastic Net 的预测高度相似，缺乏组合所需的模型多样性。</w:t>
      </w:r>
    </w:p>
    <w:p>
      <w:pPr>
        <w:pStyle w:val="Heading1"/>
        <w:keepNext/>
      </w:pPr>
      <w:r>
        <w:t>16. 涨跌金额与价格变化误差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高级模型不再使用方向准确率。每个日期都直接比较预测涨跌金额和真实涨跌金额。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52" w:lineRule="auto"/>
            </w:pPr>
            <w:r>
              <w:rPr>
                <w:rFonts w:ascii="Calibri" w:hAnsi="Calibri" w:eastAsia="Consolas"/>
                <w:color w:val="0B2545"/>
                <w:sz w:val="18"/>
              </w:rPr>
              <w:t>actual_growth_pct = 100 * (exp(actual_log_return) - 1)</w:t>
              <w:br/>
              <w:t>predicted_growth_pct = 100 * (exp(predicted_log_return) - 1)</w:t>
              <w:br/>
              <w:t>growth_error_pp = predicted_growth_pct - actual_growth_pct</w:t>
              <w:br/>
              <w:t>price_change_error = predicted_exit_price - actual_exit_price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计算含义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解释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平均绝对百分点误差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典型交易日的平均预测偏差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百分点误差平方后平均再开根号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更重视少数大错误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预测绝对幅度与实际绝对幅度之差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判断是否低估或高估波动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人民币/克变化 MAE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预测价格变化与实际价格变化的平均绝对差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直接连接交易金额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17. 当前金额预测结果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1500"/>
        <w:gridCol w:w="1500"/>
        <w:gridCol w:w="22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诊断测试候选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增长 MAE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增长 RMSE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幅度 MAE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价格变化 MAE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Bagged Huber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0.684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0.955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0.578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5.914 元/克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PCA11 绝对误差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0.669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0.921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0.573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5.768 元/克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稳健双模型加权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0.671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0.929 pp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0.572 pp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5.778 元/克</w:t>
            </w:r>
          </w:p>
        </w:tc>
      </w:tr>
    </w:tbl>
    <w:p>
      <w:pPr>
        <w:spacing w:after="80"/>
      </w:pP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按照金额误差，PCA11 绝对误差模型目前最有潜力；加权模型只在波动幅度 MAE 上略好，因此还不能明确替代单独模型。</w:t>
      </w:r>
    </w:p>
    <w:p>
      <w:pPr>
        <w:pStyle w:val="Heading1"/>
        <w:keepNext/>
      </w:pPr>
      <w:r>
        <w:t>18. 当前主要问题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2200"/>
        <w:gridCol w:w="2200"/>
        <w:gridCol w:w="236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实际波动区间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平均实际幅度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平均预测幅度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低估比例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低于 0.5%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0.235%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0.235%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54.6%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0.5%–1%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0.739%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0.248%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97.2%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1%–2%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1.341%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0.318%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98.5%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高于 2%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2.494%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0.701%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100%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核心问题：预测过度收缩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模型对小于 0.5% 的变化较合理，但几乎总是低估较大波动。下一阶段的主要任务不是继续增加相似线性模型，而是预测和校准波动幅度。</w:t>
            </w:r>
          </w:p>
        </w:tc>
      </w:tr>
    </w:tbl>
    <w:p>
      <w:pPr>
        <w:spacing w:after="4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现有测试区间受到事后事件窗口定义影响。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五个原始线性模型的预测高度相关，组合多样性不足。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PCA 改善有限，并降低单个经济因子的解释性。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入场时点尚需最终确认，决定能否使用开盘跳空和前 5–15 分钟信息。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极端事件缺乏可在事前获得的高质量因子。</w:t>
      </w:r>
    </w:p>
    <w:p>
      <w:pPr>
        <w:pStyle w:val="Heading1"/>
        <w:keepNext/>
      </w:pPr>
      <w:r>
        <w:t>19. 下一阶段计划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使用滚动样本外预测估计幅度校准系数。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单独建立绝对波动幅度模型，标签为实际涨跌幅的绝对值。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将连续收益预测与预测波动幅度组合。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加入隔夜 XAU/USD、COMEX、USD/CNH、开盘跳空和开盘量价信息。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针对不同波动率状态估计不同校准系数。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保留新的未来数据作为完全独立的最终测试集。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将预测误差连接至仓位、交易成本、持有期和 P&amp;L 账本。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最近的低风险改进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对 PCA11 绝对误差模型进行滚动幅度校准。初步诊断表明约 1.42 倍的放大系数可能降低 RMSE，但必须在多个时间折中重新估计，不能直接固定使用。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20. 十分组 Huber 交叉验证（已完成）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全部 2,728 条可用建模观测已按日期顺序切分为十个连续数据块。每次保留一块测试，使用其余九块重新训练完整的中位数填补、标准化和 Huber Pipeline，最终保存十个独立模型，并让每条观测获得一次保留块预测。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将观测划分为十个数据块。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第 i 次将第 i 块作为测试块，其余九块作为训练块。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每次重新拟合缺失值、中位数、标准化参数和 Huber 系数。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保存十个模型和每个测试块的样本外预测。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合并十个测试块，形成完整的样本外金额误差报告。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结果口径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十分组汇总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模型数量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每折测试观测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272–273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合并样本外观测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2,728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0.587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0.928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0.466 个百分点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价格变化 MAE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2.576 元/克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折间增长 MAE 范围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0.350–0.958 个百分点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时间序列警告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普通十折方法会让未来数据参与过去测试块的训练，产生未来信息泄漏。更安全的做法是十个滚动或扩展时间窗口：每个测试块只能使用其之前的历史数据训练。若必须严格执行九块训练一块测试，应将其明确标记为相关性诊断，而不是可交易的样本外回测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21. Huber 损失函数数值优化与系数报告（已完成）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为回应损失函数、偏导数和梯度下降的研究要求，项目使用全部 2,728 条事件过滤后观测，对当前 14 个特征的正则化 Huber 损失进行数值最小化。目标变量为从下一交易日开盘到预测期退出收盘的对数收益率。固定 epsilon=1.1、alpha=0.001，并使用带解析梯度的 L-BFGS-B 求解；该方法属于梯度型数值优化。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4160"/>
        <w:gridCol w:w="2100"/>
        <w:gridCol w:w="2400"/>
      </w:tblGrid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排名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特征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标准化系数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原始单位系数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xauusd_return_1d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0.002492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0.284013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momentum_5d_x_volatility_20d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-0.001084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-3.863286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premium_change_5d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-0.000925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-0.094578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breakeven_inflation_10y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0.000826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0.002247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5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shanghai_gold_premium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-0.000685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-0.061942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6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0.000631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0.032324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7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shfe_gold_settle_return_1d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-0.000612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-0.077971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8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0.000181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0.021161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xauusd_momentum_5d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0.000162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0.008530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usdcnh_return_1d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0.000161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0.058439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11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volatility_20d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0.000146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0.031234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oil_momentum_5d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-0.000123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-0.002065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13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ma_gap_20d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-0.000059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-0.002813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momentum_20d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-0.000037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-0.001002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优化诊断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结果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标准化截距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-0.00074433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估计残差尺度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0.00160596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最终 Huber 目标值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33.7448368910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零系数基准目标值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37.3465299306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相对零系数损失下降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9.644%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数值细化迭代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16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平均目标梯度无穷范数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4.82e-08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优化状态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成功收敛</w:t>
            </w:r>
          </w:p>
        </w:tc>
      </w:tr>
    </w:tbl>
    <w:p>
      <w:pPr>
        <w:spacing w:after="8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解释限制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标准化系数适合比较因子影响大小；原始单位系数只能结合各特征的单位解释。该模型使用全部样本估计系数，因此用于参数报告和部署，不得把它的拟合误差当作样本外测试表现。十折结果仍用于检验系数和预测误差的跨时期稳定性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22. 关键代码与输出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文件或目录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主模型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gold_model_comparison.py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固定期限比较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compare_fixed_horizons.py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交互项与状态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interaction_regime_features.py；compare_interaction_regimes.py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统计特征选择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statistical_feature_selection.py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Bagging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compare_bagged_huber.py；compare_bagging_all_models.py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PCA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compare_pca_models.py；outputs/pca_h1/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损失函数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compare_loss_functions.py；outputs/loss_function_h1/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加权平均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compare_weighted_ensemble.py；outputs/weighted_ensemble_h1/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金额误差报告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build_growth_amount_report.py；outputs/growth_amount_report_h1/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十分组 Huber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huber_10fold_blocked_cv.py；outputs/huber_10fold_blocked/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十九分组滚动 Huber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huber_rolling_19block_cv.py；outputs/huber_rolling_19block/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 损失最小化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huber_loss_coefficient_report.py；outputs/huber_loss_minimization/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自动化测试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tests/；.github/workflows/tests.yml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 可选集成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qmt/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项目笔记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Gold_Model_Project_Notes.docx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23. GitHub 版本管理与自动化测试（已完成）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项目已连接至公开 GitHub 仓库 asuka20302/Gold-Research。现有研究成果作为基线版本纳入 Git；今后的模型、数据处理和回测修改应使用小而明确的提交记录。GitHub 不能恢复此前真实的开发历史，但可以从本次基线提交开始形成可审计的版本轨迹。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内容与规则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项目根目录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五模型主流程、统计筛选、PCA、损失函数、Bagging、加权及 P&amp;L 代码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docs/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当前项目笔记与中文完整流程文档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qmt/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可选 QMT 信号导出和策略模板，与研究主流程隔离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reports/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供代码审查的小型最终结果表，不包含完整市场数据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tests/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目标时间、五模型范围、交互项、状态标签、Huber 梯度和十九分组公平性测试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data/、outputs/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本地下载和生成目录；默认不提交 Git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删除已合并进文档的一次性更新脚本和临时渲染目录。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使用 .gitignore 排除虚拟环境、密钥、下载数据、完整输出、模型文件和缓存。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提供 .env.example、requirements.txt、README 和目录说明以便复现。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新增 8 个 pytest 测试；本地测试全部通过。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新增 GitHub Actions，在每次 push 和 pull request 时自动运行测试。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9B1C1C"/>
                <w:sz w:val="21"/>
              </w:rPr>
              <w:t>版本管理规则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不得提交真实 Tushare Token、账户信息、完整数据缓存或未经审查的大型模型输出。每个研究步骤使用独立、可解释的提交；测试失败时不得合并。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24. 十九分组固定窗口 Huber 验证（当前公平方案）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为消除扩展窗口中训练样本数量不同带来的公平性问题，2,728 条可用观测被处理为 19 个完全相等的连续区块。每块 143 条，最早 11 条余数不进入该公平性诊断。模型 1 使用区块 1—9 训练、区块 10 测试；之后窗口每次向前移动一块，直到模型 10 使用区块 10—18 训练、区块 19 测试。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设计或结果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数值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模型数量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每个模型训练区块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9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每个模型训练观测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1,287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每个模型测试观测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143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合并严格样本外预测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1,430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0.639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增长 RMSE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0.908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波动幅度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0.517 个百分点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价格变化 MAE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Calibri" w:hAnsi="Calibri" w:eastAsia="Microsoft YaHei"/>
                <w:b w:val="0"/>
                <w:color w:val="0B2545"/>
                <w:sz w:val="18"/>
              </w:rPr>
              <w:t>3.531 元/克</w:t>
            </w:r>
          </w:p>
        </w:tc>
      </w:tr>
    </w:tbl>
    <w:p>
      <w:pPr>
        <w:spacing w:after="80"/>
      </w:pP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所有训练日期严格早于对应测试日期。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每个训练目标在测试块首个信号日之前或当日已经可观察。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十个模型固定使用相同 14 个特征、epsilon=1.1 和 alpha=0.001。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测试窗口增长 MAE 范围为 0.428—0.817 个百分点。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2"/>
        </w:rPr>
        <w:t>国际金价日收益、动量与波动率交互、溢价变化及通胀预期系数符号最稳定。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7E6"/>
          </w:tcPr>
          <w:p>
            <w:pPr>
              <w:spacing w:after="6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与旧十分组结果的区别</w:t>
            </w:r>
          </w:p>
          <w:p>
            <w:pPr>
              <w:spacing w:after="40" w:line="288" w:lineRule="auto"/>
            </w:pPr>
            <w:r>
              <w:rPr>
                <w:rFonts w:ascii="Calibri" w:hAnsi="Calibri" w:eastAsia="Microsoft YaHei"/>
                <w:color w:val="344054"/>
                <w:sz w:val="20"/>
              </w:rPr>
              <w:t>旧十分组方法的前九折会使用测试日期之后的数据，只适合相关性和系数稳定性诊断。十九分组固定窗口结果没有这种未来数据泄漏，且每个模型训练量相同，因此应作为当前主要验证结果。两个实验的测试日期和样本量不同，误差不能被解释为完全同口径的模型优劣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25. 当前结论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项目已经完成从数据获取到金额误差账本的完整研究闭环。统计特征选择、稳健回归、PCA、绝对误差损失、移动区块 Bagging、样本外加权、十分组诊断以及十九分组固定滚动验证均已有可复现实现。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22"/>
        </w:rPr>
        <w:t>当前公平验证中的 Huber 增长 MAE 为 0.639 个百分点，但模型仍系统性低估较大波动，最近测试窗口的价格变化 MAE 明显较高。下一步应使用这些严格样本外预测确定交易阈值、持仓规模和交易成本后的 P&amp;L，而不是继续引用存在未来信息的十分组误差。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085"/>
        <w:sz w:val="18"/>
      </w:rPr>
      <w:t>黄金量化预测项目  |  完整流程说明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黄金量化预测项目完整流程</dc:title>
  <dc:subject>Au99.99 量化预测项目研究流程手册</dc:subject>
  <dc:creator>Quant Research Project</dc:creator>
  <cp:keywords>黄金, Au99.99, 回归, PCA, Huber, Bagging, 损失函数, 加权平均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