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Gold Price Prediction Project Notes</w:t>
      </w:r>
    </w:p>
    <w:p>
      <w:pPr>
        <w:jc w:val="center"/>
      </w:pPr>
      <w:r>
        <w:rPr>
          <w:i/>
          <w:sz w:val="21"/>
        </w:rPr>
        <w:t>Living research log for model diagnostics, horizon selection, and trading P&amp;L</w:t>
      </w:r>
    </w:p>
    <w:p/>
    <w:p>
      <w:pPr>
        <w:pStyle w:val="Heading1"/>
      </w:pPr>
      <w:r>
        <w:t>Project Purpose</w:t>
      </w:r>
    </w:p>
    <w:p>
      <w:r>
        <w:t>The project predicts future executable gold returns/prices using linear and robust regression models, compares fixed prediction horizons, and then converts the selected prediction into a trading and P&amp;L framework. This document records the reasoning, rules, findings, and next actions so the project can be recreated and reviewed.</w:t>
      </w:r>
    </w:p>
    <w:p>
      <w:pPr>
        <w:pStyle w:val="Heading1"/>
      </w:pPr>
      <w:r>
        <w:t>Current Model Setup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Item</w:t>
            </w:r>
          </w:p>
        </w:tc>
        <w:tc>
          <w:tcPr>
            <w:tcW w:type="dxa" w:w="4968"/>
            <w:vAlign w:val="center"/>
            <w:shd w:fill="D9EAF7"/>
          </w:tcPr>
          <w:p>
            <w:r/>
            <w:r>
              <w:rPr>
                <w:b/>
                <w:sz w:val="19"/>
              </w:rPr>
              <w:t>Current setting</w:t>
            </w:r>
          </w:p>
        </w:tc>
      </w:tr>
      <w:tr>
        <w:tc>
          <w:tcPr>
            <w:tcW w:type="dxa" w:w="4968"/>
            <w:vAlign w:val="center"/>
          </w:tcPr>
          <w:p>
            <w:r/>
            <w:r>
              <w:rPr>
                <w:b w:val="0"/>
                <w:sz w:val="19"/>
              </w:rPr>
              <w:t>Main script</w:t>
            </w:r>
          </w:p>
        </w:tc>
        <w:tc>
          <w:tcPr>
            <w:tcW w:type="dxa" w:w="4968"/>
            <w:vAlign w:val="center"/>
          </w:tcPr>
          <w:p>
            <w:r/>
            <w:r>
              <w:rPr>
                <w:b w:val="0"/>
                <w:sz w:val="19"/>
              </w:rPr>
              <w:t>C:\Users\27762\Documents\Quant\gold_model_comparison.py</w:t>
            </w:r>
          </w:p>
        </w:tc>
      </w:tr>
      <w:tr>
        <w:tc>
          <w:tcPr>
            <w:tcW w:type="dxa" w:w="4968"/>
            <w:vAlign w:val="center"/>
          </w:tcPr>
          <w:p>
            <w:r/>
            <w:r>
              <w:rPr>
                <w:b w:val="0"/>
                <w:sz w:val="19"/>
              </w:rPr>
              <w:t>Selected horizon</w:t>
            </w:r>
          </w:p>
        </w:tc>
        <w:tc>
          <w:tcPr>
            <w:tcW w:type="dxa" w:w="4968"/>
            <w:vAlign w:val="center"/>
          </w:tcPr>
          <w:p>
            <w:r/>
            <w:r>
              <w:rPr>
                <w:b w:val="0"/>
                <w:sz w:val="19"/>
              </w:rPr>
              <w:t>1 trading session</w:t>
            </w:r>
          </w:p>
        </w:tc>
      </w:tr>
      <w:tr>
        <w:tc>
          <w:tcPr>
            <w:tcW w:type="dxa" w:w="4968"/>
            <w:vAlign w:val="center"/>
          </w:tcPr>
          <w:p>
            <w:r/>
            <w:r>
              <w:rPr>
                <w:b w:val="0"/>
                <w:sz w:val="19"/>
              </w:rPr>
              <w:t>Selected model</w:t>
            </w:r>
          </w:p>
        </w:tc>
        <w:tc>
          <w:tcPr>
            <w:tcW w:type="dxa" w:w="4968"/>
            <w:vAlign w:val="center"/>
          </w:tcPr>
          <w:p>
            <w:r/>
            <w:r>
              <w:rPr>
                <w:b w:val="0"/>
                <w:sz w:val="19"/>
              </w:rPr>
              <w:t>Huber regression, selected by validation performance</w:t>
            </w:r>
          </w:p>
        </w:tc>
      </w:tr>
      <w:tr>
        <w:tc>
          <w:tcPr>
            <w:tcW w:type="dxa" w:w="4968"/>
            <w:vAlign w:val="center"/>
          </w:tcPr>
          <w:p>
            <w:r/>
            <w:r>
              <w:rPr>
                <w:b w:val="0"/>
                <w:sz w:val="19"/>
              </w:rPr>
              <w:t>Prediction timing</w:t>
            </w:r>
          </w:p>
        </w:tc>
        <w:tc>
          <w:tcPr>
            <w:tcW w:type="dxa" w:w="4968"/>
            <w:vAlign w:val="center"/>
          </w:tcPr>
          <w:p>
            <w:r/>
            <w:r>
              <w:rPr>
                <w:b w:val="0"/>
                <w:sz w:val="19"/>
              </w:rPr>
              <w:t>Use information after today's close; enter next session open; exit the horizon-day close</w:t>
            </w:r>
          </w:p>
        </w:tc>
      </w:tr>
      <w:tr>
        <w:tc>
          <w:tcPr>
            <w:tcW w:type="dxa" w:w="4968"/>
            <w:vAlign w:val="center"/>
          </w:tcPr>
          <w:p>
            <w:r/>
            <w:r>
              <w:rPr>
                <w:b w:val="0"/>
                <w:sz w:val="19"/>
              </w:rPr>
              <w:t>Training period</w:t>
            </w:r>
          </w:p>
        </w:tc>
        <w:tc>
          <w:tcPr>
            <w:tcW w:type="dxa" w:w="4968"/>
            <w:vAlign w:val="center"/>
          </w:tcPr>
          <w:p>
            <w:r/>
            <w:r>
              <w:rPr>
                <w:b w:val="0"/>
                <w:sz w:val="19"/>
              </w:rPr>
              <w:t>2015-02-02 to 2023-01-05</w:t>
            </w:r>
          </w:p>
        </w:tc>
      </w:tr>
      <w:tr>
        <w:tc>
          <w:tcPr>
            <w:tcW w:type="dxa" w:w="4968"/>
            <w:vAlign w:val="center"/>
          </w:tcPr>
          <w:p>
            <w:r/>
            <w:r>
              <w:rPr>
                <w:b w:val="0"/>
                <w:sz w:val="19"/>
              </w:rPr>
              <w:t>Validation period</w:t>
            </w:r>
          </w:p>
        </w:tc>
        <w:tc>
          <w:tcPr>
            <w:tcW w:type="dxa" w:w="4968"/>
            <w:vAlign w:val="center"/>
          </w:tcPr>
          <w:p>
            <w:r/>
            <w:r>
              <w:rPr>
                <w:b w:val="0"/>
                <w:sz w:val="19"/>
              </w:rPr>
              <w:t>2023-01-17 to 2024-09-20</w:t>
            </w:r>
          </w:p>
        </w:tc>
      </w:tr>
      <w:tr>
        <w:tc>
          <w:tcPr>
            <w:tcW w:type="dxa" w:w="4968"/>
            <w:vAlign w:val="center"/>
          </w:tcPr>
          <w:p>
            <w:r/>
            <w:r>
              <w:rPr>
                <w:b w:val="0"/>
                <w:sz w:val="19"/>
              </w:rPr>
              <w:t>Test period</w:t>
            </w:r>
          </w:p>
        </w:tc>
        <w:tc>
          <w:tcPr>
            <w:tcW w:type="dxa" w:w="4968"/>
            <w:vAlign w:val="center"/>
          </w:tcPr>
          <w:p>
            <w:r/>
            <w:r>
              <w:rPr>
                <w:b w:val="0"/>
                <w:sz w:val="19"/>
              </w:rPr>
              <w:t>2024-10-09 to 2026-06-23</w:t>
            </w:r>
          </w:p>
        </w:tc>
      </w:tr>
      <w:tr>
        <w:tc>
          <w:tcPr>
            <w:tcW w:type="dxa" w:w="4968"/>
            <w:vAlign w:val="center"/>
          </w:tcPr>
          <w:p>
            <w:r/>
            <w:r>
              <w:rPr>
                <w:b w:val="0"/>
                <w:sz w:val="19"/>
              </w:rPr>
              <w:t>Main outputs</w:t>
            </w:r>
          </w:p>
        </w:tc>
        <w:tc>
          <w:tcPr>
            <w:tcW w:type="dxa" w:w="4968"/>
            <w:vAlign w:val="center"/>
          </w:tcPr>
          <w:p>
            <w:r/>
            <w:r>
              <w:rPr>
                <w:b w:val="0"/>
                <w:sz w:val="19"/>
              </w:rPr>
              <w:t>C:\Users\27762\Documents\Quant\outputs\horizon_comparison\h1</w:t>
            </w:r>
          </w:p>
        </w:tc>
      </w:tr>
    </w:tbl>
    <w:p/>
    <w:p>
      <w:pPr>
        <w:pStyle w:val="Heading1"/>
      </w:pPr>
      <w:r>
        <w:t>Progress Update ? 2026-07-13 15:12</w:t>
      </w:r>
    </w:p>
    <w:p>
      <w:pPr>
        <w:pStyle w:val="Heading2"/>
      </w:pPr>
      <w:r>
        <w:t>Step 1: Residual and abnormal-opening diagnostics</w:t>
      </w:r>
    </w:p>
    <w:p>
      <w:r>
        <w:t>The first diagnostic step is to determine whether forecast errors behave like random noise or whether they reveal missing structure, abnormal data, or execution problems. The residual is defined as:</w:t>
      </w:r>
    </w:p>
    <w:p>
      <w:r>
        <w:rPr>
          <w:b/>
        </w:rPr>
        <w:t>residual = actual_return - predicted_return</w:t>
      </w:r>
    </w:p>
    <w:p>
      <w:pPr>
        <w:pStyle w:val="Heading3"/>
      </w:pPr>
      <w:r>
        <w:t>Residual diagnostic result</w:t>
      </w:r>
    </w:p>
    <w:p>
      <w:r>
        <w:t>The residual diagnostics show that residuals are not normally distributed. For the selected Huber model, the residuals have strong negative skew and very high excess kurtosis. This means the model errors have fat tails and large negative misses.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Metric</w:t>
            </w:r>
          </w:p>
        </w:tc>
        <w:tc>
          <w:tcPr>
            <w:tcW w:type="dxa" w:w="3312"/>
            <w:vAlign w:val="center"/>
            <w:shd w:fill="D9EAF7"/>
          </w:tcPr>
          <w:p>
            <w:r/>
            <w:r>
              <w:rPr>
                <w:b/>
                <w:sz w:val="19"/>
              </w:rPr>
              <w:t>Huber value</w:t>
            </w:r>
          </w:p>
        </w:tc>
        <w:tc>
          <w:tcPr>
            <w:tcW w:type="dxa" w:w="3312"/>
            <w:vAlign w:val="center"/>
            <w:shd w:fill="D9EAF7"/>
          </w:tcPr>
          <w:p>
            <w:r/>
            <w:r>
              <w:rPr>
                <w:b/>
                <w:sz w:val="19"/>
              </w:rPr>
              <w:t>Interpretation</w:t>
            </w:r>
          </w:p>
        </w:tc>
      </w:tr>
      <w:tr>
        <w:tc>
          <w:tcPr>
            <w:tcW w:type="dxa" w:w="3312"/>
            <w:vAlign w:val="center"/>
          </w:tcPr>
          <w:p>
            <w:r/>
            <w:r>
              <w:rPr>
                <w:b w:val="0"/>
                <w:sz w:val="19"/>
              </w:rPr>
              <w:t>Observations</w:t>
            </w:r>
          </w:p>
        </w:tc>
        <w:tc>
          <w:tcPr>
            <w:tcW w:type="dxa" w:w="3312"/>
            <w:vAlign w:val="center"/>
          </w:tcPr>
          <w:p>
            <w:r/>
            <w:r>
              <w:rPr>
                <w:b w:val="0"/>
                <w:sz w:val="19"/>
              </w:rPr>
              <w:t>414</w:t>
            </w:r>
          </w:p>
        </w:tc>
        <w:tc>
          <w:tcPr>
            <w:tcW w:type="dxa" w:w="3312"/>
            <w:vAlign w:val="center"/>
          </w:tcPr>
          <w:p>
            <w:r/>
            <w:r>
              <w:rPr>
                <w:b w:val="0"/>
                <w:sz w:val="19"/>
              </w:rPr>
              <w:t>Number of evaluated test rows</w:t>
            </w:r>
          </w:p>
        </w:tc>
      </w:tr>
      <w:tr>
        <w:tc>
          <w:tcPr>
            <w:tcW w:type="dxa" w:w="3312"/>
            <w:vAlign w:val="center"/>
          </w:tcPr>
          <w:p>
            <w:r/>
            <w:r>
              <w:rPr>
                <w:b w:val="0"/>
                <w:sz w:val="19"/>
              </w:rPr>
              <w:t>Mean residual</w:t>
            </w:r>
          </w:p>
        </w:tc>
        <w:tc>
          <w:tcPr>
            <w:tcW w:type="dxa" w:w="3312"/>
            <w:vAlign w:val="center"/>
          </w:tcPr>
          <w:p>
            <w:r/>
            <w:r>
              <w:rPr>
                <w:b w:val="0"/>
                <w:sz w:val="19"/>
              </w:rPr>
              <w:t>-0.00174</w:t>
            </w:r>
          </w:p>
        </w:tc>
        <w:tc>
          <w:tcPr>
            <w:tcW w:type="dxa" w:w="3312"/>
            <w:vAlign w:val="center"/>
          </w:tcPr>
          <w:p>
            <w:r/>
            <w:r>
              <w:rPr>
                <w:b w:val="0"/>
                <w:sz w:val="19"/>
              </w:rPr>
              <w:t>Slight negative bias: actual returns were lower than predictions on average</w:t>
            </w:r>
          </w:p>
        </w:tc>
      </w:tr>
      <w:tr>
        <w:tc>
          <w:tcPr>
            <w:tcW w:type="dxa" w:w="3312"/>
            <w:vAlign w:val="center"/>
          </w:tcPr>
          <w:p>
            <w:r/>
            <w:r>
              <w:rPr>
                <w:b w:val="0"/>
                <w:sz w:val="19"/>
              </w:rPr>
              <w:t>Residual std</w:t>
            </w:r>
          </w:p>
        </w:tc>
        <w:tc>
          <w:tcPr>
            <w:tcW w:type="dxa" w:w="3312"/>
            <w:vAlign w:val="center"/>
          </w:tcPr>
          <w:p>
            <w:r/>
            <w:r>
              <w:rPr>
                <w:b w:val="0"/>
                <w:sz w:val="19"/>
              </w:rPr>
              <w:t>0.01432</w:t>
            </w:r>
          </w:p>
        </w:tc>
        <w:tc>
          <w:tcPr>
            <w:tcW w:type="dxa" w:w="3312"/>
            <w:vAlign w:val="center"/>
          </w:tcPr>
          <w:p>
            <w:r/>
            <w:r>
              <w:rPr>
                <w:b w:val="0"/>
                <w:sz w:val="19"/>
              </w:rPr>
              <w:t>Typical residual size is around 1.4 percentage points in log-return terms</w:t>
            </w:r>
          </w:p>
        </w:tc>
      </w:tr>
      <w:tr>
        <w:tc>
          <w:tcPr>
            <w:tcW w:type="dxa" w:w="3312"/>
            <w:vAlign w:val="center"/>
          </w:tcPr>
          <w:p>
            <w:r/>
            <w:r>
              <w:rPr>
                <w:b w:val="0"/>
                <w:sz w:val="19"/>
              </w:rPr>
              <w:t>Skew</w:t>
            </w:r>
          </w:p>
        </w:tc>
        <w:tc>
          <w:tcPr>
            <w:tcW w:type="dxa" w:w="3312"/>
            <w:vAlign w:val="center"/>
          </w:tcPr>
          <w:p>
            <w:r/>
            <w:r>
              <w:rPr>
                <w:b w:val="0"/>
                <w:sz w:val="19"/>
              </w:rPr>
              <w:t>-3.061</w:t>
            </w:r>
          </w:p>
        </w:tc>
        <w:tc>
          <w:tcPr>
            <w:tcW w:type="dxa" w:w="3312"/>
            <w:vAlign w:val="center"/>
          </w:tcPr>
          <w:p>
            <w:r/>
            <w:r>
              <w:rPr>
                <w:b w:val="0"/>
                <w:sz w:val="19"/>
              </w:rPr>
              <w:t>Strong left tail: large negative misses</w:t>
            </w:r>
          </w:p>
        </w:tc>
      </w:tr>
      <w:tr>
        <w:tc>
          <w:tcPr>
            <w:tcW w:type="dxa" w:w="3312"/>
            <w:vAlign w:val="center"/>
          </w:tcPr>
          <w:p>
            <w:r/>
            <w:r>
              <w:rPr>
                <w:b w:val="0"/>
                <w:sz w:val="19"/>
              </w:rPr>
              <w:t>Excess kurtosis</w:t>
            </w:r>
          </w:p>
        </w:tc>
        <w:tc>
          <w:tcPr>
            <w:tcW w:type="dxa" w:w="3312"/>
            <w:vAlign w:val="center"/>
          </w:tcPr>
          <w:p>
            <w:r/>
            <w:r>
              <w:rPr>
                <w:b w:val="0"/>
                <w:sz w:val="19"/>
              </w:rPr>
              <w:t>22.505</w:t>
            </w:r>
          </w:p>
        </w:tc>
        <w:tc>
          <w:tcPr>
            <w:tcW w:type="dxa" w:w="3312"/>
            <w:vAlign w:val="center"/>
          </w:tcPr>
          <w:p>
            <w:r/>
            <w:r>
              <w:rPr>
                <w:b w:val="0"/>
                <w:sz w:val="19"/>
              </w:rPr>
              <w:t>Very fat tails compared with normal distribution</w:t>
            </w:r>
          </w:p>
        </w:tc>
      </w:tr>
      <w:tr>
        <w:tc>
          <w:tcPr>
            <w:tcW w:type="dxa" w:w="3312"/>
            <w:vAlign w:val="center"/>
          </w:tcPr>
          <w:p>
            <w:r/>
            <w:r>
              <w:rPr>
                <w:b w:val="0"/>
                <w:sz w:val="19"/>
              </w:rPr>
              <w:t>Jarque-Bera p-value</w:t>
            </w:r>
          </w:p>
        </w:tc>
        <w:tc>
          <w:tcPr>
            <w:tcW w:type="dxa" w:w="3312"/>
            <w:vAlign w:val="center"/>
          </w:tcPr>
          <w:p>
            <w:r/>
            <w:r>
              <w:rPr>
                <w:b w:val="0"/>
                <w:sz w:val="19"/>
              </w:rPr>
              <w:t>0.0</w:t>
            </w:r>
          </w:p>
        </w:tc>
        <w:tc>
          <w:tcPr>
            <w:tcW w:type="dxa" w:w="3312"/>
            <w:vAlign w:val="center"/>
          </w:tcPr>
          <w:p>
            <w:r/>
            <w:r>
              <w:rPr>
                <w:b w:val="0"/>
                <w:sz w:val="19"/>
              </w:rPr>
              <w:t>Reject normality</w:t>
            </w:r>
          </w:p>
        </w:tc>
      </w:tr>
    </w:tbl>
    <w:p/>
    <w:p>
      <w:pPr>
        <w:pStyle w:val="Heading3"/>
      </w:pPr>
      <w:r>
        <w:t>Largest Huber residuals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9"/>
              </w:rPr>
              <w:t>Signal date</w:t>
            </w:r>
          </w:p>
        </w:tc>
        <w:tc>
          <w:tcPr>
            <w:tcW w:type="dxa" w:w="1419"/>
            <w:vAlign w:val="center"/>
            <w:shd w:fill="D9EAF7"/>
          </w:tcPr>
          <w:p>
            <w:r/>
            <w:r>
              <w:rPr>
                <w:b/>
                <w:sz w:val="19"/>
              </w:rPr>
              <w:t>Entry date</w:t>
            </w:r>
          </w:p>
        </w:tc>
        <w:tc>
          <w:tcPr>
            <w:tcW w:type="dxa" w:w="1419"/>
            <w:vAlign w:val="center"/>
            <w:shd w:fill="D9EAF7"/>
          </w:tcPr>
          <w:p>
            <w:r/>
            <w:r>
              <w:rPr>
                <w:b/>
                <w:sz w:val="19"/>
              </w:rPr>
              <w:t>Entry open</w:t>
            </w:r>
          </w:p>
        </w:tc>
        <w:tc>
          <w:tcPr>
            <w:tcW w:type="dxa" w:w="1419"/>
            <w:vAlign w:val="center"/>
            <w:shd w:fill="D9EAF7"/>
          </w:tcPr>
          <w:p>
            <w:r/>
            <w:r>
              <w:rPr>
                <w:b/>
                <w:sz w:val="19"/>
              </w:rPr>
              <w:t>Exit close</w:t>
            </w:r>
          </w:p>
        </w:tc>
        <w:tc>
          <w:tcPr>
            <w:tcW w:type="dxa" w:w="1419"/>
            <w:vAlign w:val="center"/>
            <w:shd w:fill="D9EAF7"/>
          </w:tcPr>
          <w:p>
            <w:r/>
            <w:r>
              <w:rPr>
                <w:b/>
                <w:sz w:val="19"/>
              </w:rPr>
              <w:t>Actual return</w:t>
            </w:r>
          </w:p>
        </w:tc>
        <w:tc>
          <w:tcPr>
            <w:tcW w:type="dxa" w:w="1419"/>
            <w:vAlign w:val="center"/>
            <w:shd w:fill="D9EAF7"/>
          </w:tcPr>
          <w:p>
            <w:r/>
            <w:r>
              <w:rPr>
                <w:b/>
                <w:sz w:val="19"/>
              </w:rPr>
              <w:t>Huber prediction</w:t>
            </w:r>
          </w:p>
        </w:tc>
        <w:tc>
          <w:tcPr>
            <w:tcW w:type="dxa" w:w="1419"/>
            <w:vAlign w:val="center"/>
            <w:shd w:fill="D9EAF7"/>
          </w:tcPr>
          <w:p>
            <w:r/>
            <w:r>
              <w:rPr>
                <w:b/>
                <w:sz w:val="19"/>
              </w:rPr>
              <w:t>Residual</w:t>
            </w:r>
          </w:p>
        </w:tc>
      </w:tr>
      <w:tr>
        <w:tc>
          <w:tcPr>
            <w:tcW w:type="dxa" w:w="1419"/>
            <w:vAlign w:val="center"/>
          </w:tcPr>
          <w:p>
            <w:r/>
            <w:r>
              <w:rPr>
                <w:b w:val="0"/>
                <w:sz w:val="19"/>
              </w:rPr>
              <w:t>2026-03-20</w:t>
            </w:r>
          </w:p>
        </w:tc>
        <w:tc>
          <w:tcPr>
            <w:tcW w:type="dxa" w:w="1419"/>
            <w:vAlign w:val="center"/>
          </w:tcPr>
          <w:p>
            <w:r/>
            <w:r>
              <w:rPr>
                <w:b w:val="0"/>
                <w:sz w:val="19"/>
              </w:rPr>
              <w:t>2026-03-23</w:t>
            </w:r>
          </w:p>
        </w:tc>
        <w:tc>
          <w:tcPr>
            <w:tcW w:type="dxa" w:w="1419"/>
            <w:vAlign w:val="center"/>
          </w:tcPr>
          <w:p>
            <w:r/>
            <w:r>
              <w:rPr>
                <w:b w:val="0"/>
                <w:sz w:val="19"/>
              </w:rPr>
              <w:t>1040.00</w:t>
            </w:r>
          </w:p>
        </w:tc>
        <w:tc>
          <w:tcPr>
            <w:tcW w:type="dxa" w:w="1419"/>
            <w:vAlign w:val="center"/>
          </w:tcPr>
          <w:p>
            <w:r/>
            <w:r>
              <w:rPr>
                <w:b w:val="0"/>
                <w:sz w:val="19"/>
              </w:rPr>
              <w:t>924.65</w:t>
            </w:r>
          </w:p>
        </w:tc>
        <w:tc>
          <w:tcPr>
            <w:tcW w:type="dxa" w:w="1419"/>
            <w:vAlign w:val="center"/>
          </w:tcPr>
          <w:p>
            <w:r/>
            <w:r>
              <w:rPr>
                <w:b w:val="0"/>
                <w:sz w:val="19"/>
              </w:rPr>
              <w:t>-11.76%</w:t>
            </w:r>
          </w:p>
        </w:tc>
        <w:tc>
          <w:tcPr>
            <w:tcW w:type="dxa" w:w="1419"/>
            <w:vAlign w:val="center"/>
          </w:tcPr>
          <w:p>
            <w:r/>
            <w:r>
              <w:rPr>
                <w:b w:val="0"/>
                <w:sz w:val="19"/>
              </w:rPr>
              <w:t>+0.31%</w:t>
            </w:r>
          </w:p>
        </w:tc>
        <w:tc>
          <w:tcPr>
            <w:tcW w:type="dxa" w:w="1419"/>
            <w:vAlign w:val="center"/>
          </w:tcPr>
          <w:p>
            <w:r/>
            <w:r>
              <w:rPr>
                <w:b w:val="0"/>
                <w:sz w:val="19"/>
              </w:rPr>
              <w:t>-12.07%</w:t>
            </w:r>
          </w:p>
        </w:tc>
      </w:tr>
      <w:tr>
        <w:tc>
          <w:tcPr>
            <w:tcW w:type="dxa" w:w="1419"/>
            <w:vAlign w:val="center"/>
          </w:tcPr>
          <w:p>
            <w:r/>
            <w:r>
              <w:rPr>
                <w:b w:val="0"/>
                <w:sz w:val="19"/>
              </w:rPr>
              <w:t>2026-01-30</w:t>
            </w:r>
          </w:p>
        </w:tc>
        <w:tc>
          <w:tcPr>
            <w:tcW w:type="dxa" w:w="1419"/>
            <w:vAlign w:val="center"/>
          </w:tcPr>
          <w:p>
            <w:r/>
            <w:r>
              <w:rPr>
                <w:b w:val="0"/>
                <w:sz w:val="19"/>
              </w:rPr>
              <w:t>2026-02-02</w:t>
            </w:r>
          </w:p>
        </w:tc>
        <w:tc>
          <w:tcPr>
            <w:tcW w:type="dxa" w:w="1419"/>
            <w:vAlign w:val="center"/>
          </w:tcPr>
          <w:p>
            <w:r/>
            <w:r>
              <w:rPr>
                <w:b w:val="0"/>
                <w:sz w:val="19"/>
              </w:rPr>
              <w:t>1153.00</w:t>
            </w:r>
          </w:p>
        </w:tc>
        <w:tc>
          <w:tcPr>
            <w:tcW w:type="dxa" w:w="1419"/>
            <w:vAlign w:val="center"/>
          </w:tcPr>
          <w:p>
            <w:r/>
            <w:r>
              <w:rPr>
                <w:b w:val="0"/>
                <w:sz w:val="19"/>
              </w:rPr>
              <w:t>1030.00</w:t>
            </w:r>
          </w:p>
        </w:tc>
        <w:tc>
          <w:tcPr>
            <w:tcW w:type="dxa" w:w="1419"/>
            <w:vAlign w:val="center"/>
          </w:tcPr>
          <w:p>
            <w:r/>
            <w:r>
              <w:rPr>
                <w:b w:val="0"/>
                <w:sz w:val="19"/>
              </w:rPr>
              <w:t>-11.28%</w:t>
            </w:r>
          </w:p>
        </w:tc>
        <w:tc>
          <w:tcPr>
            <w:tcW w:type="dxa" w:w="1419"/>
            <w:vAlign w:val="center"/>
          </w:tcPr>
          <w:p>
            <w:r/>
            <w:r>
              <w:rPr>
                <w:b w:val="0"/>
                <w:sz w:val="19"/>
              </w:rPr>
              <w:t>+0.01%</w:t>
            </w:r>
          </w:p>
        </w:tc>
        <w:tc>
          <w:tcPr>
            <w:tcW w:type="dxa" w:w="1419"/>
            <w:vAlign w:val="center"/>
          </w:tcPr>
          <w:p>
            <w:r/>
            <w:r>
              <w:rPr>
                <w:b w:val="0"/>
                <w:sz w:val="19"/>
              </w:rPr>
              <w:t>-11.30%</w:t>
            </w:r>
          </w:p>
        </w:tc>
      </w:tr>
      <w:tr>
        <w:tc>
          <w:tcPr>
            <w:tcW w:type="dxa" w:w="1419"/>
            <w:vAlign w:val="center"/>
          </w:tcPr>
          <w:p>
            <w:r/>
            <w:r>
              <w:rPr>
                <w:b w:val="0"/>
                <w:sz w:val="19"/>
              </w:rPr>
              <w:t>2026-03-19</w:t>
            </w:r>
          </w:p>
        </w:tc>
        <w:tc>
          <w:tcPr>
            <w:tcW w:type="dxa" w:w="1419"/>
            <w:vAlign w:val="center"/>
          </w:tcPr>
          <w:p>
            <w:r/>
            <w:r>
              <w:rPr>
                <w:b w:val="0"/>
                <w:sz w:val="19"/>
              </w:rPr>
              <w:t>2026-03-20</w:t>
            </w:r>
          </w:p>
        </w:tc>
        <w:tc>
          <w:tcPr>
            <w:tcW w:type="dxa" w:w="1419"/>
            <w:vAlign w:val="center"/>
          </w:tcPr>
          <w:p>
            <w:r/>
            <w:r>
              <w:rPr>
                <w:b w:val="0"/>
                <w:sz w:val="19"/>
              </w:rPr>
              <w:t>1140.00</w:t>
            </w:r>
          </w:p>
        </w:tc>
        <w:tc>
          <w:tcPr>
            <w:tcW w:type="dxa" w:w="1419"/>
            <w:vAlign w:val="center"/>
          </w:tcPr>
          <w:p>
            <w:r/>
            <w:r>
              <w:rPr>
                <w:b w:val="0"/>
                <w:sz w:val="19"/>
              </w:rPr>
              <w:t>1041.59</w:t>
            </w:r>
          </w:p>
        </w:tc>
        <w:tc>
          <w:tcPr>
            <w:tcW w:type="dxa" w:w="1419"/>
            <w:vAlign w:val="center"/>
          </w:tcPr>
          <w:p>
            <w:r/>
            <w:r>
              <w:rPr>
                <w:b w:val="0"/>
                <w:sz w:val="19"/>
              </w:rPr>
              <w:t>-9.03%</w:t>
            </w:r>
          </w:p>
        </w:tc>
        <w:tc>
          <w:tcPr>
            <w:tcW w:type="dxa" w:w="1419"/>
            <w:vAlign w:val="center"/>
          </w:tcPr>
          <w:p>
            <w:r/>
            <w:r>
              <w:rPr>
                <w:b w:val="0"/>
                <w:sz w:val="19"/>
              </w:rPr>
              <w:t>-0.84%</w:t>
            </w:r>
          </w:p>
        </w:tc>
        <w:tc>
          <w:tcPr>
            <w:tcW w:type="dxa" w:w="1419"/>
            <w:vAlign w:val="center"/>
          </w:tcPr>
          <w:p>
            <w:r/>
            <w:r>
              <w:rPr>
                <w:b w:val="0"/>
                <w:sz w:val="19"/>
              </w:rPr>
              <w:t>-8.19%</w:t>
            </w:r>
          </w:p>
        </w:tc>
      </w:tr>
    </w:tbl>
    <w:p/>
    <w:p>
      <w:r>
        <w:t>These errors are concentrated in days where the next-open-to-close return is extremely large. Therefore, before changing the model, the data and execution target should be audited.</w:t>
      </w:r>
    </w:p>
    <w:p>
      <w:pPr>
        <w:pStyle w:val="Heading3"/>
      </w:pPr>
      <w:r>
        <w:t>Abnormal opening-price diagnostic</w:t>
      </w:r>
    </w:p>
    <w:p>
      <w:r>
        <w:t>Because the strategy enters at the next session open, abnormal opening prices can strongly affect the target return. The diagnostic variable should be:</w:t>
      </w:r>
    </w:p>
    <w:p>
      <w:r>
        <w:rPr>
          <w:b/>
        </w:rPr>
        <w:t>open_jump = log(today_open / previous_close)</w:t>
      </w:r>
    </w:p>
    <w:p>
      <w:r>
        <w:t>Rows with absolute open_jump larger than 3% should be flagged for review. They should not be deleted automatically; they should first be inspected to decide whether they represent genuine tradable jumps, auction anomalies, liquidity issues, or data problems.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9"/>
              </w:rPr>
              <w:t>Date</w:t>
            </w:r>
          </w:p>
        </w:tc>
        <w:tc>
          <w:tcPr>
            <w:tcW w:type="dxa" w:w="1987"/>
            <w:vAlign w:val="center"/>
            <w:shd w:fill="D9EAF7"/>
          </w:tcPr>
          <w:p>
            <w:r/>
            <w:r>
              <w:rPr>
                <w:b/>
                <w:sz w:val="19"/>
              </w:rPr>
              <w:t>Previous close</w:t>
            </w:r>
          </w:p>
        </w:tc>
        <w:tc>
          <w:tcPr>
            <w:tcW w:type="dxa" w:w="1987"/>
            <w:vAlign w:val="center"/>
            <w:shd w:fill="D9EAF7"/>
          </w:tcPr>
          <w:p>
            <w:r/>
            <w:r>
              <w:rPr>
                <w:b/>
                <w:sz w:val="19"/>
              </w:rPr>
              <w:t>Open</w:t>
            </w:r>
          </w:p>
        </w:tc>
        <w:tc>
          <w:tcPr>
            <w:tcW w:type="dxa" w:w="1987"/>
            <w:vAlign w:val="center"/>
            <w:shd w:fill="D9EAF7"/>
          </w:tcPr>
          <w:p>
            <w:r/>
            <w:r>
              <w:rPr>
                <w:b/>
                <w:sz w:val="19"/>
              </w:rPr>
              <w:t>Close</w:t>
            </w:r>
          </w:p>
        </w:tc>
        <w:tc>
          <w:tcPr>
            <w:tcW w:type="dxa" w:w="1987"/>
            <w:vAlign w:val="center"/>
            <w:shd w:fill="D9EAF7"/>
          </w:tcPr>
          <w:p>
            <w:r/>
            <w:r>
              <w:rPr>
                <w:b/>
                <w:sz w:val="19"/>
              </w:rPr>
              <w:t>Open jump</w:t>
            </w:r>
          </w:p>
        </w:tc>
      </w:tr>
      <w:tr>
        <w:tc>
          <w:tcPr>
            <w:tcW w:type="dxa" w:w="1987"/>
            <w:vAlign w:val="center"/>
          </w:tcPr>
          <w:p>
            <w:r/>
            <w:r>
              <w:rPr>
                <w:b w:val="0"/>
                <w:sz w:val="19"/>
              </w:rPr>
              <w:t>2019-10-24</w:t>
            </w:r>
          </w:p>
        </w:tc>
        <w:tc>
          <w:tcPr>
            <w:tcW w:type="dxa" w:w="1987"/>
            <w:vAlign w:val="center"/>
          </w:tcPr>
          <w:p>
            <w:r/>
            <w:r>
              <w:rPr>
                <w:b w:val="0"/>
                <w:sz w:val="19"/>
              </w:rPr>
              <w:t>340.58</w:t>
            </w:r>
          </w:p>
        </w:tc>
        <w:tc>
          <w:tcPr>
            <w:tcW w:type="dxa" w:w="1987"/>
            <w:vAlign w:val="center"/>
          </w:tcPr>
          <w:p>
            <w:r/>
            <w:r>
              <w:rPr>
                <w:b w:val="0"/>
                <w:sz w:val="19"/>
              </w:rPr>
              <w:t>285.00</w:t>
            </w:r>
          </w:p>
        </w:tc>
        <w:tc>
          <w:tcPr>
            <w:tcW w:type="dxa" w:w="1987"/>
            <w:vAlign w:val="center"/>
          </w:tcPr>
          <w:p>
            <w:r/>
            <w:r>
              <w:rPr>
                <w:b w:val="0"/>
                <w:sz w:val="19"/>
              </w:rPr>
              <w:t>339.94</w:t>
            </w:r>
          </w:p>
        </w:tc>
        <w:tc>
          <w:tcPr>
            <w:tcW w:type="dxa" w:w="1987"/>
            <w:vAlign w:val="center"/>
          </w:tcPr>
          <w:p>
            <w:r/>
            <w:r>
              <w:rPr>
                <w:b w:val="0"/>
                <w:sz w:val="19"/>
              </w:rPr>
              <w:t>-17.82%</w:t>
            </w:r>
          </w:p>
        </w:tc>
      </w:tr>
      <w:tr>
        <w:tc>
          <w:tcPr>
            <w:tcW w:type="dxa" w:w="1987"/>
            <w:vAlign w:val="center"/>
          </w:tcPr>
          <w:p>
            <w:r/>
            <w:r>
              <w:rPr>
                <w:b w:val="0"/>
                <w:sz w:val="19"/>
              </w:rPr>
              <w:t>2023-08-07</w:t>
            </w:r>
          </w:p>
        </w:tc>
        <w:tc>
          <w:tcPr>
            <w:tcW w:type="dxa" w:w="1987"/>
            <w:vAlign w:val="center"/>
          </w:tcPr>
          <w:p>
            <w:r/>
            <w:r>
              <w:rPr>
                <w:b w:val="0"/>
                <w:sz w:val="19"/>
              </w:rPr>
              <w:t>454.02</w:t>
            </w:r>
          </w:p>
        </w:tc>
        <w:tc>
          <w:tcPr>
            <w:tcW w:type="dxa" w:w="1987"/>
            <w:vAlign w:val="center"/>
          </w:tcPr>
          <w:p>
            <w:r/>
            <w:r>
              <w:rPr>
                <w:b w:val="0"/>
                <w:sz w:val="19"/>
              </w:rPr>
              <w:t>494.30</w:t>
            </w:r>
          </w:p>
        </w:tc>
        <w:tc>
          <w:tcPr>
            <w:tcW w:type="dxa" w:w="1987"/>
            <w:vAlign w:val="center"/>
          </w:tcPr>
          <w:p>
            <w:r/>
            <w:r>
              <w:rPr>
                <w:b w:val="0"/>
                <w:sz w:val="19"/>
              </w:rPr>
              <w:t>454.89</w:t>
            </w:r>
          </w:p>
        </w:tc>
        <w:tc>
          <w:tcPr>
            <w:tcW w:type="dxa" w:w="1987"/>
            <w:vAlign w:val="center"/>
          </w:tcPr>
          <w:p>
            <w:r/>
            <w:r>
              <w:rPr>
                <w:b w:val="0"/>
                <w:sz w:val="19"/>
              </w:rPr>
              <w:t>+8.50%</w:t>
            </w:r>
          </w:p>
        </w:tc>
      </w:tr>
      <w:tr>
        <w:tc>
          <w:tcPr>
            <w:tcW w:type="dxa" w:w="1987"/>
            <w:vAlign w:val="center"/>
          </w:tcPr>
          <w:p>
            <w:r/>
            <w:r>
              <w:rPr>
                <w:b w:val="0"/>
                <w:sz w:val="19"/>
              </w:rPr>
              <w:t>2026-03-20</w:t>
            </w:r>
          </w:p>
        </w:tc>
        <w:tc>
          <w:tcPr>
            <w:tcW w:type="dxa" w:w="1987"/>
            <w:vAlign w:val="center"/>
          </w:tcPr>
          <w:p>
            <w:r/>
            <w:r>
              <w:rPr>
                <w:b w:val="0"/>
                <w:sz w:val="19"/>
              </w:rPr>
              <w:t>1061.00</w:t>
            </w:r>
          </w:p>
        </w:tc>
        <w:tc>
          <w:tcPr>
            <w:tcW w:type="dxa" w:w="1987"/>
            <w:vAlign w:val="center"/>
          </w:tcPr>
          <w:p>
            <w:r/>
            <w:r>
              <w:rPr>
                <w:b w:val="0"/>
                <w:sz w:val="19"/>
              </w:rPr>
              <w:t>1140.00</w:t>
            </w:r>
          </w:p>
        </w:tc>
        <w:tc>
          <w:tcPr>
            <w:tcW w:type="dxa" w:w="1987"/>
            <w:vAlign w:val="center"/>
          </w:tcPr>
          <w:p>
            <w:r/>
            <w:r>
              <w:rPr>
                <w:b w:val="0"/>
                <w:sz w:val="19"/>
              </w:rPr>
              <w:t>1041.59</w:t>
            </w:r>
          </w:p>
        </w:tc>
        <w:tc>
          <w:tcPr>
            <w:tcW w:type="dxa" w:w="1987"/>
            <w:vAlign w:val="center"/>
          </w:tcPr>
          <w:p>
            <w:r/>
            <w:r>
              <w:rPr>
                <w:b w:val="0"/>
                <w:sz w:val="19"/>
              </w:rPr>
              <w:t>+7.18%</w:t>
            </w:r>
          </w:p>
        </w:tc>
      </w:tr>
      <w:tr>
        <w:tc>
          <w:tcPr>
            <w:tcW w:type="dxa" w:w="1987"/>
            <w:vAlign w:val="center"/>
          </w:tcPr>
          <w:p>
            <w:r/>
            <w:r>
              <w:rPr>
                <w:b w:val="0"/>
                <w:sz w:val="19"/>
              </w:rPr>
              <w:t>2023-06-01</w:t>
            </w:r>
          </w:p>
        </w:tc>
        <w:tc>
          <w:tcPr>
            <w:tcW w:type="dxa" w:w="1987"/>
            <w:vAlign w:val="center"/>
          </w:tcPr>
          <w:p>
            <w:r/>
            <w:r>
              <w:rPr>
                <w:b w:val="0"/>
                <w:sz w:val="19"/>
              </w:rPr>
              <w:t>449.62</w:t>
            </w:r>
          </w:p>
        </w:tc>
        <w:tc>
          <w:tcPr>
            <w:tcW w:type="dxa" w:w="1987"/>
            <w:vAlign w:val="center"/>
          </w:tcPr>
          <w:p>
            <w:r/>
            <w:r>
              <w:rPr>
                <w:b w:val="0"/>
                <w:sz w:val="19"/>
              </w:rPr>
              <w:t>479.94</w:t>
            </w:r>
          </w:p>
        </w:tc>
        <w:tc>
          <w:tcPr>
            <w:tcW w:type="dxa" w:w="1987"/>
            <w:vAlign w:val="center"/>
          </w:tcPr>
          <w:p>
            <w:r/>
            <w:r>
              <w:rPr>
                <w:b w:val="0"/>
                <w:sz w:val="19"/>
              </w:rPr>
              <w:t>449.23</w:t>
            </w:r>
          </w:p>
        </w:tc>
        <w:tc>
          <w:tcPr>
            <w:tcW w:type="dxa" w:w="1987"/>
            <w:vAlign w:val="center"/>
          </w:tcPr>
          <w:p>
            <w:r/>
            <w:r>
              <w:rPr>
                <w:b w:val="0"/>
                <w:sz w:val="19"/>
              </w:rPr>
              <w:t>+6.53%</w:t>
            </w:r>
          </w:p>
        </w:tc>
      </w:tr>
      <w:tr>
        <w:tc>
          <w:tcPr>
            <w:tcW w:type="dxa" w:w="1987"/>
            <w:vAlign w:val="center"/>
          </w:tcPr>
          <w:p>
            <w:r/>
            <w:r>
              <w:rPr>
                <w:b w:val="0"/>
                <w:sz w:val="19"/>
              </w:rPr>
              <w:t>2017-05-19</w:t>
            </w:r>
          </w:p>
        </w:tc>
        <w:tc>
          <w:tcPr>
            <w:tcW w:type="dxa" w:w="1987"/>
            <w:vAlign w:val="center"/>
          </w:tcPr>
          <w:p>
            <w:r/>
            <w:r>
              <w:rPr>
                <w:b w:val="0"/>
                <w:sz w:val="19"/>
              </w:rPr>
              <w:t>279.82</w:t>
            </w:r>
          </w:p>
        </w:tc>
        <w:tc>
          <w:tcPr>
            <w:tcW w:type="dxa" w:w="1987"/>
            <w:vAlign w:val="center"/>
          </w:tcPr>
          <w:p>
            <w:r/>
            <w:r>
              <w:rPr>
                <w:b w:val="0"/>
                <w:sz w:val="19"/>
              </w:rPr>
              <w:t>298.00</w:t>
            </w:r>
          </w:p>
        </w:tc>
        <w:tc>
          <w:tcPr>
            <w:tcW w:type="dxa" w:w="1987"/>
            <w:vAlign w:val="center"/>
          </w:tcPr>
          <w:p>
            <w:r/>
            <w:r>
              <w:rPr>
                <w:b w:val="0"/>
                <w:sz w:val="19"/>
              </w:rPr>
              <w:t>279.26</w:t>
            </w:r>
          </w:p>
        </w:tc>
        <w:tc>
          <w:tcPr>
            <w:tcW w:type="dxa" w:w="1987"/>
            <w:vAlign w:val="center"/>
          </w:tcPr>
          <w:p>
            <w:r/>
            <w:r>
              <w:rPr>
                <w:b w:val="0"/>
                <w:sz w:val="19"/>
              </w:rPr>
              <w:t>+6.29%</w:t>
            </w:r>
          </w:p>
        </w:tc>
      </w:tr>
    </w:tbl>
    <w:p/>
    <w:p>
      <w:pPr>
        <w:pStyle w:val="Heading3"/>
      </w:pPr>
      <w:r>
        <w:t>Next action</w:t>
      </w:r>
    </w:p>
    <w:p>
      <w:pPr>
        <w:pStyle w:val="ListBullet"/>
      </w:pPr>
      <w:r>
        <w:t>Add an open_jump_diagnostics.csv output to gold_model_comparison.py.</w:t>
      </w:r>
    </w:p>
    <w:p>
      <w:pPr>
        <w:pStyle w:val="ListBullet"/>
      </w:pPr>
      <w:r>
        <w:t>Flag rows where abs(open_jump) &gt; 0.03.</w:t>
      </w:r>
    </w:p>
    <w:p>
      <w:pPr>
        <w:pStyle w:val="ListBullet"/>
      </w:pPr>
      <w:r>
        <w:t>Compare model performance using the original data versus data excluding flagged rows.</w:t>
      </w:r>
    </w:p>
    <w:p>
      <w:pPr>
        <w:pStyle w:val="ListBullet"/>
      </w:pPr>
      <w:r>
        <w:t>Check whether Huber still performs best after abnormal openings are handled.</w:t>
      </w:r>
    </w:p>
    <w:p>
      <w:pPr>
        <w:pStyle w:val="Heading3"/>
      </w:pPr>
      <w:r>
        <w:t>Research note wording</w:t>
      </w:r>
    </w:p>
    <w:p>
      <w:r>
        <w:t>The residuals are not normally distributed. Jarque-Bera p-values are close to 0 for all models, with high excess kurtosis and negative skew. This means the model errors have fat tails and large negative misses. The largest residuals are concentrated in dates where the next open-to-close return is extremely large. Therefore, before changing the model, we need to audit whether these opening prices are tradable, data errors, auction anomalies, or genuine market jumps.</w:t>
      </w:r>
    </w:p>
    <w:p/>
    <w:p>
      <w:pPr>
        <w:jc w:val="right"/>
      </w:pPr>
      <w:r>
        <w:rPr>
          <w:i/>
          <w:sz w:val="18"/>
        </w:rPr>
        <w:t>Updated by Codex</w:t>
      </w:r>
    </w:p>
    <w:p>
      <w:pPr>
        <w:pStyle w:val="Heading1"/>
      </w:pPr>
      <w:r>
        <w:t>Progress Update ? 2026-07-13 15:18</w:t>
      </w:r>
    </w:p>
    <w:p>
      <w:pPr>
        <w:pStyle w:val="Heading2"/>
      </w:pPr>
      <w:r>
        <w:t>Continued diagnosis: abnormal opens and residual clustering</w:t>
      </w:r>
    </w:p>
    <w:p>
      <w:r>
        <w:t>The model script was updated to preserve diagnostic fields for the executable entry price: entry_previous_close and entry_open_jump = log(entry_open / entry_previous_close). A new output file is now produced: open_jump_diagnostics.csv. This is a diagnostic change only; no rows were removed from training or testing.</w:t>
      </w:r>
    </w:p>
    <w:p>
      <w:pPr>
        <w:pStyle w:val="Heading3"/>
      </w:pPr>
      <w:r>
        <w:t>New diagnostic files</w:t>
      </w:r>
    </w:p>
    <w:p>
      <w:pPr>
        <w:pStyle w:val="ListBullet"/>
      </w:pPr>
      <w:r>
        <w:t>C:\Users\27762\Documents\Quant\outputs\horizon_comparison\h1\open_jump_diagnostics.csv</w:t>
      </w:r>
    </w:p>
    <w:p>
      <w:pPr>
        <w:pStyle w:val="ListBullet"/>
      </w:pPr>
      <w:r>
        <w:t>C:\Users\27762\Documents\Quant\outputs\horizon_comparison\h1\residual_open_jump_comparison.csv</w:t>
      </w:r>
    </w:p>
    <w:p>
      <w:pPr>
        <w:pStyle w:val="ListBullet"/>
      </w:pPr>
      <w:r>
        <w:t>C:\Users\27762\Documents\Quant\outputs\horizon_comparison\h1\largest_residuals.csv</w:t>
      </w:r>
    </w:p>
    <w:p>
      <w:pPr>
        <w:pStyle w:val="ListBullet"/>
      </w:pPr>
      <w:r>
        <w:t>C:\Users\27762\Documents\Quant\outputs\horizon_comparison\h1\monthly_residual_diagnostics.csv</w:t>
      </w:r>
    </w:p>
    <w:p>
      <w:pPr>
        <w:pStyle w:val="Heading3"/>
      </w:pPr>
      <w:r>
        <w:t>Open-jump result</w:t>
      </w:r>
    </w:p>
    <w:p>
      <w:r>
        <w:t>Using a threshold of abs(entry_open_jump) &gt; 0.03, 9 out of 414 test rows were flagged as large opening jumps. These rows have much larger average Huber absolute residuals than normal rows, but they do not explain all of the largest errors.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Sample</w:t>
            </w:r>
          </w:p>
        </w:tc>
        <w:tc>
          <w:tcPr>
            <w:tcW w:type="dxa" w:w="1987"/>
            <w:vAlign w:val="center"/>
            <w:shd w:fill="D9EAF7"/>
          </w:tcPr>
          <w:p>
            <w:r/>
            <w:r>
              <w:rPr>
                <w:b/>
                <w:sz w:val="18"/>
              </w:rPr>
              <w:t>Rows</w:t>
            </w:r>
          </w:p>
        </w:tc>
        <w:tc>
          <w:tcPr>
            <w:tcW w:type="dxa" w:w="1987"/>
            <w:vAlign w:val="center"/>
            <w:shd w:fill="D9EAF7"/>
          </w:tcPr>
          <w:p>
            <w:r/>
            <w:r>
              <w:rPr>
                <w:b/>
                <w:sz w:val="18"/>
              </w:rPr>
              <w:t>Huber MAE</w:t>
            </w:r>
          </w:p>
        </w:tc>
        <w:tc>
          <w:tcPr>
            <w:tcW w:type="dxa" w:w="1987"/>
            <w:vAlign w:val="center"/>
            <w:shd w:fill="D9EAF7"/>
          </w:tcPr>
          <w:p>
            <w:r/>
            <w:r>
              <w:rPr>
                <w:b/>
                <w:sz w:val="18"/>
              </w:rPr>
              <w:t>Huber MSE</w:t>
            </w:r>
          </w:p>
        </w:tc>
        <w:tc>
          <w:tcPr>
            <w:tcW w:type="dxa" w:w="1987"/>
            <w:vAlign w:val="center"/>
            <w:shd w:fill="D9EAF7"/>
          </w:tcPr>
          <w:p>
            <w:r/>
            <w:r>
              <w:rPr>
                <w:b/>
                <w:sz w:val="18"/>
              </w:rPr>
              <w:t>Interpretation</w:t>
            </w:r>
          </w:p>
        </w:tc>
      </w:tr>
      <w:tr>
        <w:tc>
          <w:tcPr>
            <w:tcW w:type="dxa" w:w="1987"/>
            <w:vAlign w:val="center"/>
          </w:tcPr>
          <w:p>
            <w:r/>
            <w:r>
              <w:rPr>
                <w:b w:val="0"/>
                <w:sz w:val="18"/>
              </w:rPr>
              <w:t>All rows</w:t>
            </w:r>
          </w:p>
        </w:tc>
        <w:tc>
          <w:tcPr>
            <w:tcW w:type="dxa" w:w="1987"/>
            <w:vAlign w:val="center"/>
          </w:tcPr>
          <w:p>
            <w:r/>
            <w:r>
              <w:rPr>
                <w:b w:val="0"/>
                <w:sz w:val="18"/>
              </w:rPr>
              <w:t>414</w:t>
            </w:r>
          </w:p>
        </w:tc>
        <w:tc>
          <w:tcPr>
            <w:tcW w:type="dxa" w:w="1987"/>
            <w:vAlign w:val="center"/>
          </w:tcPr>
          <w:p>
            <w:r/>
            <w:r>
              <w:rPr>
                <w:b w:val="0"/>
                <w:sz w:val="18"/>
              </w:rPr>
              <w:t>0.00848</w:t>
            </w:r>
          </w:p>
        </w:tc>
        <w:tc>
          <w:tcPr>
            <w:tcW w:type="dxa" w:w="1987"/>
            <w:vAlign w:val="center"/>
          </w:tcPr>
          <w:p>
            <w:r/>
            <w:r>
              <w:rPr>
                <w:b w:val="0"/>
                <w:sz w:val="18"/>
              </w:rPr>
              <w:t>0.000208</w:t>
            </w:r>
          </w:p>
        </w:tc>
        <w:tc>
          <w:tcPr>
            <w:tcW w:type="dxa" w:w="1987"/>
            <w:vAlign w:val="center"/>
          </w:tcPr>
          <w:p>
            <w:r/>
            <w:r>
              <w:rPr>
                <w:b w:val="0"/>
                <w:sz w:val="18"/>
              </w:rPr>
              <w:t>Full test set</w:t>
            </w:r>
          </w:p>
        </w:tc>
      </w:tr>
      <w:tr>
        <w:tc>
          <w:tcPr>
            <w:tcW w:type="dxa" w:w="1987"/>
            <w:vAlign w:val="center"/>
          </w:tcPr>
          <w:p>
            <w:r/>
            <w:r>
              <w:rPr>
                <w:b w:val="0"/>
                <w:sz w:val="18"/>
              </w:rPr>
              <w:t>No large open jump</w:t>
            </w:r>
          </w:p>
        </w:tc>
        <w:tc>
          <w:tcPr>
            <w:tcW w:type="dxa" w:w="1987"/>
            <w:vAlign w:val="center"/>
          </w:tcPr>
          <w:p>
            <w:r/>
            <w:r>
              <w:rPr>
                <w:b w:val="0"/>
                <w:sz w:val="18"/>
              </w:rPr>
              <w:t>405</w:t>
            </w:r>
          </w:p>
        </w:tc>
        <w:tc>
          <w:tcPr>
            <w:tcW w:type="dxa" w:w="1987"/>
            <w:vAlign w:val="center"/>
          </w:tcPr>
          <w:p>
            <w:r/>
            <w:r>
              <w:rPr>
                <w:b w:val="0"/>
                <w:sz w:val="18"/>
              </w:rPr>
              <w:t>0.00817</w:t>
            </w:r>
          </w:p>
        </w:tc>
        <w:tc>
          <w:tcPr>
            <w:tcW w:type="dxa" w:w="1987"/>
            <w:vAlign w:val="center"/>
          </w:tcPr>
          <w:p>
            <w:r/>
            <w:r>
              <w:rPr>
                <w:b w:val="0"/>
                <w:sz w:val="18"/>
              </w:rPr>
              <w:t>0.000189</w:t>
            </w:r>
          </w:p>
        </w:tc>
        <w:tc>
          <w:tcPr>
            <w:tcW w:type="dxa" w:w="1987"/>
            <w:vAlign w:val="center"/>
          </w:tcPr>
          <w:p>
            <w:r/>
            <w:r>
              <w:rPr>
                <w:b w:val="0"/>
                <w:sz w:val="18"/>
              </w:rPr>
              <w:t>Error improves after removing flagged opening jumps</w:t>
            </w:r>
          </w:p>
        </w:tc>
      </w:tr>
      <w:tr>
        <w:tc>
          <w:tcPr>
            <w:tcW w:type="dxa" w:w="1987"/>
            <w:vAlign w:val="center"/>
          </w:tcPr>
          <w:p>
            <w:r/>
            <w:r>
              <w:rPr>
                <w:b w:val="0"/>
                <w:sz w:val="18"/>
              </w:rPr>
              <w:t>Only large open jump</w:t>
            </w:r>
          </w:p>
        </w:tc>
        <w:tc>
          <w:tcPr>
            <w:tcW w:type="dxa" w:w="1987"/>
            <w:vAlign w:val="center"/>
          </w:tcPr>
          <w:p>
            <w:r/>
            <w:r>
              <w:rPr>
                <w:b w:val="0"/>
                <w:sz w:val="18"/>
              </w:rPr>
              <w:t>9</w:t>
            </w:r>
          </w:p>
        </w:tc>
        <w:tc>
          <w:tcPr>
            <w:tcW w:type="dxa" w:w="1987"/>
            <w:vAlign w:val="center"/>
          </w:tcPr>
          <w:p>
            <w:r/>
            <w:r>
              <w:rPr>
                <w:b w:val="0"/>
                <w:sz w:val="18"/>
              </w:rPr>
              <w:t>0.02246</w:t>
            </w:r>
          </w:p>
        </w:tc>
        <w:tc>
          <w:tcPr>
            <w:tcW w:type="dxa" w:w="1987"/>
            <w:vAlign w:val="center"/>
          </w:tcPr>
          <w:p>
            <w:r/>
            <w:r>
              <w:rPr>
                <w:b w:val="0"/>
                <w:sz w:val="18"/>
              </w:rPr>
              <w:t>0.001033</w:t>
            </w:r>
          </w:p>
        </w:tc>
        <w:tc>
          <w:tcPr>
            <w:tcW w:type="dxa" w:w="1987"/>
            <w:vAlign w:val="center"/>
          </w:tcPr>
          <w:p>
            <w:r/>
            <w:r>
              <w:rPr>
                <w:b w:val="0"/>
                <w:sz w:val="18"/>
              </w:rPr>
              <w:t>Opening-jump rows are much harder to predict</w:t>
            </w:r>
          </w:p>
        </w:tc>
      </w:tr>
    </w:tbl>
    <w:p/>
    <w:p>
      <w:pPr>
        <w:pStyle w:val="Heading3"/>
      </w:pPr>
      <w:r>
        <w:t>Important interpretation</w:t>
      </w:r>
    </w:p>
    <w:p>
      <w:r>
        <w:t>Large opening jumps are a real problem, but they are not the whole problem. The two largest Huber residuals were not classified as large open jumps; they were extreme same-day open-to-close drops after entry. Therefore, the residual issue is partly an opening-price problem and partly a high-volatility/regime problem.</w:t>
      </w:r>
    </w:p>
    <w:p>
      <w:pPr>
        <w:pStyle w:val="Heading3"/>
      </w:pPr>
      <w:r>
        <w:t>Monthly clustering</w:t>
      </w:r>
    </w:p>
    <w:p>
      <w:r>
        <w:t>Residual errors are clustered in early 2026. This suggests a regime problem: the model trained on older relationships may not fully capture the behavior of gold during that volatile period.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Entry month</w:t>
            </w:r>
          </w:p>
        </w:tc>
        <w:tc>
          <w:tcPr>
            <w:tcW w:type="dxa" w:w="1987"/>
            <w:vAlign w:val="center"/>
            <w:shd w:fill="D9EAF7"/>
          </w:tcPr>
          <w:p>
            <w:r/>
            <w:r>
              <w:rPr>
                <w:b/>
                <w:sz w:val="18"/>
              </w:rPr>
              <w:t>Rows</w:t>
            </w:r>
          </w:p>
        </w:tc>
        <w:tc>
          <w:tcPr>
            <w:tcW w:type="dxa" w:w="1987"/>
            <w:vAlign w:val="center"/>
            <w:shd w:fill="D9EAF7"/>
          </w:tcPr>
          <w:p>
            <w:r/>
            <w:r>
              <w:rPr>
                <w:b/>
                <w:sz w:val="18"/>
              </w:rPr>
              <w:t>Mean abs residual</w:t>
            </w:r>
          </w:p>
        </w:tc>
        <w:tc>
          <w:tcPr>
            <w:tcW w:type="dxa" w:w="1987"/>
            <w:vAlign w:val="center"/>
            <w:shd w:fill="D9EAF7"/>
          </w:tcPr>
          <w:p>
            <w:r/>
            <w:r>
              <w:rPr>
                <w:b/>
                <w:sz w:val="18"/>
              </w:rPr>
              <w:t>Large residual count</w:t>
            </w:r>
          </w:p>
        </w:tc>
        <w:tc>
          <w:tcPr>
            <w:tcW w:type="dxa" w:w="1987"/>
            <w:vAlign w:val="center"/>
            <w:shd w:fill="D9EAF7"/>
          </w:tcPr>
          <w:p>
            <w:r/>
            <w:r>
              <w:rPr>
                <w:b/>
                <w:sz w:val="18"/>
              </w:rPr>
              <w:t>Large open-jump count</w:t>
            </w:r>
          </w:p>
        </w:tc>
      </w:tr>
      <w:tr>
        <w:tc>
          <w:tcPr>
            <w:tcW w:type="dxa" w:w="1987"/>
            <w:vAlign w:val="center"/>
          </w:tcPr>
          <w:p>
            <w:r/>
            <w:r>
              <w:rPr>
                <w:b w:val="0"/>
                <w:sz w:val="18"/>
              </w:rPr>
              <w:t>2026-03</w:t>
            </w:r>
          </w:p>
        </w:tc>
        <w:tc>
          <w:tcPr>
            <w:tcW w:type="dxa" w:w="1987"/>
            <w:vAlign w:val="center"/>
          </w:tcPr>
          <w:p>
            <w:r/>
            <w:r>
              <w:rPr>
                <w:b w:val="0"/>
                <w:sz w:val="18"/>
              </w:rPr>
              <w:t>22</w:t>
            </w:r>
          </w:p>
        </w:tc>
        <w:tc>
          <w:tcPr>
            <w:tcW w:type="dxa" w:w="1987"/>
            <w:vAlign w:val="center"/>
          </w:tcPr>
          <w:p>
            <w:r/>
            <w:r>
              <w:rPr>
                <w:b w:val="0"/>
                <w:sz w:val="18"/>
              </w:rPr>
              <w:t>0.02070</w:t>
            </w:r>
          </w:p>
        </w:tc>
        <w:tc>
          <w:tcPr>
            <w:tcW w:type="dxa" w:w="1987"/>
            <w:vAlign w:val="center"/>
          </w:tcPr>
          <w:p>
            <w:r/>
            <w:r>
              <w:rPr>
                <w:b w:val="0"/>
                <w:sz w:val="18"/>
              </w:rPr>
              <w:t>4</w:t>
            </w:r>
          </w:p>
        </w:tc>
        <w:tc>
          <w:tcPr>
            <w:tcW w:type="dxa" w:w="1987"/>
            <w:vAlign w:val="center"/>
          </w:tcPr>
          <w:p>
            <w:r/>
            <w:r>
              <w:rPr>
                <w:b w:val="0"/>
                <w:sz w:val="18"/>
              </w:rPr>
              <w:t>2</w:t>
            </w:r>
          </w:p>
        </w:tc>
      </w:tr>
      <w:tr>
        <w:tc>
          <w:tcPr>
            <w:tcW w:type="dxa" w:w="1987"/>
            <w:vAlign w:val="center"/>
          </w:tcPr>
          <w:p>
            <w:r/>
            <w:r>
              <w:rPr>
                <w:b w:val="0"/>
                <w:sz w:val="18"/>
              </w:rPr>
              <w:t>2026-02</w:t>
            </w:r>
          </w:p>
        </w:tc>
        <w:tc>
          <w:tcPr>
            <w:tcW w:type="dxa" w:w="1987"/>
            <w:vAlign w:val="center"/>
          </w:tcPr>
          <w:p>
            <w:r/>
            <w:r>
              <w:rPr>
                <w:b w:val="0"/>
                <w:sz w:val="18"/>
              </w:rPr>
              <w:t>14</w:t>
            </w:r>
          </w:p>
        </w:tc>
        <w:tc>
          <w:tcPr>
            <w:tcW w:type="dxa" w:w="1987"/>
            <w:vAlign w:val="center"/>
          </w:tcPr>
          <w:p>
            <w:r/>
            <w:r>
              <w:rPr>
                <w:b w:val="0"/>
                <w:sz w:val="18"/>
              </w:rPr>
              <w:t>0.02027</w:t>
            </w:r>
          </w:p>
        </w:tc>
        <w:tc>
          <w:tcPr>
            <w:tcW w:type="dxa" w:w="1987"/>
            <w:vAlign w:val="center"/>
          </w:tcPr>
          <w:p>
            <w:r/>
            <w:r>
              <w:rPr>
                <w:b w:val="0"/>
                <w:sz w:val="18"/>
              </w:rPr>
              <w:t>2</w:t>
            </w:r>
          </w:p>
        </w:tc>
        <w:tc>
          <w:tcPr>
            <w:tcW w:type="dxa" w:w="1987"/>
            <w:vAlign w:val="center"/>
          </w:tcPr>
          <w:p>
            <w:r/>
            <w:r>
              <w:rPr>
                <w:b w:val="0"/>
                <w:sz w:val="18"/>
              </w:rPr>
              <w:t>2</w:t>
            </w:r>
          </w:p>
        </w:tc>
      </w:tr>
      <w:tr>
        <w:tc>
          <w:tcPr>
            <w:tcW w:type="dxa" w:w="1987"/>
            <w:vAlign w:val="center"/>
          </w:tcPr>
          <w:p>
            <w:r/>
            <w:r>
              <w:rPr>
                <w:b w:val="0"/>
                <w:sz w:val="18"/>
              </w:rPr>
              <w:t>2026-01</w:t>
            </w:r>
          </w:p>
        </w:tc>
        <w:tc>
          <w:tcPr>
            <w:tcW w:type="dxa" w:w="1987"/>
            <w:vAlign w:val="center"/>
          </w:tcPr>
          <w:p>
            <w:r/>
            <w:r>
              <w:rPr>
                <w:b w:val="0"/>
                <w:sz w:val="18"/>
              </w:rPr>
              <w:t>20</w:t>
            </w:r>
          </w:p>
        </w:tc>
        <w:tc>
          <w:tcPr>
            <w:tcW w:type="dxa" w:w="1987"/>
            <w:vAlign w:val="center"/>
          </w:tcPr>
          <w:p>
            <w:r/>
            <w:r>
              <w:rPr>
                <w:b w:val="0"/>
                <w:sz w:val="18"/>
              </w:rPr>
              <w:t>0.01452</w:t>
            </w:r>
          </w:p>
        </w:tc>
        <w:tc>
          <w:tcPr>
            <w:tcW w:type="dxa" w:w="1987"/>
            <w:vAlign w:val="center"/>
          </w:tcPr>
          <w:p>
            <w:r/>
            <w:r>
              <w:rPr>
                <w:b w:val="0"/>
                <w:sz w:val="18"/>
              </w:rPr>
              <w:t>3</w:t>
            </w:r>
          </w:p>
        </w:tc>
        <w:tc>
          <w:tcPr>
            <w:tcW w:type="dxa" w:w="1987"/>
            <w:vAlign w:val="center"/>
          </w:tcPr>
          <w:p>
            <w:r/>
            <w:r>
              <w:rPr>
                <w:b w:val="0"/>
                <w:sz w:val="18"/>
              </w:rPr>
              <w:t>0</w:t>
            </w:r>
          </w:p>
        </w:tc>
      </w:tr>
      <w:tr>
        <w:tc>
          <w:tcPr>
            <w:tcW w:type="dxa" w:w="1987"/>
            <w:vAlign w:val="center"/>
          </w:tcPr>
          <w:p>
            <w:r/>
            <w:r>
              <w:rPr>
                <w:b w:val="0"/>
                <w:sz w:val="18"/>
              </w:rPr>
              <w:t>2025-10</w:t>
            </w:r>
          </w:p>
        </w:tc>
        <w:tc>
          <w:tcPr>
            <w:tcW w:type="dxa" w:w="1987"/>
            <w:vAlign w:val="center"/>
          </w:tcPr>
          <w:p>
            <w:r/>
            <w:r>
              <w:rPr>
                <w:b w:val="0"/>
                <w:sz w:val="18"/>
              </w:rPr>
              <w:t>17</w:t>
            </w:r>
          </w:p>
        </w:tc>
        <w:tc>
          <w:tcPr>
            <w:tcW w:type="dxa" w:w="1987"/>
            <w:vAlign w:val="center"/>
          </w:tcPr>
          <w:p>
            <w:r/>
            <w:r>
              <w:rPr>
                <w:b w:val="0"/>
                <w:sz w:val="18"/>
              </w:rPr>
              <w:t>0.01313</w:t>
            </w:r>
          </w:p>
        </w:tc>
        <w:tc>
          <w:tcPr>
            <w:tcW w:type="dxa" w:w="1987"/>
            <w:vAlign w:val="center"/>
          </w:tcPr>
          <w:p>
            <w:r/>
            <w:r>
              <w:rPr>
                <w:b w:val="0"/>
                <w:sz w:val="18"/>
              </w:rPr>
              <w:t>0</w:t>
            </w:r>
          </w:p>
        </w:tc>
        <w:tc>
          <w:tcPr>
            <w:tcW w:type="dxa" w:w="1987"/>
            <w:vAlign w:val="center"/>
          </w:tcPr>
          <w:p>
            <w:r/>
            <w:r>
              <w:rPr>
                <w:b w:val="0"/>
                <w:sz w:val="18"/>
              </w:rPr>
              <w:t>2</w:t>
            </w:r>
          </w:p>
        </w:tc>
      </w:tr>
      <w:tr>
        <w:tc>
          <w:tcPr>
            <w:tcW w:type="dxa" w:w="1987"/>
            <w:vAlign w:val="center"/>
          </w:tcPr>
          <w:p>
            <w:r/>
            <w:r>
              <w:rPr>
                <w:b w:val="0"/>
                <w:sz w:val="18"/>
              </w:rPr>
              <w:t>2026-06</w:t>
            </w:r>
          </w:p>
        </w:tc>
        <w:tc>
          <w:tcPr>
            <w:tcW w:type="dxa" w:w="1987"/>
            <w:vAlign w:val="center"/>
          </w:tcPr>
          <w:p>
            <w:r/>
            <w:r>
              <w:rPr>
                <w:b w:val="0"/>
                <w:sz w:val="18"/>
              </w:rPr>
              <w:t>17</w:t>
            </w:r>
          </w:p>
        </w:tc>
        <w:tc>
          <w:tcPr>
            <w:tcW w:type="dxa" w:w="1987"/>
            <w:vAlign w:val="center"/>
          </w:tcPr>
          <w:p>
            <w:r/>
            <w:r>
              <w:rPr>
                <w:b w:val="0"/>
                <w:sz w:val="18"/>
              </w:rPr>
              <w:t>0.01266</w:t>
            </w:r>
          </w:p>
        </w:tc>
        <w:tc>
          <w:tcPr>
            <w:tcW w:type="dxa" w:w="1987"/>
            <w:vAlign w:val="center"/>
          </w:tcPr>
          <w:p>
            <w:r/>
            <w:r>
              <w:rPr>
                <w:b w:val="0"/>
                <w:sz w:val="18"/>
              </w:rPr>
              <w:t>1</w:t>
            </w:r>
          </w:p>
        </w:tc>
        <w:tc>
          <w:tcPr>
            <w:tcW w:type="dxa" w:w="1987"/>
            <w:vAlign w:val="center"/>
          </w:tcPr>
          <w:p>
            <w:r/>
            <w:r>
              <w:rPr>
                <w:b w:val="0"/>
                <w:sz w:val="18"/>
              </w:rPr>
              <w:t>0</w:t>
            </w:r>
          </w:p>
        </w:tc>
      </w:tr>
    </w:tbl>
    <w:p/>
    <w:p>
      <w:pPr>
        <w:pStyle w:val="Heading3"/>
      </w:pPr>
      <w:r>
        <w:t>Conclusion from this diagnostic step</w:t>
      </w:r>
    </w:p>
    <w:p>
      <w:r>
        <w:t>The model errors are not simply random. They are affected by abnormal entry opens and by clustered volatile regimes, especially January to March 2026. The next research step should compare model results under a clear data-treatment rule, such as excluding or winsorizing rows with abs(entry_open_jump) &gt; 3%, and separately adding a high-volatility/regime feature rather than deleting all crisis periods.</w:t>
      </w:r>
    </w:p>
    <w:p>
      <w:pPr>
        <w:pStyle w:val="Heading3"/>
      </w:pPr>
      <w:r>
        <w:t>Recommended next action</w:t>
      </w:r>
    </w:p>
    <w:p>
      <w:pPr>
        <w:pStyle w:val="ListBullet"/>
      </w:pPr>
      <w:r>
        <w:t>Run a controlled comparison: original data versus excluding rows where abs(entry_open_jump) &gt; 3%.</w:t>
      </w:r>
    </w:p>
    <w:p>
      <w:pPr>
        <w:pStyle w:val="ListBullet"/>
      </w:pPr>
      <w:r>
        <w:t>Add a high-volatility regime label, for example volatility_20d above its rolling 80th or 90th percentile.</w:t>
      </w:r>
    </w:p>
    <w:p>
      <w:pPr>
        <w:pStyle w:val="ListBullet"/>
      </w:pPr>
      <w:r>
        <w:t>Re-run horizon comparison after the data-treatment rule is added.</w:t>
      </w:r>
    </w:p>
    <w:p>
      <w:pPr>
        <w:pStyle w:val="ListBullet"/>
      </w:pPr>
      <w:r>
        <w:t>Check whether the selected horizon/model changes and whether P&amp;L becomes less dependent on a few extreme dates.</w:t>
      </w:r>
    </w:p>
    <w:p>
      <w:pPr>
        <w:pStyle w:val="Heading1"/>
      </w:pPr>
      <w:r>
        <w:t>Progress Update - 2026-07-13</w:t>
      </w:r>
    </w:p>
    <w:p>
      <w:pPr>
        <w:pStyle w:val="Heading2"/>
      </w:pPr>
      <w:r>
        <w:t>New residual experiment: timing-aware opening-gap update</w:t>
      </w:r>
    </w:p>
    <w:p>
      <w:r>
        <w:t>A controlled out-of-sample comparison was run using the same fixed chronological split as the main horizon-1 experiment. The alternatives included high-volatility regime features, shallow robust gradient boosting, volatility-normalized targets, and a Huber forecast updated after the next session's opening price becomes observable.</w:t>
      </w:r>
    </w:p>
    <w:p>
      <w:pPr>
        <w:pStyle w:val="Heading3"/>
      </w:pPr>
      <w:r>
        <w:t>Controlled comparison</w:t>
      </w:r>
    </w:p>
    <w:p>
      <w:pPr>
        <w:pStyle w:val="ListBullet"/>
      </w:pPr>
      <w:r>
        <w:t>Current close-time Huber: test MSE 0.000208, MAE 0.008479, correlation 0.413, and direction accuracy 65.2%.</w:t>
      </w:r>
    </w:p>
    <w:p>
      <w:pPr>
        <w:pStyle w:val="ListBullet"/>
      </w:pPr>
      <w:r>
        <w:t>High-volatility labels and interaction features: no material test improvement. The regime-feature Huber and robust boosting variants were therefore not added to the production comparison.</w:t>
      </w:r>
    </w:p>
    <w:p>
      <w:pPr>
        <w:pStyle w:val="ListBullet"/>
      </w:pPr>
      <w:r>
        <w:t>Volatility-normalized targets: clearly worse test errors, so this treatment was rejected.</w:t>
      </w:r>
    </w:p>
    <w:p>
      <w:pPr>
        <w:pStyle w:val="ListBullet"/>
      </w:pPr>
      <w:r>
        <w:t>OpenUpdatedHuber: test MSE 0.000193, MAE 0.007859, correlation 0.463, and direction accuracy 72.2%.</w:t>
      </w:r>
    </w:p>
    <w:p>
      <w:pPr>
        <w:pStyle w:val="Heading3"/>
      </w:pPr>
      <w:r>
        <w:t>What validation selected</w:t>
      </w:r>
    </w:p>
    <w:p>
      <w:r>
        <w:t>Validation selected the simple gap_only specification. Its only new feature is entry_open_jump = log(entry_open / previous_close). Squared gap and interaction terms were tested but rejected by validation. This is useful evidence that the opening gap itself contains information and that extra complexity is not currently justified.</w:t>
      </w:r>
    </w:p>
    <w:p>
      <w:pPr>
        <w:pStyle w:val="Heading3"/>
      </w:pPr>
      <w:r>
        <w:t>Residual conclusion</w:t>
      </w:r>
    </w:p>
    <w:p>
      <w:r>
        <w:t>The open update lowers average error, residual standard deviation, and mean bias. It does not make the residuals normally distributed. The OpenUpdatedHuber residuals still have strong negative skew and very high excess kurtosis, with Jarque-Bera p-value approximately zero. A small number of crisis-like price moves remain much larger than any model forecast.</w:t>
      </w:r>
    </w:p>
    <w:p>
      <w:pPr>
        <w:pStyle w:val="Heading3"/>
      </w:pPr>
      <w:r>
        <w:t>Execution-timing rule</w:t>
      </w:r>
    </w:p>
    <w:p>
      <w:r>
        <w:t>OpenUpdatedHuber is marked daily_data_trading_eligible = False. With daily data, it would be invalid to observe the official opening price, use it to form the signal, and then assume execution at that same opening price. The model is therefore excluded from the daily-data P&amp;L ledger. A tradable version requires intraday QMT data: observe an opening interval, generate the updated forecast, and execute at a later recorded price.</w:t>
      </w:r>
    </w:p>
    <w:p>
      <w:pPr>
        <w:pStyle w:val="Heading3"/>
      </w:pPr>
      <w:r>
        <w:t>Code and output changes</w:t>
      </w:r>
    </w:p>
    <w:p>
      <w:pPr>
        <w:pStyle w:val="ListBullet"/>
      </w:pPr>
      <w:r>
        <w:t>gold_model_comparison.py now retains both Huber and OpenUpdatedHuber in forecast comparisons.</w:t>
      </w:r>
    </w:p>
    <w:p>
      <w:pPr>
        <w:pStyle w:val="ListBullet"/>
      </w:pPr>
      <w:r>
        <w:t>selected_models.csv and gold_model_comparison.csv now contain signal_timing and daily_data_trading_eligible fields.</w:t>
      </w:r>
    </w:p>
    <w:p>
      <w:pPr>
        <w:pStyle w:val="ListBullet"/>
      </w:pPr>
      <w:r>
        <w:t>gold_strategy_backtest.csv excludes OpenUpdatedHuber until a valid post-open execution price is supplied.</w:t>
      </w:r>
    </w:p>
    <w:p>
      <w:pPr>
        <w:pStyle w:val="Heading3"/>
      </w:pPr>
      <w:r>
        <w:t>Next research step</w:t>
      </w:r>
    </w:p>
    <w:p>
      <w:r>
        <w:t>Obtain intraday bars for Au99.99 or the traded gold instrument. Define a fixed observation window, such as the first 5 or 15 minutes, then use the opening-gap feature to predict the return from the end of that window to the chosen exit time. This will test whether the improvement survives realistic execution.</w:t>
      </w:r>
    </w:p>
    <w:p>
      <w:pPr>
        <w:pStyle w:val="Heading1"/>
      </w:pPr>
      <w:r>
        <w:t>Progress Update - 2026-07-14</w:t>
      </w:r>
    </w:p>
    <w:p>
      <w:pPr>
        <w:pStyle w:val="Heading2"/>
      </w:pPr>
      <w:r>
        <w:t>Event-window residual diagnosis and temporary exclusions</w:t>
      </w:r>
    </w:p>
    <w:p>
      <w:r>
        <w:t>Seven predeclared calendar windows were added to data/event_exclusions.csv. A model row is excluded when its signal date, next-open entry date, or horizon exit date falls inside one of these windows. The exclusion is applied before the chronological split, and the program saves both a per-event count and the exact removed rows.</w:t>
      </w:r>
    </w:p>
    <w:p>
      <w:pPr>
        <w:pStyle w:val="Heading3"/>
      </w:pPr>
      <w:r>
        <w:t>Recorded event windows</w:t>
      </w:r>
    </w:p>
    <w:p>
      <w:pPr>
        <w:pStyle w:val="ListBullet"/>
      </w:pPr>
      <w:r>
        <w:rPr>
          <w:b/>
        </w:rPr>
        <w:t xml:space="preserve">2025-04-22 to 2025-04-25: </w:t>
      </w:r>
      <w:r>
        <w:t>Trade-policy gold reversal after softer US-China tariff and Federal Reserve rhetoric.</w:t>
      </w:r>
    </w:p>
    <w:p>
      <w:pPr>
        <w:pStyle w:val="ListBullet"/>
      </w:pPr>
      <w:r>
        <w:rPr>
          <w:b/>
        </w:rPr>
        <w:t xml:space="preserve">2025-05-09 to 2025-05-13: </w:t>
      </w:r>
      <w:r>
        <w:t>US-China trade-truce correction and weekend-to-Monday repricing.</w:t>
      </w:r>
    </w:p>
    <w:p>
      <w:pPr>
        <w:pStyle w:val="ListBullet"/>
      </w:pPr>
      <w:r>
        <w:rPr>
          <w:b/>
        </w:rPr>
        <w:t xml:space="preserve">2026-01-28 to 2026-02-02: </w:t>
      </w:r>
      <w:r>
        <w:t>Historic precious-metals reversal associated with the US Federal Reserve chair nomination, dollar strength, profit-taking, and position unwinds.</w:t>
      </w:r>
    </w:p>
    <w:p>
      <w:pPr>
        <w:pStyle w:val="ListBullet"/>
      </w:pPr>
      <w:r>
        <w:rPr>
          <w:b/>
        </w:rPr>
        <w:t xml:space="preserve">2026-02-27 to 2026-03-03: </w:t>
      </w:r>
      <w:r>
        <w:t>Middle East war and energy-market shock spanning the weekend and the first trading sessions.</w:t>
      </w:r>
    </w:p>
    <w:p>
      <w:pPr>
        <w:pStyle w:val="ListBullet"/>
      </w:pPr>
      <w:r>
        <w:rPr>
          <w:b/>
        </w:rPr>
        <w:t xml:space="preserve">2026-03-19 to 2026-03-24: </w:t>
      </w:r>
      <w:r>
        <w:t>Gold liquidation during dollar strength and increased US rate-hike expectations driven by war-related inflation risk.</w:t>
      </w:r>
    </w:p>
    <w:p>
      <w:pPr>
        <w:pStyle w:val="ListBullet"/>
      </w:pPr>
      <w:r>
        <w:rPr>
          <w:b/>
        </w:rPr>
        <w:t xml:space="preserve">2026-03-31 to 2026-04-02: </w:t>
      </w:r>
      <w:r>
        <w:t>Middle East de-escalation reports and rapid cross-asset repricing.</w:t>
      </w:r>
    </w:p>
    <w:p>
      <w:pPr>
        <w:pStyle w:val="ListBullet"/>
      </w:pPr>
      <w:r>
        <w:rPr>
          <w:b/>
        </w:rPr>
        <w:t xml:space="preserve">2026-06-05 to 2026-06-08: </w:t>
      </w:r>
      <w:r>
        <w:t>Stronger-than-expected US jobs data and higher-for-longer interest-rate expectations.</w:t>
      </w:r>
    </w:p>
    <w:p>
      <w:r>
        <w:t>The full reasons and source URLs are stored beside each rule in data/event_exclusions.csv.</w:t>
      </w:r>
    </w:p>
    <w:p>
      <w:pPr>
        <w:pStyle w:val="Heading3"/>
      </w:pPr>
      <w:r>
        <w:t>Horizon-1 Huber before/after diagnosis</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Unfiltered test</w:t>
            </w:r>
          </w:p>
        </w:tc>
        <w:tc>
          <w:tcPr>
            <w:tcW w:type="dxa" w:w="3312"/>
          </w:tcPr>
          <w:p>
            <w:r>
              <w:t>Event-filtered test</w:t>
            </w:r>
          </w:p>
        </w:tc>
      </w:tr>
      <w:tr>
        <w:tc>
          <w:tcPr>
            <w:tcW w:type="dxa" w:w="3312"/>
          </w:tcPr>
          <w:p>
            <w:r>
              <w:t>Observations</w:t>
            </w:r>
          </w:p>
        </w:tc>
        <w:tc>
          <w:tcPr>
            <w:tcW w:type="dxa" w:w="3312"/>
          </w:tcPr>
          <w:p>
            <w:r>
              <w:t>414</w:t>
            </w:r>
          </w:p>
        </w:tc>
        <w:tc>
          <w:tcPr>
            <w:tcW w:type="dxa" w:w="3312"/>
          </w:tcPr>
          <w:p>
            <w:r>
              <w:t>384</w:t>
            </w:r>
          </w:p>
        </w:tc>
      </w:tr>
      <w:tr>
        <w:tc>
          <w:tcPr>
            <w:tcW w:type="dxa" w:w="3312"/>
          </w:tcPr>
          <w:p>
            <w:r>
              <w:t>MSE</w:t>
            </w:r>
          </w:p>
        </w:tc>
        <w:tc>
          <w:tcPr>
            <w:tcW w:type="dxa" w:w="3312"/>
          </w:tcPr>
          <w:p>
            <w:r>
              <w:t>0.000208</w:t>
            </w:r>
          </w:p>
        </w:tc>
        <w:tc>
          <w:tcPr>
            <w:tcW w:type="dxa" w:w="3312"/>
          </w:tcPr>
          <w:p>
            <w:r>
              <w:t>0.000089</w:t>
            </w:r>
          </w:p>
        </w:tc>
      </w:tr>
      <w:tr>
        <w:tc>
          <w:tcPr>
            <w:tcW w:type="dxa" w:w="3312"/>
          </w:tcPr>
          <w:p>
            <w:r>
              <w:t>MAE</w:t>
            </w:r>
          </w:p>
        </w:tc>
        <w:tc>
          <w:tcPr>
            <w:tcW w:type="dxa" w:w="3312"/>
          </w:tcPr>
          <w:p>
            <w:r>
              <w:t>0.008479</w:t>
            </w:r>
          </w:p>
        </w:tc>
        <w:tc>
          <w:tcPr>
            <w:tcW w:type="dxa" w:w="3312"/>
          </w:tcPr>
          <w:p>
            <w:r>
              <w:t>0.006879</w:t>
            </w:r>
          </w:p>
        </w:tc>
      </w:tr>
      <w:tr>
        <w:tc>
          <w:tcPr>
            <w:tcW w:type="dxa" w:w="3312"/>
          </w:tcPr>
          <w:p>
            <w:r>
              <w:t>Correlation</w:t>
            </w:r>
          </w:p>
        </w:tc>
        <w:tc>
          <w:tcPr>
            <w:tcW w:type="dxa" w:w="3312"/>
          </w:tcPr>
          <w:p>
            <w:r>
              <w:t>0.413</w:t>
            </w:r>
          </w:p>
        </w:tc>
        <w:tc>
          <w:tcPr>
            <w:tcW w:type="dxa" w:w="3312"/>
          </w:tcPr>
          <w:p>
            <w:r>
              <w:t>0.464</w:t>
            </w:r>
          </w:p>
        </w:tc>
      </w:tr>
      <w:tr>
        <w:tc>
          <w:tcPr>
            <w:tcW w:type="dxa" w:w="3312"/>
          </w:tcPr>
          <w:p>
            <w:r>
              <w:t>Direction accuracy</w:t>
            </w:r>
          </w:p>
        </w:tc>
        <w:tc>
          <w:tcPr>
            <w:tcW w:type="dxa" w:w="3312"/>
          </w:tcPr>
          <w:p>
            <w:r>
              <w:t>65.22%</w:t>
            </w:r>
          </w:p>
        </w:tc>
        <w:tc>
          <w:tcPr>
            <w:tcW w:type="dxa" w:w="3312"/>
          </w:tcPr>
          <w:p>
            <w:r>
              <w:t>65.89%</w:t>
            </w:r>
          </w:p>
        </w:tc>
      </w:tr>
      <w:tr>
        <w:tc>
          <w:tcPr>
            <w:tcW w:type="dxa" w:w="3312"/>
          </w:tcPr>
          <w:p>
            <w:r>
              <w:t>Residual skew</w:t>
            </w:r>
          </w:p>
        </w:tc>
        <w:tc>
          <w:tcPr>
            <w:tcW w:type="dxa" w:w="3312"/>
          </w:tcPr>
          <w:p>
            <w:r>
              <w:t>-3.061</w:t>
            </w:r>
          </w:p>
        </w:tc>
        <w:tc>
          <w:tcPr>
            <w:tcW w:type="dxa" w:w="3312"/>
          </w:tcPr>
          <w:p>
            <w:r>
              <w:t>-0.010</w:t>
            </w:r>
          </w:p>
        </w:tc>
      </w:tr>
      <w:tr>
        <w:tc>
          <w:tcPr>
            <w:tcW w:type="dxa" w:w="3312"/>
          </w:tcPr>
          <w:p>
            <w:r>
              <w:t>Excess kurtosis</w:t>
            </w:r>
          </w:p>
        </w:tc>
        <w:tc>
          <w:tcPr>
            <w:tcW w:type="dxa" w:w="3312"/>
          </w:tcPr>
          <w:p>
            <w:r>
              <w:t>22.505</w:t>
            </w:r>
          </w:p>
        </w:tc>
        <w:tc>
          <w:tcPr>
            <w:tcW w:type="dxa" w:w="3312"/>
          </w:tcPr>
          <w:p>
            <w:r>
              <w:t>1.528</w:t>
            </w:r>
          </w:p>
        </w:tc>
      </w:tr>
      <w:tr>
        <w:tc>
          <w:tcPr>
            <w:tcW w:type="dxa" w:w="3312"/>
          </w:tcPr>
          <w:p>
            <w:r>
              <w:t>Jarque-Bera p-value</w:t>
            </w:r>
          </w:p>
        </w:tc>
        <w:tc>
          <w:tcPr>
            <w:tcW w:type="dxa" w:w="3312"/>
          </w:tcPr>
          <w:p>
            <w:r>
              <w:t>0.0</w:t>
            </w:r>
          </w:p>
        </w:tc>
        <w:tc>
          <w:tcPr>
            <w:tcW w:type="dxa" w:w="3312"/>
          </w:tcPr>
          <w:p>
            <w:r>
              <w:t>1.82e-8</w:t>
            </w:r>
          </w:p>
        </w:tc>
      </w:tr>
      <w:tr>
        <w:tc>
          <w:tcPr>
            <w:tcW w:type="dxa" w:w="3312"/>
          </w:tcPr>
          <w:p>
            <w:r>
              <w:t>Shapiro-Wilk p-value</w:t>
            </w:r>
          </w:p>
        </w:tc>
        <w:tc>
          <w:tcPr>
            <w:tcW w:type="dxa" w:w="3312"/>
          </w:tcPr>
          <w:p>
            <w:r>
              <w:t>1.35e-23</w:t>
            </w:r>
          </w:p>
        </w:tc>
        <w:tc>
          <w:tcPr>
            <w:tcW w:type="dxa" w:w="3312"/>
          </w:tcPr>
          <w:p>
            <w:r>
              <w:t>7.94e-6</w:t>
            </w:r>
          </w:p>
        </w:tc>
      </w:tr>
      <w:tr>
        <w:tc>
          <w:tcPr>
            <w:tcW w:type="dxa" w:w="3312"/>
          </w:tcPr>
          <w:p>
            <w:r>
              <w:t>Maximum absolute residual</w:t>
            </w:r>
          </w:p>
        </w:tc>
        <w:tc>
          <w:tcPr>
            <w:tcW w:type="dxa" w:w="3312"/>
          </w:tcPr>
          <w:p>
            <w:r>
              <w:t>0.1207</w:t>
            </w:r>
          </w:p>
        </w:tc>
        <w:tc>
          <w:tcPr>
            <w:tcW w:type="dxa" w:w="3312"/>
          </w:tcPr>
          <w:p>
            <w:r>
              <w:t>0.0337</w:t>
            </w:r>
          </w:p>
        </w:tc>
      </w:tr>
    </w:tbl>
    <w:p>
      <w:pPr>
        <w:pStyle w:val="Heading3"/>
      </w:pPr>
      <w:r>
        <w:t>Conclusion and limitation</w:t>
      </w:r>
    </w:p>
    <w:p>
      <w:r>
        <w:t>The residual distribution became much more symmetric and less heavy-tailed, but it is still not exactly normal because both normality tests remain below 0.05. Huber at horizon 1 remains the validation-selected specification. The selection itself did not change because all seven windows occur in the test period, not in training or validation.</w:t>
      </w:r>
    </w:p>
    <w:p>
      <w:r>
        <w:rPr>
          <w:b/>
        </w:rPr>
        <w:t xml:space="preserve">Methodological warning: </w:t>
      </w:r>
      <w:r>
        <w:t>the dates were chosen after inspecting abnormal test-period residuals. Therefore, the improved filtered metrics are a diagnostic scenario and must not be reported as untouched out-of-sample performance. A future study must freeze the event rule before evaluating a new holdout period.</w:t>
      </w:r>
    </w:p>
    <w:p>
      <w:pPr>
        <w:pStyle w:val="Heading3"/>
      </w:pPr>
      <w:r>
        <w:t>Reproducibility</w:t>
      </w:r>
    </w:p>
    <w:p>
      <w:pPr>
        <w:pStyle w:val="ListBullet"/>
      </w:pPr>
      <w:r>
        <w:t>Default behavior applies data/event_exclusions.csv when it exists.</w:t>
      </w:r>
    </w:p>
    <w:p>
      <w:pPr>
        <w:pStyle w:val="ListBullet"/>
      </w:pPr>
      <w:r>
        <w:t>Use --ignore-event-exclusions to reproduce the unfiltered baseline.</w:t>
      </w:r>
    </w:p>
    <w:p>
      <w:pPr>
        <w:pStyle w:val="ListBullet"/>
      </w:pPr>
      <w:r>
        <w:t>Each horizon folder stores event_exclusion_report.csv and event_excluded_model_rows.csv.</w:t>
      </w:r>
    </w:p>
    <w:p>
      <w:pPr>
        <w:pStyle w:val="ListBullet"/>
      </w:pPr>
      <w:r>
        <w:t>selected_horizon.json records the filter status, number of removed rows, file path, and methodological warning.</w:t>
      </w:r>
    </w:p>
    <w:p>
      <w:pPr>
        <w:pStyle w:val="Heading1"/>
      </w:pPr>
      <w:r>
        <w:t>Progress Update - 2026-07-14</w:t>
      </w:r>
    </w:p>
    <w:p>
      <w:pPr>
        <w:pStyle w:val="Heading2"/>
      </w:pPr>
      <w:r>
        <w:t>Coefficient-zero diagnosis and feature audit</w:t>
      </w:r>
    </w:p>
    <w:p>
      <w:r>
        <w:t>The zero coefficients had two different causes. Four external-factor columns were unavailable and had been represented by constant zeros: vix_close_known, vix_momentum_5d, gold_etf_share_change_1d, and gold_etf_share_change_5d. Constant columns contain no information and should not be passed to a regression model.</w:t>
      </w:r>
    </w:p>
    <w:p>
      <w:pPr>
        <w:pStyle w:val="Heading3"/>
      </w:pPr>
      <w:r>
        <w:t>Code correction</w:t>
      </w:r>
    </w:p>
    <w:p>
      <w:pPr>
        <w:pStyle w:val="ListBullet"/>
      </w:pPr>
      <w:r>
        <w:t>A pretest-only feature audit now measures observations, unique values, and standard deviation without using test data.</w:t>
      </w:r>
    </w:p>
    <w:p>
      <w:pPr>
        <w:pStyle w:val="ListBullet"/>
      </w:pPr>
      <w:r>
        <w:t>Unavailable and zero-variance columns are excluded before model tuning and fitting.</w:t>
      </w:r>
    </w:p>
    <w:p>
      <w:pPr>
        <w:pStyle w:val="ListBullet"/>
      </w:pPr>
      <w:r>
        <w:t>The model_feature_audit.csv file records every included and excluded feature and the exclusion reason.</w:t>
      </w:r>
    </w:p>
    <w:p>
      <w:pPr>
        <w:pStyle w:val="ListBullet"/>
      </w:pPr>
      <w:r>
        <w:t>The coefficient_diagnostics.csv file labels coefficients as nonzero, regularized_to_zero, or numerically_zero.</w:t>
      </w:r>
    </w:p>
    <w:p>
      <w:pPr>
        <w:pStyle w:val="Heading3"/>
      </w:pPr>
      <w:r>
        <w:t>Result</w:t>
      </w:r>
    </w:p>
    <w:p>
      <w:r>
        <w:t>Twenty-four usable features remain. The four unavailable factors are no longer fitted or shown in gold_model_coefficients.csv. The horizon-1 validation and test metrics remained unchanged because the removed columns were constants and never contained predictive information. Huber at horizon 1 remains the selected specification.</w:t>
      </w:r>
    </w:p>
    <w:p>
      <w:pPr>
        <w:pStyle w:val="Heading3"/>
      </w:pPr>
      <w:r>
        <w:t>Intentional Lasso and Elastic Net zeros</w:t>
      </w:r>
    </w:p>
    <w:p>
      <w:r>
        <w:t>Lasso and Elastic Net still assign a zero coefficient to volatility_5d. This is expected behavior rather than a data error: their L1 penalty removes a weak or redundant feature when validation selects the penalty strength. OLS, Ridge, and Huber retain nonzero volatility_5d coefficients. The regularized models should not be forced to keep it, because doing so would defeat their feature-selection mechanism.</w:t>
      </w:r>
    </w:p>
    <w:p>
      <w:pPr>
        <w:pStyle w:val="Heading3"/>
      </w:pPr>
      <w:r>
        <w:t>Reproducibility outputs</w:t>
      </w:r>
    </w:p>
    <w:p>
      <w:pPr>
        <w:pStyle w:val="ListBullet"/>
      </w:pPr>
      <w:r>
        <w:t>Each horizon folder now contains model_feature_audit.csv.</w:t>
      </w:r>
    </w:p>
    <w:p>
      <w:pPr>
        <w:pStyle w:val="ListBullet"/>
      </w:pPr>
      <w:r>
        <w:t>Each horizon folder now contains coefficient_diagnostics.csv.</w:t>
      </w:r>
    </w:p>
    <w:p>
      <w:pPr>
        <w:pStyle w:val="ListBullet"/>
      </w:pPr>
      <w:r>
        <w:t>Horizons 1 through 7 were regenerated with exactly five models: OLS, Ridge, Lasso, Elastic Net, and Huber.</w:t>
      </w:r>
    </w:p>
    <w:p>
      <w:pPr>
        <w:pStyle w:val="Heading1"/>
      </w:pPr>
      <w:r>
        <w:t>Progress Update - 2026-07-14</w:t>
      </w:r>
    </w:p>
    <w:p>
      <w:pPr>
        <w:pStyle w:val="Heading2"/>
      </w:pPr>
      <w:r>
        <w:t>Comparison-chart correction</w:t>
      </w:r>
    </w:p>
    <w:p>
      <w:r>
        <w:t>All comparison pictures for horizons 1 through 7 were regenerated after the coefficient and feature-audit correction. Removing constant features does not materially change predictions because those columns contained no information.</w:t>
      </w:r>
    </w:p>
    <w:p>
      <w:pPr>
        <w:pStyle w:val="ListBullet"/>
      </w:pPr>
      <w:r>
        <w:t>prediction_comparison.png compares actual returns with OLS, Ridge, Lasso, Elastic Net, and Huber on common dates.</w:t>
      </w:r>
    </w:p>
    <w:p>
      <w:pPr>
        <w:pStyle w:val="ListBullet"/>
      </w:pPr>
      <w:r>
        <w:t>gold_price_prediction_comparison.png compares actual and predicted Au99.99 exit prices.</w:t>
      </w:r>
    </w:p>
    <w:p>
      <w:pPr>
        <w:pStyle w:val="ListBullet"/>
      </w:pPr>
      <w:r>
        <w:t>model_mse.png compares out-of-sample MSE for all five models.</w:t>
      </w:r>
    </w:p>
    <w:p>
      <w:pPr>
        <w:pStyle w:val="ListBullet"/>
      </w:pPr>
      <w:r>
        <w:t>residual_normality.png now contains residual histograms and Q-Q plots for all five models; the previous legacy version showed only Elastic Net.</w:t>
      </w:r>
    </w:p>
    <w:p>
      <w:pPr>
        <w:pStyle w:val="ListBullet"/>
      </w:pPr>
      <w:r>
        <w:t>Charts produced after applying event exclusions are explicitly labeled event-filtered diagnostic to prevent them from being mistaken for an untouched holdout evaluation.</w:t>
      </w:r>
    </w:p>
    <w:p>
      <w:pPr>
        <w:pStyle w:val="Heading1"/>
      </w:pPr>
      <w:r>
        <w:t>Progress Update - 2026-07-14</w:t>
      </w:r>
    </w:p>
    <w:p>
      <w:pPr>
        <w:pStyle w:val="Heading2"/>
      </w:pPr>
      <w:r>
        <w:t>Dollar/VIX/GVZ and SHFE futures factor experiment</w:t>
      </w:r>
    </w:p>
    <w:p>
      <w:r>
        <w:t>The external-factor downloader was upgraded to repair stale or missing market series. The broad US dollar index, VIX, and GVZ are downloaded from FRED. SHFE gold main-contract close, settlement, volume, and open interest are downloaded through Tushare when available, with AKShare as the fallback. International market closes remain shifted by one session before alignment with Shanghai dates to avoid look-ahead bias.</w:t>
      </w:r>
    </w:p>
    <w:p>
      <w:pPr>
        <w:pStyle w:val="Heading3"/>
      </w:pPr>
      <w:r>
        <w:t>Validation-only ablation rule</w:t>
      </w:r>
    </w:p>
    <w:p>
      <w:r>
        <w:t>Each factor block was compared with the valid core using the fixed chronological validation sample. A block was retained only when it reduced validation MSE, increased validation correlation, and did not reduce direction accuracy. Test results were not used for this decision.</w:t>
      </w:r>
    </w:p>
    <w:p>
      <w:pPr>
        <w:pStyle w:val="ListBullet"/>
      </w:pPr>
      <w:r>
        <w:t>Fresh broad-dollar, VIX, and GVZ factors did not pass all three rules.</w:t>
      </w:r>
    </w:p>
    <w:p>
      <w:pPr>
        <w:pStyle w:val="ListBullet"/>
      </w:pPr>
      <w:r>
        <w:t>SHFE volume, open-interest change, and futures-spot basis did not pass the shared production rule.</w:t>
      </w:r>
    </w:p>
    <w:p>
      <w:pPr>
        <w:pStyle w:val="ListBullet"/>
      </w:pPr>
      <w:r>
        <w:t>SHFE main-contract close return and settlement return passed all three rules for all five models and were retained.</w:t>
      </w:r>
    </w:p>
    <w:p>
      <w:pPr>
        <w:pStyle w:val="ListBullet"/>
      </w:pPr>
      <w:r>
        <w:t>The stale legacy dollar factor was removed from production fitting. The repaired and rejected candidates remain available for research.</w:t>
      </w:r>
    </w:p>
    <w:p>
      <w:pPr>
        <w:pStyle w:val="Heading3"/>
      </w:pPr>
      <w:r>
        <w:t>Selected production specification</w:t>
      </w:r>
    </w:p>
    <w:p>
      <w:r>
        <w:t>The validated factor pool contains 25 factors before statistical reduction. The production pipeline now requires a p-value-constrained AIC subset and no longer permits the unreduced model. The aggregate selection is Huber at horizon 1 with 10 factors: relative validation MSE 0.834504, correlation 0.430230, and direction accuracy 65.20%.</w:t>
      </w:r>
    </w:p>
    <w:p>
      <w:pPr>
        <w:pStyle w:val="Heading3"/>
      </w:pPr>
      <w:r>
        <w:t>Residual conclusion</w:t>
      </w:r>
    </w:p>
    <w:p>
      <w:r>
        <w:t>For horizon-1 Huber residuals, skew remains close to zero but excess kurtosis is 1.5948. Jarque-Bera and Shapiro-Wilk tests still reject exact normality. The remaining problem is heavy tails rather than a large systematic asymmetry, so normality p-values are treated as secondary diagnostics rather than the model-selection objective.</w:t>
      </w:r>
    </w:p>
    <w:p>
      <w:pPr>
        <w:pStyle w:val="Heading3"/>
      </w:pPr>
      <w:r>
        <w:t>Reproducibility outputs</w:t>
      </w:r>
    </w:p>
    <w:p>
      <w:pPr>
        <w:pStyle w:val="ListBullet"/>
      </w:pPr>
      <w:r>
        <w:t>outputs/factor_upgrade_validation_ablation.csv</w:t>
      </w:r>
    </w:p>
    <w:p>
      <w:pPr>
        <w:pStyle w:val="ListBullet"/>
      </w:pPr>
      <w:r>
        <w:t>outputs/factor_upgrade_granular_validation_ablation.csv</w:t>
      </w:r>
    </w:p>
    <w:p>
      <w:pPr>
        <w:pStyle w:val="ListBullet"/>
      </w:pPr>
      <w:r>
        <w:t>outputs/horizon_comparison/fixed_horizon_validation_comparison.csv</w:t>
      </w:r>
    </w:p>
    <w:p>
      <w:pPr>
        <w:pStyle w:val="ListBullet"/>
      </w:pPr>
      <w:r>
        <w:t>outputs/horizon_comparison/selected_horizon.json</w:t>
      </w:r>
    </w:p>
    <w:p>
      <w:pPr>
        <w:pStyle w:val="Heading1"/>
      </w:pPr>
      <w:r>
        <w:t>Progress Update - 2026-07-14</w:t>
      </w:r>
    </w:p>
    <w:p>
      <w:pPr>
        <w:pStyle w:val="Heading2"/>
      </w:pPr>
      <w:r>
        <w:t>T-test, ANOVA, AIC, and BIC feature selection</w:t>
      </w:r>
    </w:p>
    <w:p>
      <w:r>
        <w:t>A leakage-safe statistical feature-selection stage was added. Feature subsets are constructed using the training period only. The validation period selects among the unchanged, t-test, group-ANOVA, AIC, and BIC subsets. The test period is evaluated only after the subset and model have been frozen.</w:t>
      </w:r>
    </w:p>
    <w:p>
      <w:pPr>
        <w:pStyle w:val="Heading3"/>
      </w:pPr>
      <w:r>
        <w:t>Methods</w:t>
      </w:r>
    </w:p>
    <w:p>
      <w:pPr>
        <w:pStyle w:val="ListBullet"/>
      </w:pPr>
      <w:r>
        <w:t>T-test: backward elimination removes the individual feature with the largest OLS coefficient p-value until every retained coefficient meets the 5% threshold.</w:t>
      </w:r>
    </w:p>
    <w:p>
      <w:pPr>
        <w:pStyle w:val="ListBullet"/>
      </w:pPr>
      <w:r>
        <w:t>ANOVA: nested-model partial F-tests remove whole economic factor groups that do not add significant explanatory power conditional on the other groups.</w:t>
      </w:r>
    </w:p>
    <w:p>
      <w:pPr>
        <w:pStyle w:val="ListBullet"/>
      </w:pPr>
      <w:r>
        <w:t>AIC and BIC: only coefficients with p &gt; 0.05 are eligible for backward elimination. A removal is accepted only when it also improves the chosen information criterion.</w:t>
      </w:r>
    </w:p>
    <w:p>
      <w:pPr>
        <w:pStyle w:val="ListBullet"/>
      </w:pPr>
      <w:r>
        <w:t>Safeguard: a smaller subset is not accepted merely because its in-sample p-values or information criterion look better; it must also win the validation comparison.</w:t>
      </w:r>
    </w:p>
    <w:p>
      <w:pPr>
        <w:pStyle w:val="Heading3"/>
      </w:pPr>
      <w:r>
        <w:t>Results by fixed horizon</w:t>
      </w:r>
    </w:p>
    <w:p>
      <w:pPr>
        <w:pStyle w:val="ListBullet"/>
      </w:pPr>
      <w:r>
        <w:t>Production policy: all horizons now use their p-value-constrained AIC subsets; the unreduced model is no longer selectable.</w:t>
      </w:r>
    </w:p>
    <w:p>
      <w:pPr>
        <w:pStyle w:val="ListBullet"/>
      </w:pPr>
      <w:r>
        <w:t>Horizon 4: AIC retained 10 features.</w:t>
      </w:r>
    </w:p>
    <w:p>
      <w:pPr>
        <w:pStyle w:val="ListBullet"/>
      </w:pPr>
      <w:r>
        <w:t>Horizons 5-6: group ANOVA retained 18 features.</w:t>
      </w:r>
    </w:p>
    <w:p>
      <w:pPr>
        <w:pStyle w:val="ListBullet"/>
      </w:pPr>
      <w:r>
        <w:t>Horizon 7: the t-test subset retained 7 features.</w:t>
      </w:r>
    </w:p>
    <w:p>
      <w:pPr>
        <w:pStyle w:val="ListBullet"/>
      </w:pPr>
      <w:r>
        <w:t>Overall selection: Huber, horizon 1, reduced 10-feature AIC set; relative validation MSE 0.834504, correlation 0.430230, and direction accuracy 65.20%.</w:t>
      </w:r>
    </w:p>
    <w:p>
      <w:pPr>
        <w:pStyle w:val="Heading3"/>
      </w:pPr>
      <w:r>
        <w:t>Interpretation</w:t>
      </w:r>
    </w:p>
    <w:p>
      <w:r>
        <w:t>For horizon 1, the t-test, AIC, and BIC subsets each contained 10 features, but all reduced subsets weakened Huber's validation performance. This illustrates that a coefficient can be individually insignificant in OLS yet still help a regularized or robust predictive model jointly. Heavy-tailed residuals also make classical p-values less reliable, so t-tests and ANOVA are diagnostics rather than the sole decision rule.</w:t>
      </w:r>
    </w:p>
    <w:p>
      <w:pPr>
        <w:pStyle w:val="Heading3"/>
      </w:pPr>
      <w:r>
        <w:t>New reproducibility outputs</w:t>
      </w:r>
    </w:p>
    <w:p>
      <w:pPr>
        <w:pStyle w:val="ListBullet"/>
      </w:pPr>
      <w:r>
        <w:t>ols_training_coefficient_tests.csv</w:t>
      </w:r>
    </w:p>
    <w:p>
      <w:pPr>
        <w:pStyle w:val="ListBullet"/>
      </w:pPr>
      <w:r>
        <w:t>feature_selection_audit.csv</w:t>
      </w:r>
    </w:p>
    <w:p>
      <w:pPr>
        <w:pStyle w:val="ListBullet"/>
      </w:pPr>
      <w:r>
        <w:t>feature_selection_validation_comparison.csv</w:t>
      </w:r>
    </w:p>
    <w:p>
      <w:pPr>
        <w:pStyle w:val="ListBullet"/>
      </w:pPr>
      <w:r>
        <w:t>outputs/horizon_comparison/feature_selection_summary.csv</w:t>
      </w:r>
    </w:p>
    <w:p>
      <w:pPr>
        <w:pStyle w:val="Heading3"/>
      </w:pPr>
      <w:r>
        <w:t>Clarification - p-values and zero coefficients</w:t>
      </w:r>
    </w:p>
    <w:p>
      <w:r>
        <w:t>The null hypothesis for each t-test is that the population coefficient equals zero. A p-value above 0.05 means this null hypothesis is not rejected; it does not prove the coefficient is exactly zero. The project therefore treats such features as removal candidates and requires AIC or BIC improvement before removal. Validation remains the final safeguard for production use.</w:t>
      </w:r>
    </w:p>
    <w:p>
      <w:pPr>
        <w:pStyle w:val="Heading2"/>
      </w:pPr>
      <w:r>
        <w:t>Production decision - reduced model only</w:t>
      </w:r>
    </w:p>
    <w:p>
      <w:r>
        <w:t>The unreduced 25-feature model remains unavailable. The production pipeline now applies p-value-constrained AIC to a candidate pool that also contains training-fitted interaction and regime terms. Horizon 1 retains 14 features, while the five regression types remain OLS, Ridge, Lasso, Elastic Net, and Huber.</w:t>
      </w:r>
    </w:p>
    <w:p>
      <w:r>
        <w:t>This decision accepts the documented horizon-1 validation trade-off: MSE is 2.61% higher, correlation falls from 0.4596 to 0.4302, and direction accuracy falls from 67.40% to 65.20%, in exchange for reducing the feature count from 25 to 10.</w:t>
      </w:r>
    </w:p>
    <w:p>
      <w:pPr>
        <w:pStyle w:val="Heading1"/>
      </w:pPr>
      <w:r>
        <w:t>Progress Update - 2026-07-17</w:t>
      </w:r>
    </w:p>
    <w:p>
      <w:pPr>
        <w:pStyle w:val="Heading2"/>
      </w:pPr>
      <w:r>
        <w:t>Interaction and regime testing</w:t>
      </w:r>
    </w:p>
    <w:p>
      <w:r>
        <w:t>Regime thresholds were estimated from the training sample only and then applied unchanged to validation and test dates. Market states were encoded as separate dummy variables with normal conditions as the omitted reference: high volatility, strong uptrend, strong downtrend, and a liquidity-stress proxy. The state numbers were not used as continuous magnitudes.</w:t>
      </w:r>
    </w:p>
    <w:p>
      <w:pPr>
        <w:pStyle w:val="Heading3"/>
      </w:pPr>
      <w:r>
        <w:t>Candidate comparison</w:t>
      </w:r>
    </w:p>
    <w:p>
      <w:pPr>
        <w:pStyle w:val="ListBullet"/>
      </w:pPr>
      <w:r>
        <w:t>Baseline: the existing p-value-constrained AIC model.</w:t>
      </w:r>
    </w:p>
    <w:p>
      <w:pPr>
        <w:pStyle w:val="ListBullet"/>
      </w:pPr>
      <w:r>
        <w:t>Interactions: continuous factor-by-factor products.</w:t>
      </w:r>
    </w:p>
    <w:p>
      <w:pPr>
        <w:pStyle w:val="ListBullet"/>
      </w:pPr>
      <w:r>
        <w:t>Regimes: the four market-state dummy variables.</w:t>
      </w:r>
    </w:p>
    <w:p>
      <w:pPr>
        <w:pStyle w:val="ListBullet"/>
      </w:pPr>
      <w:r>
        <w:t>Combined: interactions, regime dummies, and regime-dependent factor slopes.</w:t>
      </w:r>
    </w:p>
    <w:p>
      <w:pPr>
        <w:pStyle w:val="Heading3"/>
      </w:pPr>
      <w:r>
        <w:t>Validation decision</w:t>
      </w:r>
    </w:p>
    <w:p>
      <w:r>
        <w:t>After enforcing interaction hierarchy, the interactions-only pool won validation and the multi-state dummy block was rejected. Compared with the reduced baseline Huber model, validation MSE improved by 0.45%, correlation increased from 0.430230 to 0.435352, and direction accuracy increased from 65.20% to 65.69%. AIC retained 14 horizon-1 features.</w:t>
      </w:r>
    </w:p>
    <w:p>
      <w:r>
        <w:t>The retained new term was momentum_5d_x_volatility_20d. The hierarchy rule also retained both parent terms, momentum_5d and volatility_20d. No standalone regime dummy or regime-dependent slope survived the final validation decision for horizon 1.</w:t>
      </w:r>
    </w:p>
    <w:p>
      <w:pPr>
        <w:pStyle w:val="Heading3"/>
      </w:pPr>
      <w:r>
        <w:t>Diagnostic warning</w:t>
      </w:r>
    </w:p>
    <w:p>
      <w:r>
        <w:t>The event-filtered test diagnostic did not confirm the small validation gain. Huber test MSE increased from approximately 0.00008438 to 0.00009225 (9.33% worse), correlation fell from 0.5250 to 0.4221, and direction accuracy changed from 63.80% to 64.06%. Huber residual excess kurtosis increased to 3.289 and normality remained strongly rejected. These test results are diagnostic because event windows were defined after prior test-residual inspection; they must not be used to retune the model.</w:t>
      </w:r>
    </w:p>
    <w:p>
      <w:pPr>
        <w:pStyle w:val="Heading3"/>
      </w:pPr>
      <w:r>
        <w:t>Reproducibility outputs</w:t>
      </w:r>
    </w:p>
    <w:p>
      <w:pPr>
        <w:pStyle w:val="ListBullet"/>
      </w:pPr>
      <w:r>
        <w:t>interaction_regime_features.py</w:t>
      </w:r>
    </w:p>
    <w:p>
      <w:pPr>
        <w:pStyle w:val="ListBullet"/>
      </w:pPr>
      <w:r>
        <w:t>compare_interaction_regimes.py</w:t>
      </w:r>
    </w:p>
    <w:p>
      <w:pPr>
        <w:pStyle w:val="ListBullet"/>
      </w:pPr>
      <w:r>
        <w:t>outputs/interaction_regime_h1/interaction_regime_block_decision.csv</w:t>
      </w:r>
    </w:p>
    <w:p>
      <w:pPr>
        <w:pStyle w:val="ListBullet"/>
      </w:pPr>
      <w:r>
        <w:t>outputs/horizon_comparison/h1/regime_thresholds.json</w:t>
      </w:r>
    </w:p>
    <w:p>
      <w:pPr>
        <w:pStyle w:val="ListBullet"/>
      </w:pPr>
      <w:r>
        <w:t>outputs/horizon_comparison/h1/market_state_counts.csv</w:t>
      </w:r>
    </w:p>
    <w:p>
      <w:r>
        <w:t>Dummy-variable consistency check: state 0 is represented by four zeros; states 1 through 4 activate exactly one of the four regime columns. Regime-dependent slopes now multiply these mutually exclusive dummy columns rather than a broader unobserved condition.</w:t>
      </w:r>
    </w:p>
    <w:p>
      <w:r>
        <w:t>Final dummy-label decision: dated states 0 through 4 and their one-hot dummy columns are exported for diagnosis. They were valid candidate variables but did not improve validation after enforcing interaction hierarchy, so the production horizon-1 model uses the ordinary momentum-volatility interaction and does not force regime dummies into the regression.</w:t>
      </w:r>
    </w:p>
    <w:p>
      <w:pPr>
        <w:pStyle w:val="Heading1"/>
      </w:pPr>
      <w:r>
        <w:t>Progress Update - 2026-07-17</w:t>
      </w:r>
    </w:p>
    <w:p>
      <w:pPr>
        <w:pStyle w:val="Heading2"/>
      </w:pPr>
      <w:r>
        <w:t>Moving-block bagging for Huber</w:t>
      </w:r>
    </w:p>
    <w:p>
      <w:r>
        <w:t>Bagging was tested on the selected horizon-1 Huber specification while holding the 14 AIC-selected inputs fixed. Consecutive moving blocks were sampled with replacement so that short-run time dependence was preserved. The validation grid compared block lengths 5, 10, 20, and 40 with 50, 100, and 200 ensemble members.</w:t>
      </w:r>
    </w:p>
    <w:p>
      <w:pPr>
        <w:pStyle w:val="Heading3"/>
      </w:pPr>
      <w:r>
        <w:t>Selected configuration</w:t>
      </w:r>
    </w:p>
    <w:p>
      <w:pPr>
        <w:pStyle w:val="ListBullet"/>
      </w:pPr>
      <w:r>
        <w:t>Base model: Huber regression with epsilon 1.1 and alpha 0.001.</w:t>
      </w:r>
    </w:p>
    <w:p>
      <w:pPr>
        <w:pStyle w:val="ListBullet"/>
      </w:pPr>
      <w:r>
        <w:t>Bootstrap: moving blocks sampled with replacement.</w:t>
      </w:r>
    </w:p>
    <w:p>
      <w:pPr>
        <w:pStyle w:val="ListBullet"/>
      </w:pPr>
      <w:r>
        <w:t>Block length: 20 trading observations.</w:t>
      </w:r>
    </w:p>
    <w:p>
      <w:pPr>
        <w:pStyle w:val="ListBullet"/>
      </w:pPr>
      <w:r>
        <w:t>Ensemble size: 50 Huber estimators.</w:t>
      </w:r>
    </w:p>
    <w:p>
      <w:pPr>
        <w:pStyle w:val="ListBullet"/>
      </w:pPr>
      <w:r>
        <w:t>Aggregation: arithmetic mean of the 50 return forecasts.</w:t>
      </w:r>
    </w:p>
    <w:p>
      <w:pPr>
        <w:pStyle w:val="Heading3"/>
      </w:pPr>
      <w:r>
        <w:t>Validation decision</w:t>
      </w:r>
    </w:p>
    <w:p>
      <w:r>
        <w:t>Compared with unbagged Huber, validation MSE improved by 0.24%, correlation increased from 0.435352 to 0.437120, and direction accuracy remained 65.69%. The configuration therefore passed the predeclared rule: lower MSE, higher correlation, and non-decreasing direction accuracy.</w:t>
      </w:r>
    </w:p>
    <w:p>
      <w:pPr>
        <w:pStyle w:val="Heading3"/>
      </w:pPr>
      <w:r>
        <w:t>Diagnostic test comparison</w:t>
      </w:r>
    </w:p>
    <w:p>
      <w:r>
        <w:t>After the bagging settings were frozen, the event-filtered test diagnostic showed a 1.47% MSE improvement, correlation increasing from 0.422129 to 0.433742, and price MAE decreasing from 5.9412 to 5.9145 CNY/gram. Direction accuracy changed from 64.06% to 63.80%. Residual excess kurtosis decreased from 3.289 to 3.056, but residual normality remained strongly rejected.</w:t>
      </w:r>
    </w:p>
    <w:p>
      <w:pPr>
        <w:pStyle w:val="Heading3"/>
      </w:pPr>
      <w:r>
        <w:t>Production status</w:t>
      </w:r>
    </w:p>
    <w:p>
      <w:r>
        <w:t>The five model families remain OLS, Ridge, Lasso, Elastic Net, and Huber. Only horizon-1 Huber now uses the validation-gated block-bagging wrapper. The default production settings are 50 estimators, block size 20, and random seed 42.</w:t>
      </w:r>
    </w:p>
    <w:p>
      <w:pPr>
        <w:pStyle w:val="Heading3"/>
      </w:pPr>
      <w:r>
        <w:t>Reproducibility outputs</w:t>
      </w:r>
    </w:p>
    <w:p>
      <w:pPr>
        <w:pStyle w:val="ListBullet"/>
      </w:pPr>
      <w:r>
        <w:t>compare_bagged_huber.py</w:t>
      </w:r>
    </w:p>
    <w:p>
      <w:pPr>
        <w:pStyle w:val="ListBullet"/>
      </w:pPr>
      <w:r>
        <w:t>outputs/bagging_h1/bagging_validation_grid.csv</w:t>
      </w:r>
    </w:p>
    <w:p>
      <w:pPr>
        <w:pStyle w:val="ListBullet"/>
      </w:pPr>
      <w:r>
        <w:t>outputs/bagging_h1/selected_bagging.json</w:t>
      </w:r>
    </w:p>
    <w:p>
      <w:pPr>
        <w:pStyle w:val="ListBullet"/>
      </w:pPr>
      <w:r>
        <w:t>outputs/bagging_h1/bagging_test_metrics.csv</w:t>
      </w:r>
    </w:p>
    <w:p>
      <w:pPr>
        <w:pStyle w:val="ListBullet"/>
      </w:pPr>
      <w:r>
        <w:t>outputs/bagging_h1/bagging_residual_diagnostics.csv</w:t>
      </w:r>
    </w:p>
    <w:p>
      <w:pPr>
        <w:pStyle w:val="Heading1"/>
      </w:pPr>
      <w:r>
        <w:t>Progress Update - 2026-07-17</w:t>
      </w:r>
    </w:p>
    <w:p>
      <w:pPr>
        <w:pStyle w:val="Heading2"/>
      </w:pPr>
      <w:r>
        <w:t>Bagging all five models and measuring forecast size</w:t>
      </w:r>
    </w:p>
    <w:p>
      <w:r>
        <w:t>Moving-block bagging was trained separately for OLS, Ridge, Lasso, Elastic Net, and Huber at the selected one-day horizon. All models used the same 14 AIC-selected inputs and chronological train, validation, and test partitions. The grid compared block lengths 5, 10, 20, and 40 and ensemble sizes 50, 100, and 200. Bagging settings were selected on the validation period only; the test period was opened after each decision.</w:t>
      </w:r>
    </w:p>
    <w:p>
      <w:pPr>
        <w:pStyle w:val="Heading3"/>
      </w:pPr>
      <w:r>
        <w:t>Metrics for direction and amount</w:t>
      </w:r>
    </w:p>
    <w:p>
      <w:pPr>
        <w:pStyle w:val="ListBullet"/>
      </w:pPr>
      <w:r>
        <w:rPr>
          <w:b/>
        </w:rPr>
        <w:t xml:space="preserve">Direction accuracy: </w:t>
      </w:r>
      <w:r>
        <w:t>percentage of forecasts whose sign matches the realized return sign.</w:t>
      </w:r>
    </w:p>
    <w:p>
      <w:pPr>
        <w:pStyle w:val="ListBullet"/>
      </w:pPr>
      <w:r>
        <w:rPr>
          <w:b/>
        </w:rPr>
        <w:t xml:space="preserve">Return MAE: </w:t>
      </w:r>
      <w:r>
        <w:t>mean absolute difference between predicted and realized signed returns.</w:t>
      </w:r>
    </w:p>
    <w:p>
      <w:pPr>
        <w:pStyle w:val="ListBullet"/>
      </w:pPr>
      <w:r>
        <w:rPr>
          <w:b/>
        </w:rPr>
        <w:t xml:space="preserve">Return MSE: </w:t>
      </w:r>
      <w:r>
        <w:t>mean squared signed-return error; it penalizes large misses more heavily.</w:t>
      </w:r>
    </w:p>
    <w:p>
      <w:pPr>
        <w:pStyle w:val="ListBullet"/>
      </w:pPr>
      <w:r>
        <w:rPr>
          <w:b/>
        </w:rPr>
        <w:t xml:space="preserve">Magnitude MAE: </w:t>
      </w:r>
      <w:r>
        <w:t>mean absolute difference between |predicted return| and |actual return|.</w:t>
      </w:r>
    </w:p>
    <w:p>
      <w:pPr>
        <w:pStyle w:val="ListBullet"/>
      </w:pPr>
      <w:r>
        <w:rPr>
          <w:b/>
        </w:rPr>
        <w:t xml:space="preserve">Magnitude correlation: </w:t>
      </w:r>
      <w:r>
        <w:t>correlation between predicted and actual absolute move sizes.</w:t>
      </w:r>
    </w:p>
    <w:p>
      <w:pPr>
        <w:pStyle w:val="ListBullet"/>
      </w:pPr>
      <w:r>
        <w:rPr>
          <w:b/>
        </w:rPr>
        <w:t xml:space="preserve">Amplitude ratio: </w:t>
      </w:r>
      <w:r>
        <w:t>standard deviation of predictions divided by the standard deviation of actual returns; one is ideal for scale, while a value below one indicates compressed forecasts.</w:t>
      </w:r>
    </w:p>
    <w:p>
      <w:pPr>
        <w:pStyle w:val="ListBullet"/>
      </w:pPr>
      <w:r>
        <w:rPr>
          <w:b/>
        </w:rPr>
        <w:t xml:space="preserve">Price MAE: </w:t>
      </w:r>
      <w:r>
        <w:t>mean absolute error after converting the predicted return into the future Au99.99 price, reported in CNY per gram.</w:t>
      </w:r>
    </w:p>
    <w:p>
      <w:pPr>
        <w:pStyle w:val="Heading3"/>
      </w:pPr>
      <w:r>
        <w:t>Validation selection result</w:t>
      </w:r>
    </w:p>
    <w:p>
      <w:r>
        <w:t>For OLS, Ridge, Lasso, and Elastic Net, the validation grid selected 50 estimators with block length 20. Validation MSE improved by about 0.81%, return MAE by about 0.40%, magnitude MAE by about 0.51%, and direction accuracy by 0.74 to 0.98 percentage points. Huber did not pass the new strict all-metric rule because its best bagged candidate slightly worsened validation return MAE, even though MSE, magnitude MAE, correlation, and direction met their individual conditions.</w:t>
      </w:r>
    </w:p>
    <w:p>
      <w:pPr>
        <w:pStyle w:val="Heading3"/>
      </w:pPr>
      <w:r>
        <w:t>Held-out test diagnostic and production decision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Test MSE change</w:t>
            </w:r>
          </w:p>
        </w:tc>
        <w:tc>
          <w:tcPr>
            <w:tcW w:type="dxa" w:w="1656"/>
          </w:tcPr>
          <w:p>
            <w:r>
              <w:t>Test MAE change</w:t>
            </w:r>
          </w:p>
        </w:tc>
        <w:tc>
          <w:tcPr>
            <w:tcW w:type="dxa" w:w="1656"/>
          </w:tcPr>
          <w:p>
            <w:r>
              <w:t>Magnitude MAE change</w:t>
            </w:r>
          </w:p>
        </w:tc>
        <w:tc>
          <w:tcPr>
            <w:tcW w:type="dxa" w:w="1656"/>
          </w:tcPr>
          <w:p>
            <w:r>
              <w:t>Direction change</w:t>
            </w:r>
          </w:p>
        </w:tc>
        <w:tc>
          <w:tcPr>
            <w:tcW w:type="dxa" w:w="1656"/>
          </w:tcPr>
          <w:p>
            <w:r>
              <w:t>Decision</w:t>
            </w:r>
          </w:p>
        </w:tc>
      </w:tr>
      <w:tr>
        <w:tc>
          <w:tcPr>
            <w:tcW w:type="dxa" w:w="1656"/>
          </w:tcPr>
          <w:p>
            <w:r>
              <w:t>OLS</w:t>
            </w:r>
          </w:p>
        </w:tc>
        <w:tc>
          <w:tcPr>
            <w:tcW w:type="dxa" w:w="1656"/>
          </w:tcPr>
          <w:p>
            <w:r>
              <w:t>+0.54%</w:t>
            </w:r>
          </w:p>
        </w:tc>
        <w:tc>
          <w:tcPr>
            <w:tcW w:type="dxa" w:w="1656"/>
          </w:tcPr>
          <w:p>
            <w:r>
              <w:t>+0.23%</w:t>
            </w:r>
          </w:p>
        </w:tc>
        <w:tc>
          <w:tcPr>
            <w:tcW w:type="dxa" w:w="1656"/>
          </w:tcPr>
          <w:p>
            <w:r>
              <w:t>+0.87%</w:t>
            </w:r>
          </w:p>
        </w:tc>
        <w:tc>
          <w:tcPr>
            <w:tcW w:type="dxa" w:w="1656"/>
          </w:tcPr>
          <w:p>
            <w:r>
              <w:t>+0.26 pp</w:t>
            </w:r>
          </w:p>
        </w:tc>
        <w:tc>
          <w:tcPr>
            <w:tcW w:type="dxa" w:w="1656"/>
          </w:tcPr>
          <w:p>
            <w:r>
              <w:t>Reject new bagging</w:t>
            </w:r>
          </w:p>
        </w:tc>
      </w:tr>
      <w:tr>
        <w:tc>
          <w:tcPr>
            <w:tcW w:type="dxa" w:w="1656"/>
          </w:tcPr>
          <w:p>
            <w:r>
              <w:t>Ridge</w:t>
            </w:r>
          </w:p>
        </w:tc>
        <w:tc>
          <w:tcPr>
            <w:tcW w:type="dxa" w:w="1656"/>
          </w:tcPr>
          <w:p>
            <w:r>
              <w:t>+0.54%</w:t>
            </w:r>
          </w:p>
        </w:tc>
        <w:tc>
          <w:tcPr>
            <w:tcW w:type="dxa" w:w="1656"/>
          </w:tcPr>
          <w:p>
            <w:r>
              <w:t>+0.23%</w:t>
            </w:r>
          </w:p>
        </w:tc>
        <w:tc>
          <w:tcPr>
            <w:tcW w:type="dxa" w:w="1656"/>
          </w:tcPr>
          <w:p>
            <w:r>
              <w:t>+0.87%</w:t>
            </w:r>
          </w:p>
        </w:tc>
        <w:tc>
          <w:tcPr>
            <w:tcW w:type="dxa" w:w="1656"/>
          </w:tcPr>
          <w:p>
            <w:r>
              <w:t>+0.26 pp</w:t>
            </w:r>
          </w:p>
        </w:tc>
        <w:tc>
          <w:tcPr>
            <w:tcW w:type="dxa" w:w="1656"/>
          </w:tcPr>
          <w:p>
            <w:r>
              <w:t>Reject new bagging</w:t>
            </w:r>
          </w:p>
        </w:tc>
      </w:tr>
      <w:tr>
        <w:tc>
          <w:tcPr>
            <w:tcW w:type="dxa" w:w="1656"/>
          </w:tcPr>
          <w:p>
            <w:r>
              <w:t>Lasso</w:t>
            </w:r>
          </w:p>
        </w:tc>
        <w:tc>
          <w:tcPr>
            <w:tcW w:type="dxa" w:w="1656"/>
          </w:tcPr>
          <w:p>
            <w:r>
              <w:t>+0.53%</w:t>
            </w:r>
          </w:p>
        </w:tc>
        <w:tc>
          <w:tcPr>
            <w:tcW w:type="dxa" w:w="1656"/>
          </w:tcPr>
          <w:p>
            <w:r>
              <w:t>+0.23%</w:t>
            </w:r>
          </w:p>
        </w:tc>
        <w:tc>
          <w:tcPr>
            <w:tcW w:type="dxa" w:w="1656"/>
          </w:tcPr>
          <w:p>
            <w:r>
              <w:t>+0.88%</w:t>
            </w:r>
          </w:p>
        </w:tc>
        <w:tc>
          <w:tcPr>
            <w:tcW w:type="dxa" w:w="1656"/>
          </w:tcPr>
          <w:p>
            <w:r>
              <w:t>0.00 pp</w:t>
            </w:r>
          </w:p>
        </w:tc>
        <w:tc>
          <w:tcPr>
            <w:tcW w:type="dxa" w:w="1656"/>
          </w:tcPr>
          <w:p>
            <w:r>
              <w:t>Reject new bagging</w:t>
            </w:r>
          </w:p>
        </w:tc>
      </w:tr>
      <w:tr>
        <w:tc>
          <w:tcPr>
            <w:tcW w:type="dxa" w:w="1656"/>
          </w:tcPr>
          <w:p>
            <w:r>
              <w:t>Elastic Net</w:t>
            </w:r>
          </w:p>
        </w:tc>
        <w:tc>
          <w:tcPr>
            <w:tcW w:type="dxa" w:w="1656"/>
          </w:tcPr>
          <w:p>
            <w:r>
              <w:t>+0.54%</w:t>
            </w:r>
          </w:p>
        </w:tc>
        <w:tc>
          <w:tcPr>
            <w:tcW w:type="dxa" w:w="1656"/>
          </w:tcPr>
          <w:p>
            <w:r>
              <w:t>+0.23%</w:t>
            </w:r>
          </w:p>
        </w:tc>
        <w:tc>
          <w:tcPr>
            <w:tcW w:type="dxa" w:w="1656"/>
          </w:tcPr>
          <w:p>
            <w:r>
              <w:t>+0.87%</w:t>
            </w:r>
          </w:p>
        </w:tc>
        <w:tc>
          <w:tcPr>
            <w:tcW w:type="dxa" w:w="1656"/>
          </w:tcPr>
          <w:p>
            <w:r>
              <w:t>+0.26 pp</w:t>
            </w:r>
          </w:p>
        </w:tc>
        <w:tc>
          <w:tcPr>
            <w:tcW w:type="dxa" w:w="1656"/>
          </w:tcPr>
          <w:p>
            <w:r>
              <w:t>Reject new bagging</w:t>
            </w:r>
          </w:p>
        </w:tc>
      </w:tr>
    </w:tbl>
    <w:p>
      <w:r>
        <w:t>Positive error changes mean that the error became worse. Therefore the four newly tested bagged models were not promoted. The production comparison retains unbagged OLS, Ridge, Lasso, and Elastic Net. The previous validation-gated 50-member, block-20 Huber ensemble remains in the comparison because it reduced test MSE by 1.47% and price MAE from 5.9412 to 5.9145 CNY/gram. Its validation return MAE worsened slightly from 0.0059985 to 0.0060096, so this tradeoff must remain explicit. The reported test rows use the existing event-exclusion file, whose windows were defined after earlier residual inspection. These figures are useful diagnostics but are not pristine never-seen test evidence.</w:t>
      </w:r>
    </w:p>
    <w:p>
      <w:pPr>
        <w:pStyle w:val="Heading3"/>
      </w:pPr>
      <w:r>
        <w:t>Current selected Huber amount diagnostics</w:t>
      </w:r>
    </w:p>
    <w:p>
      <w:pPr>
        <w:pStyle w:val="ListBullet"/>
      </w:pPr>
      <w:r>
        <w:t>Test return MAE: 0.006836 log-return units.</w:t>
      </w:r>
    </w:p>
    <w:p>
      <w:pPr>
        <w:pStyle w:val="ListBullet"/>
      </w:pPr>
      <w:r>
        <w:t>Test magnitude MAE: 0.005771 log-return units.</w:t>
      </w:r>
    </w:p>
    <w:p>
      <w:pPr>
        <w:pStyle w:val="ListBullet"/>
      </w:pPr>
      <w:r>
        <w:t>Test magnitude correlation: 0.3537.</w:t>
      </w:r>
    </w:p>
    <w:p>
      <w:pPr>
        <w:pStyle w:val="ListBullet"/>
      </w:pPr>
      <w:r>
        <w:t>Test amplitude ratio: 0.4699; the forecast volatility is only about 47% of realized-return volatility, so large moves remain underpredicted.</w:t>
      </w:r>
    </w:p>
    <w:p>
      <w:pPr>
        <w:pStyle w:val="ListBullet"/>
      </w:pPr>
      <w:r>
        <w:t>Test direction accuracy: 63.80%.</w:t>
      </w:r>
    </w:p>
    <w:p>
      <w:pPr>
        <w:pStyle w:val="ListBullet"/>
      </w:pPr>
      <w:r>
        <w:t>Test price MAE: 5.9145 CNY/gram.</w:t>
      </w:r>
    </w:p>
    <w:p>
      <w:pPr>
        <w:pStyle w:val="Heading3"/>
      </w:pPr>
      <w:r>
        <w:t>Reproducibility outputs</w:t>
      </w:r>
    </w:p>
    <w:p>
      <w:pPr>
        <w:pStyle w:val="ListBullet"/>
      </w:pPr>
      <w:r>
        <w:t>compare_bagging_all_models.py</w:t>
      </w:r>
    </w:p>
    <w:p>
      <w:pPr>
        <w:pStyle w:val="ListBullet"/>
      </w:pPr>
      <w:r>
        <w:t>outputs/bagging_all_models_h1/all_model_bagging_validation_grid.csv</w:t>
      </w:r>
    </w:p>
    <w:p>
      <w:pPr>
        <w:pStyle w:val="ListBullet"/>
      </w:pPr>
      <w:r>
        <w:t>outputs/bagging_all_models_h1/all_model_bagging_decisions.csv</w:t>
      </w:r>
    </w:p>
    <w:p>
      <w:pPr>
        <w:pStyle w:val="ListBullet"/>
      </w:pPr>
      <w:r>
        <w:t>outputs/bagging_all_models_h1/all_model_bagging_test_metrics.csv</w:t>
      </w:r>
    </w:p>
    <w:p>
      <w:pPr>
        <w:pStyle w:val="ListBullet"/>
      </w:pPr>
      <w:r>
        <w:t>outputs/bagging_all_models_h1/all_model_bagging_test_predictions.csv</w:t>
      </w:r>
    </w:p>
    <w:p>
      <w:pPr>
        <w:pStyle w:val="ListBullet"/>
      </w:pPr>
      <w:r>
        <w:t>outputs/bagging_all_models_h1/selected_bagging_by_model.json</w:t>
      </w:r>
    </w:p>
    <w:p>
      <w:pPr>
        <w:pStyle w:val="ListBullet"/>
      </w:pPr>
      <w:r>
        <w:t>outputs/horizon_comparison/h1/gold_model_comparison.csv</w:t>
      </w:r>
    </w:p>
    <w:p>
      <w:pPr>
        <w:pStyle w:val="ListBullet"/>
      </w:pPr>
      <w:r>
        <w:t>outputs/horizon_comparison/selected_horizon.json</w:t>
      </w:r>
    </w:p>
    <w:p>
      <w:pPr>
        <w:pStyle w:val="Heading1"/>
      </w:pPr>
      <w:r>
        <w:t>Progress Update - 2026-07-20</w:t>
      </w:r>
    </w:p>
    <w:p>
      <w:pPr>
        <w:pStyle w:val="Heading2"/>
      </w:pPr>
      <w:r>
        <w:t>PCA, loss functions, and weighted averaging</w:t>
      </w:r>
    </w:p>
    <w:p>
      <w:r>
        <w:t>Residual normality is no longer a model-selection requirement. The project now assumes normal residuals for the requested workflow and retains residual plots only as descriptive diagnostics. The following experiments used the frozen one-day horizon, 14 AIC-selected inputs, chronological partitions, and validation-first decisions.</w:t>
      </w:r>
    </w:p>
    <w:p>
      <w:pPr>
        <w:pStyle w:val="Heading3"/>
      </w:pPr>
      <w:r>
        <w:t>PCA experiment</w:t>
      </w:r>
    </w:p>
    <w:p>
      <w:r>
        <w:t>PCA was fitted inside each model pipeline after median imputation and standardization, using training observations only. Candidate component counts were 3, 5, 7, 9, 11, 13, and 14. OLS, Ridge, Lasso, and Elastic Net did not pass the joint amount-and-direction acceptance rule. Huber selected 11 components, which explained 97.80% of standardized input variance.</w:t>
      </w:r>
    </w:p>
    <w:p>
      <w:pPr>
        <w:pStyle w:val="ListBullet"/>
      </w:pPr>
      <w:r>
        <w:t>Huber validation MSE improved by 0.041% versus raw unbagged Huber.</w:t>
      </w:r>
    </w:p>
    <w:p>
      <w:pPr>
        <w:pStyle w:val="ListBullet"/>
      </w:pPr>
      <w:r>
        <w:t>Validation MAE improved by 0.251%.</w:t>
      </w:r>
    </w:p>
    <w:p>
      <w:pPr>
        <w:pStyle w:val="ListBullet"/>
      </w:pPr>
      <w:r>
        <w:t>Validation magnitude MAE improved by 0.619%.</w:t>
      </w:r>
    </w:p>
    <w:p>
      <w:pPr>
        <w:pStyle w:val="ListBullet"/>
      </w:pPr>
      <w:r>
        <w:t>Direction accuracy was unchanged at 65.69%.</w:t>
      </w:r>
    </w:p>
    <w:p>
      <w:pPr>
        <w:pStyle w:val="ListBullet"/>
      </w:pPr>
      <w:r>
        <w:t>Correlation decreased slightly by 0.00146, so the PCA improvement is small and should be treated as a challenger rather than an automatic replacement.</w:t>
      </w:r>
    </w:p>
    <w:p>
      <w:pPr>
        <w:pStyle w:val="Heading3"/>
      </w:pPr>
      <w:r>
        <w:t>Loss-function experiment</w:t>
      </w:r>
    </w:p>
    <w:p>
      <w:r>
        <w:t>Squared-error OLS, a grid of Huber losses, and median absolute-error regression were compared on raw inputs and the selected 11-component PCA representation. Absolute-error regression means quantile regression at the 50th percentile. It estimates the conditional median and reduces the direct influence of large return errors.</w:t>
      </w:r>
    </w:p>
    <w:p>
      <w:pPr>
        <w:pStyle w:val="ListBullet"/>
      </w:pPr>
      <w:r>
        <w:t>Selected validation candidate: unpenalized absolute-error regression on 11 PCA components.</w:t>
      </w:r>
    </w:p>
    <w:p>
      <w:pPr>
        <w:pStyle w:val="ListBullet"/>
      </w:pPr>
      <w:r>
        <w:t>Versus raw unbagged Huber, validation MSE improved by 0.347%.</w:t>
      </w:r>
    </w:p>
    <w:p>
      <w:pPr>
        <w:pStyle w:val="ListBullet"/>
      </w:pPr>
      <w:r>
        <w:t>Validation MAE improved by 0.520% and magnitude MAE by 1.178%.</w:t>
      </w:r>
    </w:p>
    <w:p>
      <w:pPr>
        <w:pStyle w:val="ListBullet"/>
      </w:pPr>
      <w:r>
        <w:t>Direction accuracy changed from 65.69% to 65.44%, a decrease of 0.245 percentage points within the declared 0.5-point tolerance.</w:t>
      </w:r>
    </w:p>
    <w:p>
      <w:pPr>
        <w:pStyle w:val="ListBullet"/>
      </w:pPr>
      <w:r>
        <w:t>This is an experimental robust-loss challenger; it does not add a sixth permanent production model without a later promotion decision.</w:t>
      </w:r>
    </w:p>
    <w:p>
      <w:pPr>
        <w:pStyle w:val="Heading3"/>
      </w:pPr>
      <w:r>
        <w:t>Weighted regression averaging</w:t>
      </w:r>
    </w:p>
    <w:p>
      <w:r>
        <w:t>Weights were learned from five expanding-window out-of-fold training splits with a one-observation gap. No validation or test target was used to calculate the numerical weights. Validation selected among equal, inverse-MSE, inverse-MAE, constrained MSE-optimal, and stabilized constrained MSE-optimal weighting rules. All weights were nonnegative and summed to one.</w:t>
      </w:r>
    </w:p>
    <w:tbl>
      <w:tblPr>
        <w:tblStyle w:val="TableGrid"/>
        <w:tblW w:type="auto" w:w="0"/>
        <w:tblLook w:firstColumn="1" w:firstRow="1" w:lastColumn="0" w:lastRow="0" w:noHBand="0" w:noVBand="1" w:val="04A0"/>
      </w:tblPr>
      <w:tblGrid>
        <w:gridCol w:w="3312"/>
        <w:gridCol w:w="3312"/>
        <w:gridCol w:w="3312"/>
      </w:tblGrid>
      <w:tr>
        <w:tc>
          <w:tcPr>
            <w:tcW w:type="dxa" w:w="3312"/>
          </w:tcPr>
          <w:p>
            <w:r>
              <w:t>Selected ensemble member</w:t>
            </w:r>
          </w:p>
        </w:tc>
        <w:tc>
          <w:tcPr>
            <w:tcW w:type="dxa" w:w="3312"/>
          </w:tcPr>
          <w:p>
            <w:r>
              <w:t>Weight</w:t>
            </w:r>
          </w:p>
        </w:tc>
        <w:tc>
          <w:tcPr>
            <w:tcW w:type="dxa" w:w="3312"/>
          </w:tcPr>
          <w:p>
            <w:r>
              <w:t>Role</w:t>
            </w:r>
          </w:p>
        </w:tc>
      </w:tr>
      <w:tr>
        <w:tc>
          <w:tcPr>
            <w:tcW w:type="dxa" w:w="3312"/>
          </w:tcPr>
          <w:p>
            <w:r>
              <w:t>Block-bagged Huber</w:t>
            </w:r>
          </w:p>
        </w:tc>
        <w:tc>
          <w:tcPr>
            <w:tcW w:type="dxa" w:w="3312"/>
          </w:tcPr>
          <w:p>
            <w:r>
              <w:t>39.46%</w:t>
            </w:r>
          </w:p>
        </w:tc>
        <w:tc>
          <w:tcPr>
            <w:tcW w:type="dxa" w:w="3312"/>
          </w:tcPr>
          <w:p>
            <w:r>
              <w:t>Higher raw-feature correlation</w:t>
            </w:r>
          </w:p>
        </w:tc>
      </w:tr>
      <w:tr>
        <w:tc>
          <w:tcPr>
            <w:tcW w:type="dxa" w:w="3312"/>
          </w:tcPr>
          <w:p>
            <w:r>
              <w:t>PCA11 absolute-error</w:t>
            </w:r>
          </w:p>
        </w:tc>
        <w:tc>
          <w:tcPr>
            <w:tcW w:type="dxa" w:w="3312"/>
          </w:tcPr>
          <w:p>
            <w:r>
              <w:t>60.54%</w:t>
            </w:r>
          </w:p>
        </w:tc>
        <w:tc>
          <w:tcPr>
            <w:tcW w:type="dxa" w:w="3312"/>
          </w:tcPr>
          <w:p>
            <w:r>
              <w:t>Lower amount errors</w:t>
            </w:r>
          </w:p>
        </w:tc>
      </w:tr>
    </w:tbl>
    <w:p>
      <w:r>
        <w:t>The selected stabilized robust-pair ensemble improved validation MSE by 0.152%, MAE by 0.506%, and magnitude MAE by 0.407% versus block-bagged Huber. Direction accuracy increased from 65.69% to 66.18%. The full five-model weighted averages did not beat bagged Huber under the joint rule, mainly because OLS, Ridge, Lasso, and Elastic Net make nearly identical predictions and add little independent information.</w:t>
      </w:r>
    </w:p>
    <w:p>
      <w:r>
        <w:t>On the existing event-filtered test diagnostic, the selected ensemble improved MSE by 5.32%, MAE by 1.96%, magnitude MAE by 0.95%, and direction accuracy by 1.04 percentage points versus bagged Huber. However, the PCA11 absolute-error model alone had slightly lower test MSE and MAE than the ensemble. The weighted result is therefore promising but not yet a clear production replacement. The event-filtered test is not pristine out-of-sample evidence because earlier residual review influenced its event windows.</w:t>
      </w:r>
    </w:p>
    <w:p>
      <w:pPr>
        <w:pStyle w:val="Heading3"/>
      </w:pPr>
      <w:r>
        <w:t>Production status</w:t>
      </w:r>
    </w:p>
    <w:p>
      <w:r>
        <w:t>No automatic production replacement was made. The current bagged Huber benchmark remains intact. PCA11 Huber, PCA11 absolute-error regression, and the 39.46%/60.54% robust weighted ensemble are frozen challengers awaiting walk-forward stability checks and genuinely new observations.</w:t>
      </w:r>
    </w:p>
    <w:p>
      <w:pPr>
        <w:pStyle w:val="Heading3"/>
      </w:pPr>
      <w:r>
        <w:t>Reproducibility outputs</w:t>
      </w:r>
    </w:p>
    <w:p>
      <w:pPr>
        <w:pStyle w:val="ListBullet"/>
      </w:pPr>
      <w:r>
        <w:t>compare_pca_models.py and outputs/pca_h1/</w:t>
      </w:r>
    </w:p>
    <w:p>
      <w:pPr>
        <w:pStyle w:val="ListBullet"/>
      </w:pPr>
      <w:r>
        <w:t>compare_loss_functions.py and outputs/loss_function_h1/</w:t>
      </w:r>
    </w:p>
    <w:p>
      <w:pPr>
        <w:pStyle w:val="ListBullet"/>
      </w:pPr>
      <w:r>
        <w:t>compare_weighted_ensemble.py and outputs/weighted_ensemble_h1/</w:t>
      </w:r>
    </w:p>
    <w:p>
      <w:pPr>
        <w:pStyle w:val="ListBullet"/>
      </w:pPr>
      <w:r>
        <w:t>advanced_experiment_utils.py</w:t>
      </w:r>
    </w:p>
    <w:p>
      <w:pPr>
        <w:pStyle w:val="Heading1"/>
      </w:pPr>
      <w:r>
        <w:t>Method Correction - 2026-07-20</w:t>
      </w:r>
    </w:p>
    <w:p>
      <w:pPr>
        <w:pStyle w:val="Heading2"/>
      </w:pPr>
      <w:r>
        <w:t>Continuous growth/drop amount replaces direction accuracy</w:t>
      </w:r>
    </w:p>
    <w:p>
      <w:r>
        <w:t>Direction accuracy is no longer used to select PCA, loss-function, or weighted-averaging candidates. A sign-only score can call +0.2% versus +3.0% correct even though the predicted amount is economically poor. The revised workflow converts every predicted and actual log return into ordinary percentage growth using 100 x (exp(return) - 1).</w:t>
      </w:r>
    </w:p>
    <w:p>
      <w:pPr>
        <w:pStyle w:val="Heading3"/>
      </w:pPr>
      <w:r>
        <w:t>Amount fields recorded for every date</w:t>
      </w:r>
    </w:p>
    <w:p>
      <w:pPr>
        <w:pStyle w:val="ListBullet"/>
      </w:pPr>
      <w:r>
        <w:t>Actual growth/drop percentage and predicted growth/drop percentage.</w:t>
      </w:r>
    </w:p>
    <w:p>
      <w:pPr>
        <w:pStyle w:val="ListBullet"/>
      </w:pPr>
      <w:r>
        <w:t>Signed growth error in percentage points: predicted minus actual.</w:t>
      </w:r>
    </w:p>
    <w:p>
      <w:pPr>
        <w:pStyle w:val="ListBullet"/>
      </w:pPr>
      <w:r>
        <w:t>Absolute growth error in percentage points.</w:t>
      </w:r>
    </w:p>
    <w:p>
      <w:pPr>
        <w:pStyle w:val="ListBullet"/>
      </w:pPr>
      <w:r>
        <w:t>Actual and predicted move size, plus move-size error.</w:t>
      </w:r>
    </w:p>
    <w:p>
      <w:pPr>
        <w:pStyle w:val="ListBullet"/>
      </w:pPr>
      <w:r>
        <w:t>Actual and predicted CNY/gram price change.</w:t>
      </w:r>
    </w:p>
    <w:p>
      <w:pPr>
        <w:pStyle w:val="ListBullet"/>
      </w:pPr>
      <w:r>
        <w:t>Signed and absolute CNY/gram price-change error.</w:t>
      </w:r>
    </w:p>
    <w:p>
      <w:pPr>
        <w:pStyle w:val="ListBullet"/>
      </w:pPr>
      <w:r>
        <w:t>A label showing whether the magnitude was overestimated or underestimated.</w:t>
      </w:r>
    </w:p>
    <w:p>
      <w:pPr>
        <w:pStyle w:val="Heading3"/>
      </w:pPr>
      <w:r>
        <w:t>Revised selection rule</w:t>
      </w:r>
    </w:p>
    <w:p>
      <w:r>
        <w:t>A challenger must lower all four amount criteria relative to its benchmark: growth RMSE, growth MAE, growth-magnitude MAE, and CNY/gram price-change MAE. Direction accuracy is not calculated by the advanced experiment helper and is not part of the acceptance decision. Ensemble weights are now calculated from out-of-fold ordinary growth errors rather than sign errors.</w:t>
      </w:r>
    </w:p>
    <w:p>
      <w:pPr>
        <w:pStyle w:val="Heading3"/>
      </w:pPr>
      <w:r>
        <w:t>Amount-based results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Diagnostic test candidate</w:t>
            </w:r>
          </w:p>
        </w:tc>
        <w:tc>
          <w:tcPr>
            <w:tcW w:type="dxa" w:w="1987"/>
          </w:tcPr>
          <w:p>
            <w:r>
              <w:t>Growth MAE (pp)</w:t>
            </w:r>
          </w:p>
        </w:tc>
        <w:tc>
          <w:tcPr>
            <w:tcW w:type="dxa" w:w="1987"/>
          </w:tcPr>
          <w:p>
            <w:r>
              <w:t>Growth RMSE (pp)</w:t>
            </w:r>
          </w:p>
        </w:tc>
        <w:tc>
          <w:tcPr>
            <w:tcW w:type="dxa" w:w="1987"/>
          </w:tcPr>
          <w:p>
            <w:r>
              <w:t>Move-size MAE (pp)</w:t>
            </w:r>
          </w:p>
        </w:tc>
        <w:tc>
          <w:tcPr>
            <w:tcW w:type="dxa" w:w="1987"/>
          </w:tcPr>
          <w:p>
            <w:r>
              <w:t>CNY/g change MAE</w:t>
            </w:r>
          </w:p>
        </w:tc>
      </w:tr>
      <w:tr>
        <w:tc>
          <w:tcPr>
            <w:tcW w:type="dxa" w:w="1987"/>
          </w:tcPr>
          <w:p>
            <w:r>
              <w:t>Bagged Huber</w:t>
            </w:r>
          </w:p>
        </w:tc>
        <w:tc>
          <w:tcPr>
            <w:tcW w:type="dxa" w:w="1987"/>
          </w:tcPr>
          <w:p>
            <w:r>
              <w:t>0.684</w:t>
            </w:r>
          </w:p>
        </w:tc>
        <w:tc>
          <w:tcPr>
            <w:tcW w:type="dxa" w:w="1987"/>
          </w:tcPr>
          <w:p>
            <w:r>
              <w:t>0.955</w:t>
            </w:r>
          </w:p>
        </w:tc>
        <w:tc>
          <w:tcPr>
            <w:tcW w:type="dxa" w:w="1987"/>
          </w:tcPr>
          <w:p>
            <w:r>
              <w:t>0.578</w:t>
            </w:r>
          </w:p>
        </w:tc>
        <w:tc>
          <w:tcPr>
            <w:tcW w:type="dxa" w:w="1987"/>
          </w:tcPr>
          <w:p>
            <w:r>
              <w:t>5.914</w:t>
            </w:r>
          </w:p>
        </w:tc>
      </w:tr>
      <w:tr>
        <w:tc>
          <w:tcPr>
            <w:tcW w:type="dxa" w:w="1987"/>
          </w:tcPr>
          <w:p>
            <w:r>
              <w:t>PCA11 absolute loss</w:t>
            </w:r>
          </w:p>
        </w:tc>
        <w:tc>
          <w:tcPr>
            <w:tcW w:type="dxa" w:w="1987"/>
          </w:tcPr>
          <w:p>
            <w:r>
              <w:t>0.669</w:t>
            </w:r>
          </w:p>
        </w:tc>
        <w:tc>
          <w:tcPr>
            <w:tcW w:type="dxa" w:w="1987"/>
          </w:tcPr>
          <w:p>
            <w:r>
              <w:t>0.921</w:t>
            </w:r>
          </w:p>
        </w:tc>
        <w:tc>
          <w:tcPr>
            <w:tcW w:type="dxa" w:w="1987"/>
          </w:tcPr>
          <w:p>
            <w:r>
              <w:t>0.573</w:t>
            </w:r>
          </w:p>
        </w:tc>
        <w:tc>
          <w:tcPr>
            <w:tcW w:type="dxa" w:w="1987"/>
          </w:tcPr>
          <w:p>
            <w:r>
              <w:t>5.768</w:t>
            </w:r>
          </w:p>
        </w:tc>
      </w:tr>
      <w:tr>
        <w:tc>
          <w:tcPr>
            <w:tcW w:type="dxa" w:w="1987"/>
          </w:tcPr>
          <w:p>
            <w:r>
              <w:t>Weighted robust pair</w:t>
            </w:r>
          </w:p>
        </w:tc>
        <w:tc>
          <w:tcPr>
            <w:tcW w:type="dxa" w:w="1987"/>
          </w:tcPr>
          <w:p>
            <w:r>
              <w:t>0.671</w:t>
            </w:r>
          </w:p>
        </w:tc>
        <w:tc>
          <w:tcPr>
            <w:tcW w:type="dxa" w:w="1987"/>
          </w:tcPr>
          <w:p>
            <w:r>
              <w:t>0.929</w:t>
            </w:r>
          </w:p>
        </w:tc>
        <w:tc>
          <w:tcPr>
            <w:tcW w:type="dxa" w:w="1987"/>
          </w:tcPr>
          <w:p>
            <w:r>
              <w:t>0.572</w:t>
            </w:r>
          </w:p>
        </w:tc>
        <w:tc>
          <w:tcPr>
            <w:tcW w:type="dxa" w:w="1987"/>
          </w:tcPr>
          <w:p>
            <w:r>
              <w:t>5.778</w:t>
            </w:r>
          </w:p>
        </w:tc>
      </w:tr>
    </w:tbl>
    <w:p>
      <w:r>
        <w:t>The amount-only weighting run selected 39.62% block-bagged Huber and 60.38% PCA11 absolute-error regression. On validation, its growth RMSE was 0.917 percentage points, growth MAE 0.596 percentage points, and CNY/gram change MAE 2.916. On the diagnostic test, the model underestimated move magnitude on 78.39% of observations. This directly confirms that forecasts remain too compressed even when their signs sometimes appear useful.</w:t>
      </w:r>
    </w:p>
    <w:p>
      <w:pPr>
        <w:pStyle w:val="Heading3"/>
      </w:pPr>
      <w:r>
        <w:t>New reproducibility outputs</w:t>
      </w:r>
    </w:p>
    <w:p>
      <w:pPr>
        <w:pStyle w:val="ListBullet"/>
      </w:pPr>
      <w:r>
        <w:t>build_growth_amount_report.py</w:t>
      </w:r>
    </w:p>
    <w:p>
      <w:pPr>
        <w:pStyle w:val="ListBullet"/>
      </w:pPr>
      <w:r>
        <w:t>outputs/growth_amount_report_h1/selected_ensemble_growth_amount_errors.csv</w:t>
      </w:r>
    </w:p>
    <w:p>
      <w:pPr>
        <w:pStyle w:val="ListBullet"/>
      </w:pPr>
      <w:r>
        <w:t>outputs/growth_amount_report_h1/all_candidate_growth_amount_errors.csv</w:t>
      </w:r>
    </w:p>
    <w:p>
      <w:pPr>
        <w:pStyle w:val="ListBullet"/>
      </w:pPr>
      <w:r>
        <w:t>outputs/growth_amount_report_h1/growth_amount_summary.csv</w:t>
      </w:r>
    </w:p>
    <w:p>
      <w:pPr>
        <w:pStyle w:val="ListBullet"/>
      </w:pPr>
      <w:r>
        <w:t>outputs/growth_amount_report_h1/selected_largest_growth_errors.csv</w:t>
      </w:r>
    </w:p>
    <w:p>
      <w:pPr>
        <w:pStyle w:val="ListBullet"/>
      </w:pPr>
      <w:r>
        <w:t>outputs/growth_amount_report_h1/selected_growth_amount_comparison.png</w:t>
      </w:r>
    </w:p>
    <w:p>
      <w:pPr>
        <w:pStyle w:val="Heading1"/>
      </w:pPr>
      <w:r>
        <w:t>Progress Update - 2026-07-20</w:t>
      </w:r>
    </w:p>
    <w:p>
      <w:pPr>
        <w:pStyle w:val="Heading2"/>
      </w:pPr>
      <w:r>
        <w:t>Consecutive blocked ten-fold Huber rotation</w:t>
      </w:r>
    </w:p>
    <w:p>
      <w:r>
        <w:t>The full event-filtered modelling sample was divided into ten consecutive date blocks. For each fold, one block was held out and a new Huber pipeline was trained on the other nine blocks. Median imputation, standardization, and Huber coefficients were re-estimated independently in every fold.</w:t>
      </w:r>
    </w:p>
    <w:p>
      <w:pPr>
        <w:pStyle w:val="ListBullet"/>
      </w:pPr>
      <w:r>
        <w:t>Total rows receiving held-out predictions: 2,728.</w:t>
      </w:r>
    </w:p>
    <w:p>
      <w:pPr>
        <w:pStyle w:val="ListBullet"/>
      </w:pPr>
      <w:r>
        <w:t>Models trained and saved: 10.</w:t>
      </w:r>
    </w:p>
    <w:p>
      <w:pPr>
        <w:pStyle w:val="ListBullet"/>
      </w:pPr>
      <w:r>
        <w:t>Held-out rows per fold: 272 or 273.</w:t>
      </w:r>
    </w:p>
    <w:p>
      <w:pPr>
        <w:pStyle w:val="ListBullet"/>
      </w:pPr>
      <w:r>
        <w:t>Huber epsilon: 1.1; alpha: 0.001.</w:t>
      </w:r>
    </w:p>
    <w:p>
      <w:pPr>
        <w:pStyle w:val="ListBullet"/>
      </w:pPr>
      <w:r>
        <w:t>Input set: the current 14 AIC-selected horizon-one features.</w:t>
      </w:r>
    </w:p>
    <w:p>
      <w:pPr>
        <w:pStyle w:val="Heading3"/>
      </w:pPr>
      <w:r>
        <w:t>Combined amount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Ten-fold result</w:t>
            </w:r>
          </w:p>
        </w:tc>
      </w:tr>
      <w:tr>
        <w:tc>
          <w:tcPr>
            <w:tcW w:type="dxa" w:w="4968"/>
          </w:tcPr>
          <w:p>
            <w:r>
              <w:t>Growth MAE</w:t>
            </w:r>
          </w:p>
        </w:tc>
        <w:tc>
          <w:tcPr>
            <w:tcW w:type="dxa" w:w="4968"/>
          </w:tcPr>
          <w:p>
            <w:r>
              <w:t>0.587 percentage points</w:t>
            </w:r>
          </w:p>
        </w:tc>
      </w:tr>
      <w:tr>
        <w:tc>
          <w:tcPr>
            <w:tcW w:type="dxa" w:w="4968"/>
          </w:tcPr>
          <w:p>
            <w:r>
              <w:t>Growth RMSE</w:t>
            </w:r>
          </w:p>
        </w:tc>
        <w:tc>
          <w:tcPr>
            <w:tcW w:type="dxa" w:w="4968"/>
          </w:tcPr>
          <w:p>
            <w:r>
              <w:t>0.928 percentage points</w:t>
            </w:r>
          </w:p>
        </w:tc>
      </w:tr>
      <w:tr>
        <w:tc>
          <w:tcPr>
            <w:tcW w:type="dxa" w:w="4968"/>
          </w:tcPr>
          <w:p>
            <w:r>
              <w:t>Growth-magnitude MAE</w:t>
            </w:r>
          </w:p>
        </w:tc>
        <w:tc>
          <w:tcPr>
            <w:tcW w:type="dxa" w:w="4968"/>
          </w:tcPr>
          <w:p>
            <w:r>
              <w:t>0.466 percentage points</w:t>
            </w:r>
          </w:p>
        </w:tc>
      </w:tr>
      <w:tr>
        <w:tc>
          <w:tcPr>
            <w:tcW w:type="dxa" w:w="4968"/>
          </w:tcPr>
          <w:p>
            <w:r>
              <w:t>Price-change MAE</w:t>
            </w:r>
          </w:p>
        </w:tc>
        <w:tc>
          <w:tcPr>
            <w:tcW w:type="dxa" w:w="4968"/>
          </w:tcPr>
          <w:p>
            <w:r>
              <w:t>2.576 CNY/gram</w:t>
            </w:r>
          </w:p>
        </w:tc>
      </w:tr>
      <w:tr>
        <w:tc>
          <w:tcPr>
            <w:tcW w:type="dxa" w:w="4968"/>
          </w:tcPr>
          <w:p>
            <w:r>
              <w:t>Growth bias</w:t>
            </w:r>
          </w:p>
        </w:tc>
        <w:tc>
          <w:tcPr>
            <w:tcW w:type="dxa" w:w="4968"/>
          </w:tcPr>
          <w:p>
            <w:r>
              <w:t>+0.016 percentage points</w:t>
            </w:r>
          </w:p>
        </w:tc>
      </w:tr>
    </w:tbl>
    <w:p>
      <w:pPr>
        <w:pStyle w:val="Heading3"/>
      </w:pPr>
      <w:r>
        <w:t>Fold stability</w:t>
      </w:r>
    </w:p>
    <w:p>
      <w:r>
        <w:t>Growth MAE ranged from 0.350 to 0.958 percentage points. Fold 5, covering 2019-07-26 through 2020-09-07, had the highest growth RMSE at 1.684 percentage points. Fold 10, covering 2025-03-25 through 2026-06-23, had the highest price-change MAE at 7.142 CNY/gram. Performance therefore changes materially across market periods.</w:t>
      </w:r>
    </w:p>
    <w:p>
      <w:pPr>
        <w:pStyle w:val="Heading3"/>
      </w:pPr>
      <w:r>
        <w:t>Methodological warning</w:t>
      </w:r>
    </w:p>
    <w:p>
      <w:r>
        <w:t>This experiment implements the requested nine-pieces-train, one-piece-test rotation exactly. For folds 1 through 9, the training set includes dates later than the held-out block. The results are useful cross-validation and coefficient-stability diagnostics, but they are not a leakage-free trading backtest. Fold 10 is the only fold whose training observations all precede the held-out period.</w:t>
      </w:r>
    </w:p>
    <w:p>
      <w:pPr>
        <w:pStyle w:val="Heading3"/>
      </w:pPr>
      <w:r>
        <w:t>Reproducibility outputs</w:t>
      </w:r>
    </w:p>
    <w:p>
      <w:pPr>
        <w:pStyle w:val="ListBullet"/>
      </w:pPr>
      <w:r>
        <w:t>huber_10fold_blocked_cv.py</w:t>
      </w:r>
    </w:p>
    <w:p>
      <w:pPr>
        <w:pStyle w:val="ListBullet"/>
      </w:pPr>
      <w:r>
        <w:t>outputs/huber_10fold_blocked/models/huber_fold_01.joblib through huber_fold_10.joblib</w:t>
      </w:r>
    </w:p>
    <w:p>
      <w:pPr>
        <w:pStyle w:val="ListBullet"/>
      </w:pPr>
      <w:r>
        <w:t>outputs/huber_10fold_blocked/huber_10fold_fold_metrics.csv</w:t>
      </w:r>
    </w:p>
    <w:p>
      <w:pPr>
        <w:pStyle w:val="ListBullet"/>
      </w:pPr>
      <w:r>
        <w:t>outputs/huber_10fold_blocked/huber_10fold_overall_metrics.csv</w:t>
      </w:r>
    </w:p>
    <w:p>
      <w:pPr>
        <w:pStyle w:val="ListBullet"/>
      </w:pPr>
      <w:r>
        <w:t>outputs/huber_10fold_blocked/huber_10fold_oof_predictions.csv</w:t>
      </w:r>
    </w:p>
    <w:p>
      <w:pPr>
        <w:pStyle w:val="ListBullet"/>
      </w:pPr>
      <w:r>
        <w:t>outputs/huber_10fold_blocked/huber_10fold_coefficient_summary.csv</w:t>
      </w:r>
    </w:p>
    <w:p>
      <w:pPr>
        <w:pStyle w:val="ListBullet"/>
      </w:pPr>
      <w:r>
        <w:t>outputs/huber_10fold_blocked/huber_10fold_metadata.json</w:t>
      </w:r>
    </w:p>
    <w:p>
      <w:pPr>
        <w:pStyle w:val="Heading1"/>
      </w:pPr>
      <w:r>
        <w:t>Huber Loss Minimization - 2026-07-20</w:t>
      </w:r>
    </w:p>
    <w:p>
      <w:r>
        <w:t>A final coefficient-estimation model was fitted to all 2,728 available event-filtered rows using the current 14 selected factors. The objective was the L2-regularized Huber loss with epsilon=1.1 and alpha=0.001. Analytic partial derivatives were supplied to L-BFGS-B, and a stricter numerical refinement was started from the scikit-learn solution.</w:t>
      </w:r>
    </w:p>
    <w:p>
      <w:pPr>
        <w:pStyle w:val="Heading2"/>
      </w:pPr>
      <w:r>
        <w:t>Loss-minimizing standardized coefficients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Rank</w:t>
            </w:r>
          </w:p>
        </w:tc>
        <w:tc>
          <w:tcPr>
            <w:tcW w:type="dxa" w:w="2484"/>
          </w:tcPr>
          <w:p>
            <w:r>
              <w:t>Feature</w:t>
            </w:r>
          </w:p>
        </w:tc>
        <w:tc>
          <w:tcPr>
            <w:tcW w:type="dxa" w:w="2484"/>
          </w:tcPr>
          <w:p>
            <w:r>
              <w:t>Standardized coefficient</w:t>
            </w:r>
          </w:p>
        </w:tc>
        <w:tc>
          <w:tcPr>
            <w:tcW w:type="dxa" w:w="2484"/>
          </w:tcPr>
          <w:p>
            <w:r>
              <w:t>Raw-unit coefficient</w:t>
            </w:r>
          </w:p>
        </w:tc>
      </w:tr>
      <w:tr>
        <w:tc>
          <w:tcPr>
            <w:tcW w:type="dxa" w:w="2484"/>
          </w:tcPr>
          <w:p>
            <w:r>
              <w:t>1</w:t>
            </w:r>
          </w:p>
        </w:tc>
        <w:tc>
          <w:tcPr>
            <w:tcW w:type="dxa" w:w="2484"/>
          </w:tcPr>
          <w:p>
            <w:r>
              <w:t>xauusd_return_1d</w:t>
            </w:r>
          </w:p>
        </w:tc>
        <w:tc>
          <w:tcPr>
            <w:tcW w:type="dxa" w:w="2484"/>
          </w:tcPr>
          <w:p>
            <w:r>
              <w:t>0.002492</w:t>
            </w:r>
          </w:p>
        </w:tc>
        <w:tc>
          <w:tcPr>
            <w:tcW w:type="dxa" w:w="2484"/>
          </w:tcPr>
          <w:p>
            <w:r>
              <w:t>0.284013</w:t>
            </w:r>
          </w:p>
        </w:tc>
      </w:tr>
      <w:tr>
        <w:tc>
          <w:tcPr>
            <w:tcW w:type="dxa" w:w="2484"/>
          </w:tcPr>
          <w:p>
            <w:r>
              <w:t>2</w:t>
            </w:r>
          </w:p>
        </w:tc>
        <w:tc>
          <w:tcPr>
            <w:tcW w:type="dxa" w:w="2484"/>
          </w:tcPr>
          <w:p>
            <w:r>
              <w:t>momentum_5d_x_volatility_20d</w:t>
            </w:r>
          </w:p>
        </w:tc>
        <w:tc>
          <w:tcPr>
            <w:tcW w:type="dxa" w:w="2484"/>
          </w:tcPr>
          <w:p>
            <w:r>
              <w:t>-0.001084</w:t>
            </w:r>
          </w:p>
        </w:tc>
        <w:tc>
          <w:tcPr>
            <w:tcW w:type="dxa" w:w="2484"/>
          </w:tcPr>
          <w:p>
            <w:r>
              <w:t>-3.863286</w:t>
            </w:r>
          </w:p>
        </w:tc>
      </w:tr>
      <w:tr>
        <w:tc>
          <w:tcPr>
            <w:tcW w:type="dxa" w:w="2484"/>
          </w:tcPr>
          <w:p>
            <w:r>
              <w:t>3</w:t>
            </w:r>
          </w:p>
        </w:tc>
        <w:tc>
          <w:tcPr>
            <w:tcW w:type="dxa" w:w="2484"/>
          </w:tcPr>
          <w:p>
            <w:r>
              <w:t>premium_change_5d</w:t>
            </w:r>
          </w:p>
        </w:tc>
        <w:tc>
          <w:tcPr>
            <w:tcW w:type="dxa" w:w="2484"/>
          </w:tcPr>
          <w:p>
            <w:r>
              <w:t>-0.000925</w:t>
            </w:r>
          </w:p>
        </w:tc>
        <w:tc>
          <w:tcPr>
            <w:tcW w:type="dxa" w:w="2484"/>
          </w:tcPr>
          <w:p>
            <w:r>
              <w:t>-0.094578</w:t>
            </w:r>
          </w:p>
        </w:tc>
      </w:tr>
      <w:tr>
        <w:tc>
          <w:tcPr>
            <w:tcW w:type="dxa" w:w="2484"/>
          </w:tcPr>
          <w:p>
            <w:r>
              <w:t>4</w:t>
            </w:r>
          </w:p>
        </w:tc>
        <w:tc>
          <w:tcPr>
            <w:tcW w:type="dxa" w:w="2484"/>
          </w:tcPr>
          <w:p>
            <w:r>
              <w:t>breakeven_inflation_10y</w:t>
            </w:r>
          </w:p>
        </w:tc>
        <w:tc>
          <w:tcPr>
            <w:tcW w:type="dxa" w:w="2484"/>
          </w:tcPr>
          <w:p>
            <w:r>
              <w:t>0.000826</w:t>
            </w:r>
          </w:p>
        </w:tc>
        <w:tc>
          <w:tcPr>
            <w:tcW w:type="dxa" w:w="2484"/>
          </w:tcPr>
          <w:p>
            <w:r>
              <w:t>0.002247</w:t>
            </w:r>
          </w:p>
        </w:tc>
      </w:tr>
      <w:tr>
        <w:tc>
          <w:tcPr>
            <w:tcW w:type="dxa" w:w="2484"/>
          </w:tcPr>
          <w:p>
            <w:r>
              <w:t>5</w:t>
            </w:r>
          </w:p>
        </w:tc>
        <w:tc>
          <w:tcPr>
            <w:tcW w:type="dxa" w:w="2484"/>
          </w:tcPr>
          <w:p>
            <w:r>
              <w:t>shanghai_gold_premium</w:t>
            </w:r>
          </w:p>
        </w:tc>
        <w:tc>
          <w:tcPr>
            <w:tcW w:type="dxa" w:w="2484"/>
          </w:tcPr>
          <w:p>
            <w:r>
              <w:t>-0.000685</w:t>
            </w:r>
          </w:p>
        </w:tc>
        <w:tc>
          <w:tcPr>
            <w:tcW w:type="dxa" w:w="2484"/>
          </w:tcPr>
          <w:p>
            <w:r>
              <w:t>-0.061942</w:t>
            </w:r>
          </w:p>
        </w:tc>
      </w:tr>
      <w:tr>
        <w:tc>
          <w:tcPr>
            <w:tcW w:type="dxa" w:w="2484"/>
          </w:tcPr>
          <w:p>
            <w:r>
              <w:t>6</w:t>
            </w:r>
          </w:p>
        </w:tc>
        <w:tc>
          <w:tcPr>
            <w:tcW w:type="dxa" w:w="2484"/>
          </w:tcPr>
          <w:p>
            <w:r>
              <w:t>momentum_5d</w:t>
            </w:r>
          </w:p>
        </w:tc>
        <w:tc>
          <w:tcPr>
            <w:tcW w:type="dxa" w:w="2484"/>
          </w:tcPr>
          <w:p>
            <w:r>
              <w:t>0.000631</w:t>
            </w:r>
          </w:p>
        </w:tc>
        <w:tc>
          <w:tcPr>
            <w:tcW w:type="dxa" w:w="2484"/>
          </w:tcPr>
          <w:p>
            <w:r>
              <w:t>0.032324</w:t>
            </w:r>
          </w:p>
        </w:tc>
      </w:tr>
      <w:tr>
        <w:tc>
          <w:tcPr>
            <w:tcW w:type="dxa" w:w="2484"/>
          </w:tcPr>
          <w:p>
            <w:r>
              <w:t>7</w:t>
            </w:r>
          </w:p>
        </w:tc>
        <w:tc>
          <w:tcPr>
            <w:tcW w:type="dxa" w:w="2484"/>
          </w:tcPr>
          <w:p>
            <w:r>
              <w:t>shfe_gold_settle_return_1d</w:t>
            </w:r>
          </w:p>
        </w:tc>
        <w:tc>
          <w:tcPr>
            <w:tcW w:type="dxa" w:w="2484"/>
          </w:tcPr>
          <w:p>
            <w:r>
              <w:t>-0.000612</w:t>
            </w:r>
          </w:p>
        </w:tc>
        <w:tc>
          <w:tcPr>
            <w:tcW w:type="dxa" w:w="2484"/>
          </w:tcPr>
          <w:p>
            <w:r>
              <w:t>-0.077971</w:t>
            </w:r>
          </w:p>
        </w:tc>
      </w:tr>
      <w:tr>
        <w:tc>
          <w:tcPr>
            <w:tcW w:type="dxa" w:w="2484"/>
          </w:tcPr>
          <w:p>
            <w:r>
              <w:t>8</w:t>
            </w:r>
          </w:p>
        </w:tc>
        <w:tc>
          <w:tcPr>
            <w:tcW w:type="dxa" w:w="2484"/>
          </w:tcPr>
          <w:p>
            <w:r>
              <w:t>return_1d</w:t>
            </w:r>
          </w:p>
        </w:tc>
        <w:tc>
          <w:tcPr>
            <w:tcW w:type="dxa" w:w="2484"/>
          </w:tcPr>
          <w:p>
            <w:r>
              <w:t>0.000181</w:t>
            </w:r>
          </w:p>
        </w:tc>
        <w:tc>
          <w:tcPr>
            <w:tcW w:type="dxa" w:w="2484"/>
          </w:tcPr>
          <w:p>
            <w:r>
              <w:t>0.021161</w:t>
            </w:r>
          </w:p>
        </w:tc>
      </w:tr>
      <w:tr>
        <w:tc>
          <w:tcPr>
            <w:tcW w:type="dxa" w:w="2484"/>
          </w:tcPr>
          <w:p>
            <w:r>
              <w:t>9</w:t>
            </w:r>
          </w:p>
        </w:tc>
        <w:tc>
          <w:tcPr>
            <w:tcW w:type="dxa" w:w="2484"/>
          </w:tcPr>
          <w:p>
            <w:r>
              <w:t>xauusd_momentum_5d</w:t>
            </w:r>
          </w:p>
        </w:tc>
        <w:tc>
          <w:tcPr>
            <w:tcW w:type="dxa" w:w="2484"/>
          </w:tcPr>
          <w:p>
            <w:r>
              <w:t>0.000162</w:t>
            </w:r>
          </w:p>
        </w:tc>
        <w:tc>
          <w:tcPr>
            <w:tcW w:type="dxa" w:w="2484"/>
          </w:tcPr>
          <w:p>
            <w:r>
              <w:t>0.008530</w:t>
            </w:r>
          </w:p>
        </w:tc>
      </w:tr>
      <w:tr>
        <w:tc>
          <w:tcPr>
            <w:tcW w:type="dxa" w:w="2484"/>
          </w:tcPr>
          <w:p>
            <w:r>
              <w:t>10</w:t>
            </w:r>
          </w:p>
        </w:tc>
        <w:tc>
          <w:tcPr>
            <w:tcW w:type="dxa" w:w="2484"/>
          </w:tcPr>
          <w:p>
            <w:r>
              <w:t>usdcnh_return_1d</w:t>
            </w:r>
          </w:p>
        </w:tc>
        <w:tc>
          <w:tcPr>
            <w:tcW w:type="dxa" w:w="2484"/>
          </w:tcPr>
          <w:p>
            <w:r>
              <w:t>0.000161</w:t>
            </w:r>
          </w:p>
        </w:tc>
        <w:tc>
          <w:tcPr>
            <w:tcW w:type="dxa" w:w="2484"/>
          </w:tcPr>
          <w:p>
            <w:r>
              <w:t>0.058439</w:t>
            </w:r>
          </w:p>
        </w:tc>
      </w:tr>
      <w:tr>
        <w:tc>
          <w:tcPr>
            <w:tcW w:type="dxa" w:w="2484"/>
          </w:tcPr>
          <w:p>
            <w:r>
              <w:t>11</w:t>
            </w:r>
          </w:p>
        </w:tc>
        <w:tc>
          <w:tcPr>
            <w:tcW w:type="dxa" w:w="2484"/>
          </w:tcPr>
          <w:p>
            <w:r>
              <w:t>volatility_20d</w:t>
            </w:r>
          </w:p>
        </w:tc>
        <w:tc>
          <w:tcPr>
            <w:tcW w:type="dxa" w:w="2484"/>
          </w:tcPr>
          <w:p>
            <w:r>
              <w:t>0.000146</w:t>
            </w:r>
          </w:p>
        </w:tc>
        <w:tc>
          <w:tcPr>
            <w:tcW w:type="dxa" w:w="2484"/>
          </w:tcPr>
          <w:p>
            <w:r>
              <w:t>0.031234</w:t>
            </w:r>
          </w:p>
        </w:tc>
      </w:tr>
      <w:tr>
        <w:tc>
          <w:tcPr>
            <w:tcW w:type="dxa" w:w="2484"/>
          </w:tcPr>
          <w:p>
            <w:r>
              <w:t>12</w:t>
            </w:r>
          </w:p>
        </w:tc>
        <w:tc>
          <w:tcPr>
            <w:tcW w:type="dxa" w:w="2484"/>
          </w:tcPr>
          <w:p>
            <w:r>
              <w:t>oil_momentum_5d</w:t>
            </w:r>
          </w:p>
        </w:tc>
        <w:tc>
          <w:tcPr>
            <w:tcW w:type="dxa" w:w="2484"/>
          </w:tcPr>
          <w:p>
            <w:r>
              <w:t>-0.000123</w:t>
            </w:r>
          </w:p>
        </w:tc>
        <w:tc>
          <w:tcPr>
            <w:tcW w:type="dxa" w:w="2484"/>
          </w:tcPr>
          <w:p>
            <w:r>
              <w:t>-0.002065</w:t>
            </w:r>
          </w:p>
        </w:tc>
      </w:tr>
      <w:tr>
        <w:tc>
          <w:tcPr>
            <w:tcW w:type="dxa" w:w="2484"/>
          </w:tcPr>
          <w:p>
            <w:r>
              <w:t>13</w:t>
            </w:r>
          </w:p>
        </w:tc>
        <w:tc>
          <w:tcPr>
            <w:tcW w:type="dxa" w:w="2484"/>
          </w:tcPr>
          <w:p>
            <w:r>
              <w:t>ma_gap_20d</w:t>
            </w:r>
          </w:p>
        </w:tc>
        <w:tc>
          <w:tcPr>
            <w:tcW w:type="dxa" w:w="2484"/>
          </w:tcPr>
          <w:p>
            <w:r>
              <w:t>-0.000059</w:t>
            </w:r>
          </w:p>
        </w:tc>
        <w:tc>
          <w:tcPr>
            <w:tcW w:type="dxa" w:w="2484"/>
          </w:tcPr>
          <w:p>
            <w:r>
              <w:t>-0.002813</w:t>
            </w:r>
          </w:p>
        </w:tc>
      </w:tr>
      <w:tr>
        <w:tc>
          <w:tcPr>
            <w:tcW w:type="dxa" w:w="2484"/>
          </w:tcPr>
          <w:p>
            <w:r>
              <w:t>14</w:t>
            </w:r>
          </w:p>
        </w:tc>
        <w:tc>
          <w:tcPr>
            <w:tcW w:type="dxa" w:w="2484"/>
          </w:tcPr>
          <w:p>
            <w:r>
              <w:t>momentum_20d</w:t>
            </w:r>
          </w:p>
        </w:tc>
        <w:tc>
          <w:tcPr>
            <w:tcW w:type="dxa" w:w="2484"/>
          </w:tcPr>
          <w:p>
            <w:r>
              <w:t>-0.000037</w:t>
            </w:r>
          </w:p>
        </w:tc>
        <w:tc>
          <w:tcPr>
            <w:tcW w:type="dxa" w:w="2484"/>
          </w:tcPr>
          <w:p>
            <w:r>
              <w:t>-0.001002</w:t>
            </w:r>
          </w:p>
        </w:tc>
      </w:tr>
    </w:tbl>
    <w:p>
      <w:pPr>
        <w:pStyle w:val="Heading2"/>
      </w:pPr>
      <w:r>
        <w:t>Optimization diagnostics</w:t>
      </w:r>
    </w:p>
    <w:p>
      <w:pPr>
        <w:pStyle w:val="ListBullet"/>
      </w:pPr>
      <w:r>
        <w:t>Standardized intercept: -0.0007443297.</w:t>
      </w:r>
    </w:p>
    <w:p>
      <w:pPr>
        <w:pStyle w:val="ListBullet"/>
      </w:pPr>
      <w:r>
        <w:t>Estimated residual scale: 0.0016059600.</w:t>
      </w:r>
    </w:p>
    <w:p>
      <w:pPr>
        <w:pStyle w:val="ListBullet"/>
      </w:pPr>
      <w:r>
        <w:t>Final regularized Huber objective: 33.7448368910.</w:t>
      </w:r>
    </w:p>
    <w:p>
      <w:pPr>
        <w:pStyle w:val="ListBullet"/>
      </w:pPr>
      <w:r>
        <w:t>Zero-coefficient objective at the final scale: 37.3465299306.</w:t>
      </w:r>
    </w:p>
    <w:p>
      <w:pPr>
        <w:pStyle w:val="ListBullet"/>
      </w:pPr>
      <w:r>
        <w:t>Loss reduction relative to the zero-coefficient reference: 9.644%.</w:t>
      </w:r>
    </w:p>
    <w:p>
      <w:pPr>
        <w:pStyle w:val="ListBullet"/>
      </w:pPr>
      <w:r>
        <w:t>L-BFGS-B refinement iterations: 16; optimization reported successful convergence.</w:t>
      </w:r>
    </w:p>
    <w:p>
      <w:pPr>
        <w:pStyle w:val="ListBullet"/>
      </w:pPr>
      <w:r>
        <w:t>Infinity norm of the gradient of the mean objective: 4.82e-08.</w:t>
      </w:r>
    </w:p>
    <w:p>
      <w:pPr>
        <w:pStyle w:val="Heading2"/>
      </w:pPr>
      <w:r>
        <w:t>Interpretation and limitation</w:t>
      </w:r>
    </w:p>
    <w:p>
      <w:r>
        <w:t>The standardized coefficients are the coefficients optimized by the pipeline and are the appropriate values for comparing factor influence. Raw-unit coefficients depend on each factor's measurement unit. Because this coefficient-estimation model uses every available row, its in-sample errors are not an out-of-sample performance claim. The blocked ten-fold outputs remain the diagnostic for coefficient and error stability.</w:t>
      </w:r>
    </w:p>
    <w:p>
      <w:pPr>
        <w:pStyle w:val="Heading2"/>
      </w:pPr>
      <w:r>
        <w:t>Reproducibility outputs</w:t>
      </w:r>
    </w:p>
    <w:p>
      <w:pPr>
        <w:pStyle w:val="ListBullet"/>
      </w:pPr>
      <w:r>
        <w:t>huber_loss_coefficient_report.py</w:t>
      </w:r>
    </w:p>
    <w:p>
      <w:pPr>
        <w:pStyle w:val="ListBullet"/>
      </w:pPr>
      <w:r>
        <w:t>outputs/huber_loss_minimization/loss_minimizing_huber_coefficients.csv</w:t>
      </w:r>
    </w:p>
    <w:p>
      <w:pPr>
        <w:pStyle w:val="ListBullet"/>
      </w:pPr>
      <w:r>
        <w:t>outputs/huber_loss_minimization/loss_minimization_summary.csv</w:t>
      </w:r>
    </w:p>
    <w:p>
      <w:pPr>
        <w:pStyle w:val="ListBullet"/>
      </w:pPr>
      <w:r>
        <w:t>outputs/huber_loss_minimization/loss_refinement_trace.csv</w:t>
      </w:r>
    </w:p>
    <w:p>
      <w:pPr>
        <w:pStyle w:val="ListBullet"/>
      </w:pPr>
      <w:r>
        <w:t>outputs/huber_loss_minimization/final_all_data_huber_model.joblib</w:t>
      </w:r>
    </w:p>
    <w:p>
      <w:pPr>
        <w:pStyle w:val="Heading1"/>
      </w:pPr>
      <w:r>
        <w:t>Repository Baseline and Automated Tests - 2026-07-21</w:t>
      </w:r>
    </w:p>
    <w:p>
      <w:r>
        <w:t>The project was reorganized for publication to the existing public GitHub repository asuka20302/Gold-Research. Git history begins with this cleaned baseline; it does not attempt to fabricate the project's earlier timeline.</w:t>
      </w:r>
    </w:p>
    <w:p>
      <w:pPr>
        <w:pStyle w:val="Heading2"/>
      </w:pPr>
      <w:r>
        <w:t>Repository structure</w:t>
      </w:r>
    </w:p>
    <w:p>
      <w:pPr>
        <w:pStyle w:val="ListBullet"/>
      </w:pPr>
      <w:r>
        <w:t>Root: maintained research and modelling scripts.</w:t>
      </w:r>
    </w:p>
    <w:p>
      <w:pPr>
        <w:pStyle w:val="ListBullet"/>
      </w:pPr>
      <w:r>
        <w:t>docs/: current Word project notes and Chinese process manual.</w:t>
      </w:r>
    </w:p>
    <w:p>
      <w:pPr>
        <w:pStyle w:val="ListBullet"/>
      </w:pPr>
      <w:r>
        <w:t>qmt/: optional signal export and QMT strategy templates.</w:t>
      </w:r>
    </w:p>
    <w:p>
      <w:pPr>
        <w:pStyle w:val="ListBullet"/>
      </w:pPr>
      <w:r>
        <w:t>reports/: compact reviewable result tables copied from generated outputs.</w:t>
      </w:r>
    </w:p>
    <w:p>
      <w:pPr>
        <w:pStyle w:val="ListBullet"/>
      </w:pPr>
      <w:r>
        <w:t>tests/: deterministic unit tests that require no downloaded market data.</w:t>
      </w:r>
    </w:p>
    <w:p>
      <w:pPr>
        <w:pStyle w:val="ListBullet"/>
      </w:pPr>
      <w:r>
        <w:t>data/ and outputs/: local reproducible artifacts excluded from Git.</w:t>
      </w:r>
    </w:p>
    <w:p>
      <w:pPr>
        <w:pStyle w:val="Heading2"/>
      </w:pPr>
      <w:r>
        <w:t>Cleanup and security rules</w:t>
      </w:r>
    </w:p>
    <w:p>
      <w:pPr>
        <w:pStyle w:val="ListBullet"/>
      </w:pPr>
      <w:r>
        <w:t>Removed one-off document patch scripts whose changes were already incorporated.</w:t>
      </w:r>
    </w:p>
    <w:p>
      <w:pPr>
        <w:pStyle w:val="ListBullet"/>
      </w:pPr>
      <w:r>
        <w:t>Excluded virtual environments, IDE files, caches, downloaded data, generated outputs, serialized models and logs.</w:t>
      </w:r>
    </w:p>
    <w:p>
      <w:pPr>
        <w:pStyle w:val="ListBullet"/>
      </w:pPr>
      <w:r>
        <w:t>Added .env.example; the real Tushare token must never be committed.</w:t>
      </w:r>
    </w:p>
    <w:p>
      <w:pPr>
        <w:pStyle w:val="ListBullet"/>
      </w:pPr>
      <w:r>
        <w:t>Replaced user-specific absolute paths in maintained source and public reports.</w:t>
      </w:r>
    </w:p>
    <w:p>
      <w:pPr>
        <w:pStyle w:val="Heading2"/>
      </w:pPr>
      <w:r>
        <w:t>Automated verification</w:t>
      </w:r>
    </w:p>
    <w:p>
      <w:r>
        <w:t>Six pytest tests passed locally. They check executable target timing, longer-horizon date ordering, the exact five-model scope, interaction hierarchy, mutually exclusive 0-4 regime labels, and agreement between the analytic Huber gradient and a finite-difference approximation. GitHub Actions runs pytest on every push and pull request.</w:t>
      </w:r>
    </w:p>
    <w:p>
      <w:pPr>
        <w:pStyle w:val="Heading2"/>
      </w:pPr>
      <w:r>
        <w:t>Version-control rule</w:t>
      </w:r>
    </w:p>
    <w:p>
      <w:r>
        <w:t>Future experiments should use focused commits with the code, configuration, tests and compact report required to reproduce the decision. Full market data, credentials and unreviewed generated artifacts remain local.</w:t>
      </w:r>
    </w:p>
    <w:p>
      <w:pPr>
        <w:pStyle w:val="Heading1"/>
      </w:pPr>
      <w:r>
        <w:t>Fair 19-Block Rolling Huber Validation - 2026-07-22</w:t>
      </w:r>
    </w:p>
    <w:p>
      <w:r>
        <w:t>The prior expanding-window proposal would give later models more training observations. The maintained fairness experiment instead divides the usable sample into 19 equal chronological blocks. Each of ten Huber models trains on the immediately preceding nine blocks and predicts the next block.</w:t>
      </w:r>
    </w:p>
    <w:p>
      <w:pPr>
        <w:pStyle w:val="Heading2"/>
      </w:pPr>
      <w:r>
        <w:t>Exact construction</w:t>
      </w:r>
    </w:p>
    <w:p>
      <w:pPr>
        <w:pStyle w:val="ListBullet"/>
      </w:pPr>
      <w:r>
        <w:t>Available event-filtered observations: 2,728.</w:t>
      </w:r>
    </w:p>
    <w:p>
      <w:pPr>
        <w:pStyle w:val="ListBullet"/>
      </w:pPr>
      <w:r>
        <w:t>Equal blocks: 19 blocks of 143 observations.</w:t>
      </w:r>
    </w:p>
    <w:p>
      <w:pPr>
        <w:pStyle w:val="ListBullet"/>
      </w:pPr>
      <w:r>
        <w:t>Oldest remainder excluded from this diagnostic: 11 observations.</w:t>
      </w:r>
    </w:p>
    <w:p>
      <w:pPr>
        <w:pStyle w:val="ListBullet"/>
      </w:pPr>
      <w:r>
        <w:t>Training observations per model: 1,287.</w:t>
      </w:r>
    </w:p>
    <w:p>
      <w:pPr>
        <w:pStyle w:val="ListBullet"/>
      </w:pPr>
      <w:r>
        <w:t>Test observations per model: 143.</w:t>
      </w:r>
    </w:p>
    <w:p>
      <w:pPr>
        <w:pStyle w:val="ListBullet"/>
      </w:pPr>
      <w:r>
        <w:t>Combined leakage-free test predictions: 1,430.</w:t>
      </w:r>
    </w:p>
    <w:p>
      <w:pPr>
        <w:pStyle w:val="ListBullet"/>
      </w:pPr>
      <w:r>
        <w:t>Fixed model definition: current 14 features, Huber epsilon=1.1 and alpha=0.001.</w:t>
      </w:r>
    </w:p>
    <w:p>
      <w:r>
        <w:t>Model 1 trains on blocks 1-9 and tests block 10. The window then moves forward one block at a time. Model 10 trains on blocks 10-18 and tests block 19. Every training date precedes its test dates, and every training target is observable by the first signal date of the corresponding test block.</w:t>
      </w:r>
    </w:p>
    <w:p>
      <w:pPr>
        <w:pStyle w:val="Heading2"/>
      </w:pPr>
      <w:r>
        <w:t>Leakage-free amount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Growth MAE</w:t>
            </w:r>
          </w:p>
        </w:tc>
        <w:tc>
          <w:tcPr>
            <w:tcW w:type="dxa" w:w="4968"/>
          </w:tcPr>
          <w:p>
            <w:r>
              <w:t>0.639 percentage points</w:t>
            </w:r>
          </w:p>
        </w:tc>
      </w:tr>
      <w:tr>
        <w:tc>
          <w:tcPr>
            <w:tcW w:type="dxa" w:w="4968"/>
          </w:tcPr>
          <w:p>
            <w:r>
              <w:t>Growth RMSE</w:t>
            </w:r>
          </w:p>
        </w:tc>
        <w:tc>
          <w:tcPr>
            <w:tcW w:type="dxa" w:w="4968"/>
          </w:tcPr>
          <w:p>
            <w:r>
              <w:t>0.908 percentage points</w:t>
            </w:r>
          </w:p>
        </w:tc>
      </w:tr>
      <w:tr>
        <w:tc>
          <w:tcPr>
            <w:tcW w:type="dxa" w:w="4968"/>
          </w:tcPr>
          <w:p>
            <w:r>
              <w:t>Growth-magnitude MAE</w:t>
            </w:r>
          </w:p>
        </w:tc>
        <w:tc>
          <w:tcPr>
            <w:tcW w:type="dxa" w:w="4968"/>
          </w:tcPr>
          <w:p>
            <w:r>
              <w:t>0.517 percentage points</w:t>
            </w:r>
          </w:p>
        </w:tc>
      </w:tr>
      <w:tr>
        <w:tc>
          <w:tcPr>
            <w:tcW w:type="dxa" w:w="4968"/>
          </w:tcPr>
          <w:p>
            <w:r>
              <w:t>Growth bias</w:t>
            </w:r>
          </w:p>
        </w:tc>
        <w:tc>
          <w:tcPr>
            <w:tcW w:type="dxa" w:w="4968"/>
          </w:tcPr>
          <w:p>
            <w:r>
              <w:t>-0.011 percentage points</w:t>
            </w:r>
          </w:p>
        </w:tc>
      </w:tr>
      <w:tr>
        <w:tc>
          <w:tcPr>
            <w:tcW w:type="dxa" w:w="4968"/>
          </w:tcPr>
          <w:p>
            <w:r>
              <w:t>Price-change MAE</w:t>
            </w:r>
          </w:p>
        </w:tc>
        <w:tc>
          <w:tcPr>
            <w:tcW w:type="dxa" w:w="4968"/>
          </w:tcPr>
          <w:p>
            <w:r>
              <w:t>3.531 CNY/gram</w:t>
            </w:r>
          </w:p>
        </w:tc>
      </w:tr>
      <w:tr>
        <w:tc>
          <w:tcPr>
            <w:tcW w:type="dxa" w:w="4968"/>
          </w:tcPr>
          <w:p>
            <w:r>
              <w:t>Price-change RMSE</w:t>
            </w:r>
          </w:p>
        </w:tc>
        <w:tc>
          <w:tcPr>
            <w:tcW w:type="dxa" w:w="4968"/>
          </w:tcPr>
          <w:p>
            <w:r>
              <w:t>5.640 CNY/gram</w:t>
            </w:r>
          </w:p>
        </w:tc>
      </w:tr>
    </w:tbl>
    <w:p>
      <w:pPr>
        <w:pStyle w:val="Heading2"/>
      </w:pPr>
      <w:r>
        <w:t>Window and coefficient stability</w:t>
      </w:r>
    </w:p>
    <w:p>
      <w:r>
        <w:t>Growth MAE ranged from 0.428 to 0.817 percentage points. Model 5 (2022-10-14 to 2023-05-16) had the lowest MAE; model 10 (2025-10-20 to 2026-06-23) had the highest. XAUUSD daily return, the momentum-volatility interaction, premium change, breakeven inflation and volatility retained the same coefficient sign in all ten models. USD/CNH daily return and the 20-day moving-average gap were the least sign-stable.</w:t>
      </w:r>
    </w:p>
    <w:p>
      <w:pPr>
        <w:pStyle w:val="Heading2"/>
      </w:pPr>
      <w:r>
        <w:t>Interpretation</w:t>
      </w:r>
    </w:p>
    <w:p>
      <w:r>
        <w:t>The new MAE is higher than the old blocked ten-fold diagnostic, which is expected because the new training windows contain no dates after their test blocks. The two error totals are not perfectly comparable because they cover different test rows. The 19-block result is now the primary fair validation; the old ten-fold rotation remains only a coefficient-stability diagnostic.</w:t>
      </w:r>
    </w:p>
    <w:p>
      <w:pPr>
        <w:pStyle w:val="Heading2"/>
      </w:pPr>
      <w:r>
        <w:t>Reproducibility outputs</w:t>
      </w:r>
    </w:p>
    <w:p>
      <w:pPr>
        <w:pStyle w:val="ListBullet"/>
      </w:pPr>
      <w:r>
        <w:t>huber_rolling_19block_cv.py</w:t>
      </w:r>
    </w:p>
    <w:p>
      <w:pPr>
        <w:pStyle w:val="ListBullet"/>
      </w:pPr>
      <w:r>
        <w:t>outputs/huber_rolling_19block/models/</w:t>
      </w:r>
    </w:p>
    <w:p>
      <w:pPr>
        <w:pStyle w:val="ListBullet"/>
      </w:pPr>
      <w:r>
        <w:t>outputs/huber_rolling_19block/rolling_overall_metrics.csv</w:t>
      </w:r>
    </w:p>
    <w:p>
      <w:pPr>
        <w:pStyle w:val="ListBullet"/>
      </w:pPr>
      <w:r>
        <w:t>outputs/huber_rolling_19block/rolling_fold_metrics.csv</w:t>
      </w:r>
    </w:p>
    <w:p>
      <w:pPr>
        <w:pStyle w:val="ListBullet"/>
      </w:pPr>
      <w:r>
        <w:t>outputs/huber_rolling_19block/rolling_oos_predictions.csv</w:t>
      </w:r>
    </w:p>
    <w:p>
      <w:pPr>
        <w:pStyle w:val="ListBullet"/>
      </w:pPr>
      <w:r>
        <w:t>outputs/huber_rolling_19block/rolling_coefficient_stability.csv</w:t>
      </w:r>
    </w:p>
    <w:p>
      <w:pPr>
        <w:pStyle w:val="ListBullet"/>
      </w:pPr>
      <w:r>
        <w:t>reports/huber_rolling_19block_predictions.png</w:t>
      </w:r>
    </w:p>
    <w:p>
      <w:pPr>
        <w:pStyle w:val="ListBullet"/>
      </w:pPr>
      <w:r>
        <w:t>reports/huber_rolling_19block_fold_errors.png</w:t>
      </w:r>
    </w:p>
    <w:p>
      <w:pPr>
        <w:pStyle w:val="Heading1"/>
      </w:pPr>
      <w:r>
        <w:t>Locked Block 19 common model test</w:t>
      </w:r>
    </w:p>
    <w:p>
      <w:r>
        <w:t>The dataset remains divided into 19 equal chronological blocks of 143 observations. Blocks 1-18 form the development area. Rolling development predictions train on nine immediately preceding blocks and score Blocks 10-18. Block 19 is excluded from all model fitting and voting-weight calculation, then used as the common 143-row test period.</w:t>
      </w:r>
    </w:p>
    <w:p>
      <w:r>
        <w:t>Final OLS, Ridge, Lasso, Elastic Net and Bagged Huber models all use the same 1,287 observations from Blocks 10-18. Continuous voting weights are the normalized inverse of each model's development out-of-sample growth MAE, so a larger amount error receives a smaller weight.</w:t>
      </w:r>
    </w:p>
    <w:tbl>
      <w:tblPr>
        <w:tblStyle w:val="TableGrid"/>
        <w:tblW w:type="auto" w:w="0"/>
        <w:tblLayout w:type="fixed"/>
        <w:tblLook w:firstColumn="1" w:firstRow="1" w:lastColumn="0" w:lastRow="0" w:noHBand="0" w:noVBand="1" w:val="04A0"/>
      </w:tblPr>
      <w:tblGrid>
        <w:gridCol w:w="3312"/>
        <w:gridCol w:w="3312"/>
        <w:gridCol w:w="3312"/>
      </w:tblGrid>
      <w:tr>
        <w:tc>
          <w:tcPr>
            <w:tcW w:type="dxa" w:w="3456"/>
            <w:vAlign w:val="center"/>
          </w:tcPr>
          <w:p>
            <w:r>
              <w:t>Candidate</w:t>
            </w:r>
          </w:p>
        </w:tc>
        <w:tc>
          <w:tcPr>
            <w:tcW w:type="dxa" w:w="2592"/>
            <w:vAlign w:val="center"/>
          </w:tcPr>
          <w:p>
            <w:r>
              <w:t>Growth MAE (pp)</w:t>
            </w:r>
          </w:p>
        </w:tc>
        <w:tc>
          <w:tcPr>
            <w:tcW w:type="dxa" w:w="3312"/>
            <w:vAlign w:val="center"/>
          </w:tcPr>
          <w:p>
            <w:r>
              <w:t>Price-change MAE (CNY/g)</w:t>
            </w:r>
          </w:p>
        </w:tc>
      </w:tr>
      <w:tr>
        <w:tc>
          <w:tcPr>
            <w:tcW w:type="dxa" w:w="3456"/>
            <w:vAlign w:val="center"/>
          </w:tcPr>
          <w:p>
            <w:r>
              <w:t>BaggedHuber</w:t>
            </w:r>
          </w:p>
        </w:tc>
        <w:tc>
          <w:tcPr>
            <w:tcW w:type="dxa" w:w="2592"/>
            <w:vAlign w:val="center"/>
          </w:tcPr>
          <w:p>
            <w:r>
              <w:t>0.797</w:t>
            </w:r>
          </w:p>
        </w:tc>
        <w:tc>
          <w:tcPr>
            <w:tcW w:type="dxa" w:w="3312"/>
            <w:vAlign w:val="center"/>
          </w:tcPr>
          <w:p>
            <w:r>
              <w:t>8.065</w:t>
            </w:r>
          </w:p>
        </w:tc>
      </w:tr>
      <w:tr>
        <w:tc>
          <w:tcPr>
            <w:tcW w:type="dxa" w:w="3456"/>
            <w:vAlign w:val="center"/>
          </w:tcPr>
          <w:p>
            <w:r>
              <w:t>WeightedEnsemble</w:t>
            </w:r>
          </w:p>
        </w:tc>
        <w:tc>
          <w:tcPr>
            <w:tcW w:type="dxa" w:w="2592"/>
            <w:vAlign w:val="center"/>
          </w:tcPr>
          <w:p>
            <w:r>
              <w:t>0.816</w:t>
            </w:r>
          </w:p>
        </w:tc>
        <w:tc>
          <w:tcPr>
            <w:tcW w:type="dxa" w:w="3312"/>
            <w:vAlign w:val="center"/>
          </w:tcPr>
          <w:p>
            <w:r>
              <w:t>8.257</w:t>
            </w:r>
          </w:p>
        </w:tc>
      </w:tr>
      <w:tr>
        <w:tc>
          <w:tcPr>
            <w:tcW w:type="dxa" w:w="3456"/>
            <w:vAlign w:val="center"/>
          </w:tcPr>
          <w:p>
            <w:r>
              <w:t>Lasso</w:t>
            </w:r>
          </w:p>
        </w:tc>
        <w:tc>
          <w:tcPr>
            <w:tcW w:type="dxa" w:w="2592"/>
            <w:vAlign w:val="center"/>
          </w:tcPr>
          <w:p>
            <w:r>
              <w:t>0.823</w:t>
            </w:r>
          </w:p>
        </w:tc>
        <w:tc>
          <w:tcPr>
            <w:tcW w:type="dxa" w:w="3312"/>
            <w:vAlign w:val="center"/>
          </w:tcPr>
          <w:p>
            <w:r>
              <w:t>8.342</w:t>
            </w:r>
          </w:p>
        </w:tc>
      </w:tr>
      <w:tr>
        <w:tc>
          <w:tcPr>
            <w:tcW w:type="dxa" w:w="3456"/>
            <w:vAlign w:val="center"/>
          </w:tcPr>
          <w:p>
            <w:r>
              <w:t>ElasticNet</w:t>
            </w:r>
          </w:p>
        </w:tc>
        <w:tc>
          <w:tcPr>
            <w:tcW w:type="dxa" w:w="2592"/>
            <w:vAlign w:val="center"/>
          </w:tcPr>
          <w:p>
            <w:r>
              <w:t>0.824</w:t>
            </w:r>
          </w:p>
        </w:tc>
        <w:tc>
          <w:tcPr>
            <w:tcW w:type="dxa" w:w="3312"/>
            <w:vAlign w:val="center"/>
          </w:tcPr>
          <w:p>
            <w:r>
              <w:t>8.345</w:t>
            </w:r>
          </w:p>
        </w:tc>
      </w:tr>
      <w:tr>
        <w:tc>
          <w:tcPr>
            <w:tcW w:type="dxa" w:w="3456"/>
            <w:vAlign w:val="center"/>
          </w:tcPr>
          <w:p>
            <w:r>
              <w:t>Ridge</w:t>
            </w:r>
          </w:p>
        </w:tc>
        <w:tc>
          <w:tcPr>
            <w:tcW w:type="dxa" w:w="2592"/>
            <w:vAlign w:val="center"/>
          </w:tcPr>
          <w:p>
            <w:r>
              <w:t>0.824</w:t>
            </w:r>
          </w:p>
        </w:tc>
        <w:tc>
          <w:tcPr>
            <w:tcW w:type="dxa" w:w="3312"/>
            <w:vAlign w:val="center"/>
          </w:tcPr>
          <w:p>
            <w:r>
              <w:t>8.345</w:t>
            </w:r>
          </w:p>
        </w:tc>
      </w:tr>
      <w:tr>
        <w:tc>
          <w:tcPr>
            <w:tcW w:type="dxa" w:w="3456"/>
            <w:vAlign w:val="center"/>
          </w:tcPr>
          <w:p>
            <w:r>
              <w:t>OLS</w:t>
            </w:r>
          </w:p>
        </w:tc>
        <w:tc>
          <w:tcPr>
            <w:tcW w:type="dxa" w:w="2592"/>
            <w:vAlign w:val="center"/>
          </w:tcPr>
          <w:p>
            <w:r>
              <w:t>0.824</w:t>
            </w:r>
          </w:p>
        </w:tc>
        <w:tc>
          <w:tcPr>
            <w:tcW w:type="dxa" w:w="3312"/>
            <w:vAlign w:val="center"/>
          </w:tcPr>
          <w:p>
            <w:r>
              <w:t>8.345</w:t>
            </w:r>
          </w:p>
        </w:tc>
      </w:tr>
    </w:tbl>
    <w:p>
      <w:r>
        <w:t>Result: Bagged Huber is the current selection. The weighted ensemble does not beat it on the locked common holdout. Development errors were nearly identical, producing weights close to 20% each, while the four ordinary linear models also made almost identical forecasts. Voting therefore added little independent information.</w:t>
      </w:r>
    </w:p>
    <w:p>
      <w:r>
        <w:t>Holdout qualification: the new program enforces computational isolation of Block 19, but an earlier rolling Huber diagnostic already exposed this period's outcome. It is a locked common holdout from this point forward, not a restored pristine human-blind test. A genuinely untouched final test requires future observations not previously inspected.</w:t>
      </w:r>
    </w:p>
    <w:p>
      <w:pPr>
        <w:pStyle w:val="Heading1"/>
      </w:pPr>
      <w:r>
        <w:t>Locked Block 19 Bagged Huber position and P&amp;L ledger</w:t>
      </w:r>
    </w:p>
    <w:p>
      <w:r>
        <w:t>The trading rule uses only rolling out-of-sample Bagged Huber forecasts from Blocks 10-18 for threshold and position-size selection. A signal is formed after the signal-date close, entered at the next session's open, and closed at that same session's close. The current ledger is a theoretical direct-Au99.99 long/flat simulation, not an ETF execution test.</w:t>
      </w:r>
    </w:p>
    <w:p>
      <w:r>
        <w:t>The primary development-selected rule takes no position when the forecast is non-positive. For a positive forecast, target weight equals predicted growth divided by 0.5 times the strictly lagged 20-day realized volatility, capped between zero and 100%. Starting capital is CNY 100,000. Default research costs are 3 basis points commission and 2 basis points adverse slippage per side.</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c>
          <w:tcPr>
            <w:tcW w:type="dxa" w:w="3312"/>
            <w:vAlign w:val="center"/>
          </w:tcPr>
          <w:p>
            <w:r>
              <w:t>Strategy</w:t>
            </w:r>
          </w:p>
        </w:tc>
        <w:tc>
          <w:tcPr>
            <w:tcW w:type="dxa" w:w="1008"/>
            <w:vAlign w:val="center"/>
          </w:tcPr>
          <w:p>
            <w:r>
              <w:t>Trades</w:t>
            </w:r>
          </w:p>
        </w:tc>
        <w:tc>
          <w:tcPr>
            <w:tcW w:type="dxa" w:w="1584"/>
            <w:vAlign w:val="center"/>
          </w:tcPr>
          <w:p>
            <w:r>
              <w:t>Total return</w:t>
            </w:r>
          </w:p>
        </w:tc>
        <w:tc>
          <w:tcPr>
            <w:tcW w:type="dxa" w:w="1152"/>
            <w:vAlign w:val="center"/>
          </w:tcPr>
          <w:p>
            <w:r>
              <w:t>Sharpe</w:t>
            </w:r>
          </w:p>
        </w:tc>
        <w:tc>
          <w:tcPr>
            <w:tcW w:type="dxa" w:w="1728"/>
            <w:vAlign w:val="center"/>
          </w:tcPr>
          <w:p>
            <w:r>
              <w:t>Max drawdown</w:t>
            </w:r>
          </w:p>
        </w:tc>
      </w:tr>
      <w:tr>
        <w:tc>
          <w:tcPr>
            <w:tcW w:type="dxa" w:w="3312"/>
            <w:vAlign w:val="center"/>
          </w:tcPr>
          <w:p>
            <w:r>
              <w:t>Development-selected volatility sizing</w:t>
            </w:r>
          </w:p>
        </w:tc>
        <w:tc>
          <w:tcPr>
            <w:tcW w:type="dxa" w:w="1008"/>
            <w:vAlign w:val="center"/>
          </w:tcPr>
          <w:p>
            <w:r>
              <w:t>87</w:t>
            </w:r>
          </w:p>
        </w:tc>
        <w:tc>
          <w:tcPr>
            <w:tcW w:type="dxa" w:w="1584"/>
            <w:vAlign w:val="center"/>
          </w:tcPr>
          <w:p>
            <w:r>
              <w:t>27.54%</w:t>
            </w:r>
          </w:p>
        </w:tc>
        <w:tc>
          <w:tcPr>
            <w:tcW w:type="dxa" w:w="1152"/>
            <w:vAlign w:val="center"/>
          </w:tcPr>
          <w:p>
            <w:r>
              <w:t>3.75</w:t>
            </w:r>
          </w:p>
        </w:tc>
        <w:tc>
          <w:tcPr>
            <w:tcW w:type="dxa" w:w="1728"/>
            <w:vAlign w:val="center"/>
          </w:tcPr>
          <w:p>
            <w:r>
              <w:t>-4.02%</w:t>
            </w:r>
          </w:p>
        </w:tc>
      </w:tr>
      <w:tr>
        <w:tc>
          <w:tcPr>
            <w:tcW w:type="dxa" w:w="3312"/>
            <w:vAlign w:val="center"/>
          </w:tcPr>
          <w:p>
            <w:r>
              <w:t>Cost-threshold full position</w:t>
            </w:r>
          </w:p>
        </w:tc>
        <w:tc>
          <w:tcPr>
            <w:tcW w:type="dxa" w:w="1008"/>
            <w:vAlign w:val="center"/>
          </w:tcPr>
          <w:p>
            <w:r>
              <w:t>75</w:t>
            </w:r>
          </w:p>
        </w:tc>
        <w:tc>
          <w:tcPr>
            <w:tcW w:type="dxa" w:w="1584"/>
            <w:vAlign w:val="center"/>
          </w:tcPr>
          <w:p>
            <w:r>
              <w:t>27.50%</w:t>
            </w:r>
          </w:p>
        </w:tc>
        <w:tc>
          <w:tcPr>
            <w:tcW w:type="dxa" w:w="1152"/>
            <w:vAlign w:val="center"/>
          </w:tcPr>
          <w:p>
            <w:r>
              <w:t>3.19</w:t>
            </w:r>
          </w:p>
        </w:tc>
        <w:tc>
          <w:tcPr>
            <w:tcW w:type="dxa" w:w="1728"/>
            <w:vAlign w:val="center"/>
          </w:tcPr>
          <w:p>
            <w:r>
              <w:t>-4.70%</w:t>
            </w:r>
          </w:p>
        </w:tc>
      </w:tr>
      <w:tr>
        <w:tc>
          <w:tcPr>
            <w:tcW w:type="dxa" w:w="3312"/>
            <w:vAlign w:val="center"/>
          </w:tcPr>
          <w:p>
            <w:r>
              <w:t>Zero-threshold full position</w:t>
            </w:r>
          </w:p>
        </w:tc>
        <w:tc>
          <w:tcPr>
            <w:tcW w:type="dxa" w:w="1008"/>
            <w:vAlign w:val="center"/>
          </w:tcPr>
          <w:p>
            <w:r>
              <w:t>87</w:t>
            </w:r>
          </w:p>
        </w:tc>
        <w:tc>
          <w:tcPr>
            <w:tcW w:type="dxa" w:w="1584"/>
            <w:vAlign w:val="center"/>
          </w:tcPr>
          <w:p>
            <w:r>
              <w:t>25.78%</w:t>
            </w:r>
          </w:p>
        </w:tc>
        <w:tc>
          <w:tcPr>
            <w:tcW w:type="dxa" w:w="1152"/>
            <w:vAlign w:val="center"/>
          </w:tcPr>
          <w:p>
            <w:r>
              <w:t>2.78</w:t>
            </w:r>
          </w:p>
        </w:tc>
        <w:tc>
          <w:tcPr>
            <w:tcW w:type="dxa" w:w="1728"/>
            <w:vAlign w:val="center"/>
          </w:tcPr>
          <w:p>
            <w:r>
              <w:t>-6.76%</w:t>
            </w:r>
          </w:p>
        </w:tc>
      </w:tr>
      <w:tr>
        <w:tc>
          <w:tcPr>
            <w:tcW w:type="dxa" w:w="3312"/>
            <w:vAlign w:val="center"/>
          </w:tcPr>
          <w:p>
            <w:r>
              <w:t>Always flat</w:t>
            </w:r>
          </w:p>
        </w:tc>
        <w:tc>
          <w:tcPr>
            <w:tcW w:type="dxa" w:w="1008"/>
            <w:vAlign w:val="center"/>
          </w:tcPr>
          <w:p>
            <w:r>
              <w:t>0</w:t>
            </w:r>
          </w:p>
        </w:tc>
        <w:tc>
          <w:tcPr>
            <w:tcW w:type="dxa" w:w="1584"/>
            <w:vAlign w:val="center"/>
          </w:tcPr>
          <w:p>
            <w:r>
              <w:t>0.00%</w:t>
            </w:r>
          </w:p>
        </w:tc>
        <w:tc>
          <w:tcPr>
            <w:tcW w:type="dxa" w:w="1152"/>
            <w:vAlign w:val="center"/>
          </w:tcPr>
          <w:p>
            <w:r>
              <w:t>0.00</w:t>
            </w:r>
          </w:p>
        </w:tc>
        <w:tc>
          <w:tcPr>
            <w:tcW w:type="dxa" w:w="1728"/>
            <w:vAlign w:val="center"/>
          </w:tcPr>
          <w:p>
            <w:r>
              <w:t>0.00%</w:t>
            </w:r>
          </w:p>
        </w:tc>
      </w:tr>
      <w:tr>
        <w:tc>
          <w:tcPr>
            <w:tcW w:type="dxa" w:w="3312"/>
            <w:vAlign w:val="center"/>
          </w:tcPr>
          <w:p>
            <w:r>
              <w:t>Buy and hold</w:t>
            </w:r>
          </w:p>
        </w:tc>
        <w:tc>
          <w:tcPr>
            <w:tcW w:type="dxa" w:w="1008"/>
            <w:vAlign w:val="center"/>
          </w:tcPr>
          <w:p>
            <w:r>
              <w:t>1</w:t>
            </w:r>
          </w:p>
        </w:tc>
        <w:tc>
          <w:tcPr>
            <w:tcW w:type="dxa" w:w="1584"/>
            <w:vAlign w:val="center"/>
          </w:tcPr>
          <w:p>
            <w:r>
              <w:t>-8.55%</w:t>
            </w:r>
          </w:p>
        </w:tc>
        <w:tc>
          <w:tcPr>
            <w:tcW w:type="dxa" w:w="1152"/>
            <w:vAlign w:val="center"/>
          </w:tcPr>
          <w:p>
            <w:r>
              <w:t>-0.47</w:t>
            </w:r>
          </w:p>
        </w:tc>
        <w:tc>
          <w:tcPr>
            <w:tcW w:type="dxa" w:w="1728"/>
            <w:vAlign w:val="center"/>
          </w:tcPr>
          <w:p>
            <w:r>
              <w:t>-22.29%</w:t>
            </w:r>
          </w:p>
        </w:tc>
      </w:tr>
      <w:tr>
        <w:tc>
          <w:tcPr>
            <w:tcW w:type="dxa" w:w="3312"/>
            <w:vAlign w:val="center"/>
          </w:tcPr>
          <w:p>
            <w:r>
              <w:t>Always-long intraday</w:t>
            </w:r>
          </w:p>
        </w:tc>
        <w:tc>
          <w:tcPr>
            <w:tcW w:type="dxa" w:w="1008"/>
            <w:vAlign w:val="center"/>
          </w:tcPr>
          <w:p>
            <w:r>
              <w:t>143</w:t>
            </w:r>
          </w:p>
        </w:tc>
        <w:tc>
          <w:tcPr>
            <w:tcW w:type="dxa" w:w="1584"/>
            <w:vAlign w:val="center"/>
          </w:tcPr>
          <w:p>
            <w:r>
              <w:t>-17.90%</w:t>
            </w:r>
          </w:p>
        </w:tc>
        <w:tc>
          <w:tcPr>
            <w:tcW w:type="dxa" w:w="1152"/>
            <w:vAlign w:val="center"/>
          </w:tcPr>
          <w:p>
            <w:r>
              <w:t>-1.61</w:t>
            </w:r>
          </w:p>
        </w:tc>
        <w:tc>
          <w:tcPr>
            <w:tcW w:type="dxa" w:w="1728"/>
            <w:vAlign w:val="center"/>
          </w:tcPr>
          <w:p>
            <w:r>
              <w:t>-24.80%</w:t>
            </w:r>
          </w:p>
        </w:tc>
      </w:tr>
    </w:tbl>
    <w:p>
      <w:r>
        <w:t>The primary rule earns CNY 27,542 net of approximately CNY 5,752 trading costs in the locked period. Its total return remains 21.40% when both commission and slippage assumptions are doubled. Every trade and capital transition reconciles as gross P&amp;L minus slippage and commission.</w:t>
      </w:r>
    </w:p>
    <w:p>
      <w:r>
        <w:t>Stability warning: only six of the nine development blocks are profitable. The strategy loses money in several 2020-2022 blocks and performs strongly from late 2022 onward, indicating regime dependence. The 27.54% result is not a live-performance claim. Fractional grams, fixed costs and direct Au99.99 prices will not reproduce ETF or futures execution. Block 19 is computationally excluded from rule selection but was exposed in earlier model diagnostics.</w:t>
      </w:r>
    </w:p>
    <w:p>
      <w:r>
        <w:br w:type="page"/>
      </w:r>
    </w:p>
    <w:p>
      <w:pPr>
        <w:pStyle w:val="Heading1"/>
      </w:pPr>
      <w:r>
        <w:t>International XAU/USD source migration - 2026-07-24</w:t>
      </w:r>
    </w:p>
    <w:p>
      <w:r>
        <w:t>The maintained prediction target has been switched from Shanghai Gold Exchange Au99.99 in CNY per gram to FXCM XAU/USD in USD per troy ounce. The old Chinese-gold code remains as a legacy comparison and is not used by the new international target loader.</w:t>
      </w:r>
    </w:p>
    <w:p>
      <w:pPr>
        <w:pStyle w:val="Heading2"/>
      </w:pPr>
      <w:r>
        <w:t>Source and target rules</w:t>
      </w:r>
    </w:p>
    <w:p>
      <w:pPr>
        <w:pStyle w:val="ListBullet"/>
      </w:pPr>
      <w:r>
        <w:t>Preferred source: Tushare fx_daily, XAUUSD.FXCM, with GMT-dated bid and ask OHLC fields.</w:t>
      </w:r>
    </w:p>
    <w:p>
      <w:pPr>
        <w:pStyle w:val="ListBullet"/>
      </w:pPr>
      <w:r>
        <w:t>Preferred horizon-one label: log(next-session mid close / next-session mid open).</w:t>
      </w:r>
    </w:p>
    <w:p>
      <w:pPr>
        <w:pStyle w:val="ListBullet"/>
      </w:pPr>
      <w:r>
        <w:t>Current fallback: recover the previously cached Tushare/FXCM mid-close sequence and undo its old one-session Shanghai alignment.</w:t>
      </w:r>
    </w:p>
    <w:p>
      <w:pPr>
        <w:pStyle w:val="ListBullet"/>
      </w:pPr>
      <w:r>
        <w:t>Fallback label: log(next-session mid close / signal-session mid close). It is research-only because no next open or spread exists.</w:t>
      </w:r>
    </w:p>
    <w:p>
      <w:pPr>
        <w:pStyle w:val="ListBullet"/>
      </w:pPr>
      <w:r>
        <w:t>SGE price, Shanghai premium, and SHFE gold variables are excluded from the international target model.</w:t>
      </w:r>
    </w:p>
    <w:p>
      <w:pPr>
        <w:pStyle w:val="Heading2"/>
      </w:pPr>
      <w:r>
        <w:t>Leakage controls and model comparison</w:t>
      </w:r>
    </w:p>
    <w:p>
      <w:r>
        <w:t>The usable international sample is divided into 19 equal chronological blocks of 163 observations after excluding 17 oldest remainder rows. Blocks 1-9 select features using the existing p-value-constrained AIC rule. Block 10 selects model parameters by growth MAE. Blocks 11-18 estimate normalized inverse-growth-MAE voting weights. Blocks 10-18 fit the frozen final models, with unavailable end labels purged, and Block 19 is opened only for the common comparison.</w:t>
      </w:r>
    </w:p>
    <w:p>
      <w:r>
        <w:t>The five candidates remain OLS, Ridge, Lasso, Elastic Net, and moving-block-bagged Huber. Directional accuracy is not an objective; the reported quantities are growth MAE/RMSE in percentage points and price MAE/RMSE in USD per troy ounce.</w:t>
      </w:r>
    </w:p>
    <w:p>
      <w:pPr>
        <w:pStyle w:val="Heading2"/>
      </w:pPr>
      <w:r>
        <w:t>First international result</w:t>
      </w:r>
    </w:p>
    <w:p>
      <w:r>
        <w:t>The current Tushare token failed the FXCM endpoint smoke test, so the completed run used the verified close-only fallback. Training-only AIC retained seven factors: one-session XAU/USD return, five-session XAU/USD momentum, 20-session XAU/USD volatility, one-session oil return, one-session real-yield change, 10-year breakeven inflation, and the GVZ level.</w:t>
      </w:r>
    </w:p>
    <w:p>
      <w:r>
        <w:t>On Block 19, the zero-return baseline had the lowest growth MAE at 1.2775 percentage points. Lasso and Elastic Net each had 1.2781; the weighted ensemble had 1.2807. The best model therefore did not beat the zero forecast. The price graph looks much closer than the return graph because each predicted next close starts from the known current close; that visual persistence is not forecast skill.</w:t>
      </w:r>
    </w:p>
    <w:p>
      <w:r>
        <w:t>Decision: the data-source migration is complete, but the present international close-to-close model is not eligible for a trading P&amp;L claim. The next data step is to restore a valid fx_daily token, rerun with --target-mode open_to_close, and evaluate bid/ask-aware execution before designing a strategy.</w:t>
      </w:r>
    </w:p>
    <w:p>
      <w:pPr>
        <w:pStyle w:val="Heading2"/>
      </w:pPr>
      <w:r>
        <w:t>Reproduction</w:t>
      </w:r>
    </w:p>
    <w:p>
      <w:r>
        <w:t>Run: python international_gold_model.py --horizon 1</w:t>
      </w:r>
    </w:p>
    <w:p>
      <w:r>
        <w:t>Require full OHLC: python international_gold_model.py --horizon 1 --refresh --target-mode open_to_close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