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4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7A5A00"/>
          <w:sz w:val="22"/>
        </w:rPr>
        <w:t>研究流程手册</w:t>
      </w:r>
    </w:p>
    <w:p>
      <w:pPr>
        <w:spacing w:after="200"/>
        <w:jc w:val="center"/>
      </w:pPr>
      <w:r>
        <w:rPr>
          <w:rFonts w:ascii="Calibri" w:hAnsi="Calibri" w:eastAsia="Microsoft YaHei"/>
          <w:b/>
          <w:color w:val="0B2545"/>
          <w:sz w:val="56"/>
        </w:rPr>
        <w:t>黄金量化预测项目完整流程</w:t>
      </w:r>
    </w:p>
    <w:p>
      <w:pPr>
        <w:spacing w:after="480"/>
        <w:jc w:val="center"/>
      </w:pPr>
      <w:r>
        <w:rPr>
          <w:rFonts w:ascii="Calibri" w:hAnsi="Calibri" w:eastAsia="Microsoft YaHei"/>
          <w:color w:val="1F4D78"/>
          <w:sz w:val="28"/>
        </w:rPr>
        <w:t>从数据获取、线性建模到涨跌金额误差与交易评估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当前状态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研究原型。已建立可复现的数据、建模、PCA、稳健损失、Bagging、加权平均和金额误差分析流程；尚未达到生产部署标准。</w:t>
            </w:r>
          </w:p>
        </w:tc>
      </w:tr>
    </w:tbl>
    <w:p>
      <w:pPr>
        <w:spacing w:after="40"/>
      </w:pPr>
    </w:p>
    <w:p>
      <w:pPr>
        <w:spacing w:before="0" w:after="80" w:line="300" w:lineRule="auto"/>
        <w:jc w:val="center"/>
      </w:pPr>
      <w:r>
        <w:rPr>
          <w:rFonts w:ascii="Calibri" w:hAnsi="Calibri" w:eastAsia="Microsoft YaHei"/>
          <w:b/>
          <w:i w:val="0"/>
          <w:color w:val="667085"/>
          <w:sz w:val="22"/>
        </w:rPr>
        <w:t>版本日期：2026-07-24</w:t>
      </w:r>
    </w:p>
    <w:p>
      <w:pPr>
        <w:spacing w:before="0" w:after="120" w:line="300" w:lineRule="auto"/>
        <w:jc w:val="center"/>
      </w:pPr>
      <w:r>
        <w:rPr>
          <w:rFonts w:ascii="Calibri" w:hAnsi="Calibri" w:eastAsia="Microsoft YaHei"/>
          <w:b w:val="0"/>
          <w:i w:val="0"/>
          <w:color w:val="667085"/>
          <w:sz w:val="22"/>
        </w:rPr>
        <w:t>工作目录：GitHub 项目根目录</w:t>
      </w:r>
    </w:p>
    <w:p>
      <w:r>
        <w:br w:type="page"/>
      </w:r>
    </w:p>
    <w:p>
      <w:pPr>
        <w:pStyle w:val="Heading1"/>
        <w:keepNext/>
      </w:pPr>
      <w:r>
        <w:t>使用说明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本手册记录当前项目的完整研究流程、模型决策、主要结果、已知限制及下一阶段计划。它用于项目汇报、代码复现和后续交接。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7E6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7A5A00"/>
                <w:sz w:val="21"/>
              </w:rPr>
              <w:t>重要口径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高级 PCA、损失函数和加权模型不再使用方向准确率进行选择。核心目标是预测实际涨跌幅金额，并衡量预测值与真实值在百分点和人民币/克上的差异。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流程目录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项目目标与流程总览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数据收集、缓存与时间对齐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预测目标与交易时间规则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特征工程、市场状态与异常事件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训练集、验证集与测试集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预处理 Pipeline 与统计特征选择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五类线性回归模型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Bagging、PCA 与损失函数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样本外加权平均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涨跌金额和价格变化误差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当前主要问题与下一阶段计划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已完成的十分组 Huber 实验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关键代码与输出文件</w:t>
      </w:r>
    </w:p>
    <w:p>
      <w:pPr>
        <w:pStyle w:val="Heading1"/>
        <w:keepNext/>
      </w:pPr>
      <w:r>
        <w:t>1. 项目目标与流程总览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项目目标是利用交易前已经获得的黄金、汇率、利率、通胀、原油和期货市场信息，预测 Au99.99 下一个交易时段从开盘到收盘的具体涨跌幅和价格变化。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300"/>
        <w:gridCol w:w="3360"/>
        <w:gridCol w:w="2500"/>
      </w:tblGrid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阶段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输入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处理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输出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1. 数据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Au99.99 与外部因子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下载、缓存、日期对齐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统一日频数据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2. 特征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历史价格和宏观数据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收益率、动量、波动率、溢价、交互项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候选解释变量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3. 建模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训练集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AIC、五类回归、PCA、稳健损失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候选预测模型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4. 组合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样本外预测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Bagging 与误差加权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组合预测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5. 评估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预测值与真实值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百分点误差、人民币/克误差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金额误差账本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6. 交易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最终预测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仓位、成本与持有期规则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P&amp;L 与风险指标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2. 数据收集与缓存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主要研究品种为上海黄金交易所 Au99.99。程序优先读取本地缓存，只有在缓存不存在或明确要求刷新时才重新下载。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国际现货黄金 XAU/USD。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USD/CNH 和美元相关数据。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原油价格与动量。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美国名义利率、实际利率和盈亏平衡通胀率。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VIX 与 GVZ 波动率。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上期所黄金价格、结算价、成交量和持仓量。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上海黄金相对于国际黄金的溢价。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 w:eastAsia="Consolas"/>
                <w:color w:val="0B2545"/>
                <w:sz w:val="18"/>
              </w:rPr>
              <w:t>数据缓存目录：data/</w:t>
              <w:br/>
              <w:t>外部因子缓存：data/factors/</w:t>
              <w:br/>
              <w:t>主要 Au99.99 文件：data/Au99_99_20150101_20260703.csv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3. 日期对齐与信息可用时间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全部外部数据与 Au99.99 交易日历对齐。海外市场因子根据其实际发布时间进行平移，尽量保证模型只使用预测时点之前可以获得的信息。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防止未来信息泄漏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不能因为两个市场使用同一个日历日期，就假设它们的收盘数据在中国市场开盘前已经可用。所有因子都必须按照真实信息时间检查。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预测目标与交易时间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项目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当前定义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信号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使用入场之前已经获得的信息计算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入场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下一个交易日开盘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离场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同一个交易日收盘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预测期限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一个交易时段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主要标签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开盘到收盘的对数收益率</w:t>
            </w:r>
          </w:p>
        </w:tc>
      </w:tr>
    </w:tbl>
    <w:p>
      <w:pPr>
        <w:spacing w:after="8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 w:eastAsia="Consolas"/>
                <w:color w:val="0B2545"/>
                <w:sz w:val="18"/>
              </w:rPr>
              <w:t>target_log_return = log(exit_close / entry_open)</w:t>
              <w:br/>
              <w:t>growth_pct = 100 * (exp(target_log_return) - 1)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模型内部使用对数收益率以便进行回归；最终报告使用普通百分比涨跌幅和人民币/克价格变化，便于解释和交易评估。</w:t>
      </w:r>
    </w:p>
    <w:p>
      <w:pPr>
        <w:pStyle w:val="Heading1"/>
        <w:keepNext/>
      </w:pPr>
      <w:r>
        <w:t>5. 特征工程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原始市场数据被转换为能够描述趋势、波动、相对定价和宏观环境的特征。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100"/>
        <w:gridCol w:w="45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特征类别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代表性特征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经济含义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黄金自身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一日收益、五日/二十日动量、均线偏离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短期惯性和中期趋势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波动率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二十日波动率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风险状态与预期波动幅度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国际黄金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XAU/USD 收益和动量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国际定价传导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汇率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USD/CNH 收益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人民币计价转换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通胀与利率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盈亏平衡通胀率、实际利率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持有黄金的宏观机会成本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商品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原油动量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通胀和风险环境代理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跨市场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上期所结算价收益、上海溢价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境内外价差与本地定价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当前保留的重要交互项为：五日动量 × 二十日波动率。它允许动量影响随波动率变化。</w:t>
      </w:r>
    </w:p>
    <w:p>
      <w:pPr>
        <w:pStyle w:val="Heading1"/>
        <w:keepNext/>
      </w:pPr>
      <w:r>
        <w:t>6. 市场状态与虚拟变量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2900"/>
        <w:gridCol w:w="5360"/>
      </w:tblGrid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标签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市场状态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处理方式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正常市场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基准组，全部状态虚拟变量为 0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高波动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对应虚拟变量为 1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强上涨趋势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对应虚拟变量为 1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强下跌趋势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对应虚拟变量为 1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4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流动性压力代理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对应虚拟变量为 1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状态虚拟变量和状态交互项已经进行验证测试，但没有带来足够稳定的改善。因此它们保留为诊断信息，不强制进入当前模型。</w:t>
      </w:r>
    </w:p>
    <w:p>
      <w:pPr>
        <w:pStyle w:val="Heading1"/>
        <w:keepNext/>
      </w:pPr>
      <w:r>
        <w:t>7. 异常事件处理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当前设置排除了七个异常事件窗口，共影响 30 条模型观测。这些时期涉及贸易政策、地缘政治、利率和流动性冲击。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9B1C1C"/>
                <w:sz w:val="21"/>
              </w:rPr>
              <w:t>方法论限制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这些事件窗口是在早期检查测试集残差之后确定的。因此过滤后的测试结果只能作为诊断，不能被宣传为完全未使用的独立样本证据。最终模型必须保留新的未来测试区间。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8. 训练集、验证集与测试集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1200"/>
        <w:gridCol w:w="2900"/>
        <w:gridCol w:w="37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数据部分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观测数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日期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用途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训练集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1,929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2015-02-02 至 2023-01-05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估计系数、PCA 和预处理参数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验证集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408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2023-01-17 至 2024-09-20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选择特征、模型、损失与组合方式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测试集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384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2024-10-09 至 2026-06-23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模型冻结后的诊断评估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主流程按时间顺序划分，不随机打乱交易日期。时间顺序是避免金融预测未来信息泄漏的核心要求。</w:t>
      </w:r>
    </w:p>
    <w:p>
      <w:pPr>
        <w:pStyle w:val="Heading1"/>
        <w:keepNext/>
      </w:pPr>
      <w:r>
        <w:t>9. 数据预处理 Pipeline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 w:eastAsia="Consolas"/>
                <w:color w:val="0B2545"/>
                <w:sz w:val="18"/>
              </w:rPr>
              <w:t>Pipeline([</w:t>
              <w:br/>
              <w:t xml:space="preserve">    ('imputer', SimpleImputer(strategy='median')),</w:t>
              <w:br/>
              <w:t xml:space="preserve">    ('scaler', StandardScaler()),</w:t>
              <w:br/>
              <w:t xml:space="preserve">    ('model', regression_model),</w:t>
              <w:br/>
              <w:t xml:space="preserve">]) </w:t>
            </w:r>
          </w:p>
        </w:tc>
      </w:tr>
    </w:tbl>
    <w:p>
      <w:pPr>
        <w:spacing w:after="40"/>
      </w:pP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缺失值只使用训练样本的中位数填补。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标准化参数只使用训练样本计算。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模型只接收经过相同预处理的特征。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验证集和测试集不能反向影响预处理参数。</w:t>
      </w:r>
    </w:p>
    <w:p>
      <w:pPr>
        <w:pStyle w:val="Heading1"/>
        <w:keepNext/>
      </w:pPr>
      <w:r>
        <w:t>10. 统计特征选择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100"/>
        <w:gridCol w:w="45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方法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检验对象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项目中的用途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T 检验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单个系数是否显著偏离 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识别单个弱变量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ANOVA/部分 F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一组系数是否可以同时视为 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按经济分组检查因子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AIC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拟合质量与参数数量之间的平衡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当前生产特征选择方法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BIC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对复杂度施加更强惩罚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较保守的对照模型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当前使用带 P 值约束的 AIC 后向剔除：只有 p&gt;0.05 的变量可以进入删除候选，并且删除后 AIC 必须改善。保留交互项时必须同时保留它的基础变量。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当前结果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一日预测模型最终保留 14 个 AIC 特征。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11. 五类回归模型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000"/>
        <w:gridCol w:w="36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模型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核心思想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主要作用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OLS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最小化平方误差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基础线性模型和统计解释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Ridge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L2 系数惩罚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处理共线性并稳定系数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Lasso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L1 系数惩罚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压缩并可能删除变量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Elastic Net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L1 与 L2 结合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在稀疏性和稳定性之间折中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Huber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普通误差平方损失，大误差近似线性损失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降低极端观测影响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在原始五个模型中，Huber 通常表现最好，说明稳健损失对黄金极端波动具有一定价值。</w:t>
      </w:r>
    </w:p>
    <w:p>
      <w:pPr>
        <w:pStyle w:val="Heading1"/>
        <w:keepNext/>
      </w:pPr>
      <w:r>
        <w:t>12. 移动区块 Bagging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金融时间序列中的相邻交易日可能存在依赖关系，因此项目不是随机抽取单日，而是有放回地抽取连续数据区块。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随机选择一个连续区块的起点。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抽取连续 20 条训练观测。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重复抽取直到形成一个与原训练集同等长度的 Bootstrap 样本。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对每个样本拟合一个 Huber 模型。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对 50 个模型的预测取算术平均。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 w:eastAsia="Consolas"/>
                <w:color w:val="0B2545"/>
                <w:sz w:val="18"/>
              </w:rPr>
              <w:t>block_size = 20</w:t>
              <w:br/>
              <w:t>n_estimators = 50</w:t>
              <w:br/>
              <w:t>random_state = 42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对 OLS、Ridge、Lasso 和 Elastic Net 进行 Bagging 后，验证改善没有稳定延续到测试阶段。目前只保留 Bagged Huber 作为基准。</w:t>
      </w:r>
    </w:p>
    <w:p>
      <w:pPr>
        <w:pStyle w:val="Heading1"/>
        <w:keepNext/>
      </w:pPr>
      <w:r>
        <w:t>13. 主成分分析 PCA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PCA 在中位数填补和标准化之后拟合，且只能使用训练样本。测试的主成分数量为 3、5、7、9、11、13 和 14。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2400"/>
        <w:gridCol w:w="3960"/>
      </w:tblGrid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模型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PCA 决策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说明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OLS/Ridge/Lasso/Elastic Net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拒绝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金额误差没有同时改善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Huber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选择 11 个主成分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解释约 97.8% 的标准化特征方差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PCA 单独改善较小，并会降低经济解释性；它与绝对误差损失组合时更有价值。</w:t>
      </w:r>
    </w:p>
    <w:p>
      <w:pPr>
        <w:pStyle w:val="Heading1"/>
        <w:keepNext/>
      </w:pPr>
      <w:r>
        <w:t>14. 损失函数比较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200"/>
        <w:gridCol w:w="39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损失函数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优化重点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结果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平方误差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大误差受到平方惩罚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OLS 基准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Huber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普通误差平方、大误差线性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原五模型中最好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绝对误差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最小化绝对偏差，估计条件中位数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PCA11 组合成为最强金额预测挑战者</w:t>
            </w:r>
          </w:p>
        </w:tc>
      </w:tr>
    </w:tbl>
    <w:p>
      <w:pPr>
        <w:spacing w:after="8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 w:eastAsia="Consolas"/>
                <w:color w:val="0B2545"/>
                <w:sz w:val="18"/>
              </w:rPr>
              <w:t>模型：QuantileRegressor</w:t>
              <w:br/>
              <w:t>quantile = 0.50</w:t>
              <w:br/>
              <w:t>alpha = 0</w:t>
              <w:br/>
              <w:t>PCA components = 11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15. 样本外加权平均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权重使用五个扩展窗口的训练集样本外预测计算，并设置一个观测期的时间间隔。验证集只负责选择权重方法，不直接计算数值权重。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等权重。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反增长 MSE 权重。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反增长 MAE 权重。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非负且和为 1 的最优增长 MSE 权重。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带稳定惩罚的最优权重。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1800"/>
        <w:gridCol w:w="3960"/>
      </w:tblGrid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组合成员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当前权重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作用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移动区块 Bagged Huber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39.62%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保留原始特征上的稳健相关信息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PCA11 绝对误差回归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60.38%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降低典型金额误差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完整五模型加权没有明显优势，因为 OLS、Ridge、Lasso 和 Elastic Net 的预测高度相似，缺乏组合所需的模型多样性。</w:t>
      </w:r>
    </w:p>
    <w:p>
      <w:pPr>
        <w:pStyle w:val="Heading1"/>
        <w:keepNext/>
      </w:pPr>
      <w:r>
        <w:t>16. 涨跌金额与价格变化误差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高级模型不再使用方向准确率。每个日期都直接比较预测涨跌金额和真实涨跌金额。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 w:eastAsia="Consolas"/>
                <w:color w:val="0B2545"/>
                <w:sz w:val="18"/>
              </w:rPr>
              <w:t>actual_growth_pct = 100 * (exp(actual_log_return) - 1)</w:t>
              <w:br/>
              <w:t>predicted_growth_pct = 100 * (exp(predicted_log_return) - 1)</w:t>
              <w:br/>
              <w:t>growth_error_pp = predicted_growth_pct - actual_growth_pct</w:t>
              <w:br/>
              <w:t>price_change_error = predicted_exit_price - actual_exit_price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指标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计算含义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解释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增长 MAE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平均绝对百分点误差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典型交易日的平均预测偏差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增长 RMSE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百分点误差平方后平均再开根号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更重视少数大错误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波动幅度 MAE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预测绝对幅度与实际绝对幅度之差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判断是否低估或高估波动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人民币/克变化 MAE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预测价格变化与实际价格变化的平均绝对差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直接连接交易金额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17. 当前金额预测结果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500"/>
        <w:gridCol w:w="1500"/>
        <w:gridCol w:w="1500"/>
        <w:gridCol w:w="2260"/>
      </w:tblGrid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诊断测试候选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增长 MAE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增长 RMSE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幅度 MAE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价格变化 MAE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Bagged Huber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0.684 pp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0.955 pp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0.578 pp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5.914 元/克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PCA11 绝对误差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0.669 pp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0.921 pp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0.573 pp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5.768 元/克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稳健双模型加权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0.671 pp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0.929 pp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0.572 pp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5.778 元/克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按照金额误差，PCA11 绝对误差模型目前最有潜力；加权模型只在波动幅度 MAE 上略好，因此还不能明确替代单独模型。</w:t>
      </w:r>
    </w:p>
    <w:p>
      <w:pPr>
        <w:pStyle w:val="Heading1"/>
        <w:keepNext/>
      </w:pPr>
      <w:r>
        <w:t>18. 当前主要问题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2200"/>
        <w:gridCol w:w="2200"/>
        <w:gridCol w:w="2360"/>
      </w:tblGrid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实际波动区间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平均实际幅度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平均预测幅度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低估比例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低于 0.5%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0.235%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0.235%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54.6%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0.5%–1%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0.739%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0.248%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97.2%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1%–2%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1.341%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0.318%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98.5%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高于 2%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2.494%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0.701%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100%</w:t>
            </w:r>
          </w:p>
        </w:tc>
      </w:tr>
    </w:tbl>
    <w:p>
      <w:pPr>
        <w:spacing w:after="8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7E6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7A5A00"/>
                <w:sz w:val="21"/>
              </w:rPr>
              <w:t>核心问题：预测过度收缩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模型对小于 0.5% 的变化较合理，但几乎总是低估较大波动。下一阶段的主要任务不是继续增加相似线性模型，而是预测和校准波动幅度。</w:t>
            </w:r>
          </w:p>
        </w:tc>
      </w:tr>
    </w:tbl>
    <w:p>
      <w:pPr>
        <w:spacing w:after="40"/>
      </w:pP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现有测试区间受到事后事件窗口定义影响。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五个原始线性模型的预测高度相关，组合多样性不足。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PCA 改善有限，并降低单个经济因子的解释性。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入场时点尚需最终确认，决定能否使用开盘跳空和前 5–15 分钟信息。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极端事件缺乏可在事前获得的高质量因子。</w:t>
      </w:r>
    </w:p>
    <w:p>
      <w:pPr>
        <w:pStyle w:val="Heading1"/>
        <w:keepNext/>
      </w:pPr>
      <w:r>
        <w:t>19. 下一阶段计划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使用滚动样本外预测估计幅度校准系数。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单独建立绝对波动幅度模型，标签为实际涨跌幅的绝对值。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将连续收益预测与预测波动幅度组合。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加入隔夜 XAU/USD、COMEX、USD/CNH、开盘跳空和开盘量价信息。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针对不同波动率状态估计不同校准系数。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保留新的未来数据作为完全独立的最终测试集。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将预测误差连接至仓位、交易成本、持有期和 P&amp;L 账本。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最近的低风险改进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对 PCA11 绝对误差模型进行滚动幅度校准。初步诊断表明约 1.42 倍的放大系数可能降低 RMSE，但必须在多个时间折中重新估计，不能直接固定使用。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20. 十分组 Huber 交叉验证（已完成）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全部 2,728 条可用建模观测已按日期顺序切分为十个连续数据块。每次保留一块测试，使用其余九块重新训练完整的中位数填补、标准化和 Huber Pipeline，最终保存十个独立模型，并让每条观测获得一次保留块预测。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将观测划分为十个数据块。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第 i 次将第 i 块作为测试块，其余九块作为训练块。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每次重新拟合缺失值、中位数、标准化参数和 Huber 系数。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保存十个模型和每个测试块的样本外预测。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合并十个测试块，形成完整的样本外金额误差报告。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6060"/>
      </w:tblGrid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结果口径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十分组汇总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模型数量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10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每折测试观测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272–273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合并样本外观测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2,728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增长 MAE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0.587 个百分点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增长 RMSE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0.928 个百分点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波动幅度 MAE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0.466 个百分点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价格变化 MAE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2.576 元/克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折间增长 MAE 范围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0.350–0.958 个百分点</w:t>
            </w:r>
          </w:p>
        </w:tc>
      </w:tr>
    </w:tbl>
    <w:p>
      <w:pPr>
        <w:spacing w:after="8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9B1C1C"/>
                <w:sz w:val="21"/>
              </w:rPr>
              <w:t>时间序列警告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普通十折方法会让未来数据参与过去测试块的训练，产生未来信息泄漏。更安全的做法是十个滚动或扩展时间窗口：每个测试块只能使用其之前的历史数据训练。若必须严格执行九块训练一块测试，应将其明确标记为相关性诊断，而不是可交易的样本外回测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21. Huber 损失函数数值优化与系数报告（已完成）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为回应损失函数、偏导数和梯度下降的研究要求，项目使用全部 2,728 条事件过滤后观测，对当前 14 个特征的正则化 Huber 损失进行数值最小化。目标变量为从下一交易日开盘到预测期退出收盘的对数收益率。固定 epsilon=1.1、alpha=0.001，并使用带解析梯度的 L-BFGS-B 求解；该方法属于梯度型数值优化。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4160"/>
        <w:gridCol w:w="2100"/>
        <w:gridCol w:w="2400"/>
      </w:tblGrid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排名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特征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标准化系数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原始单位系数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xauusd_return_1d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0.002492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0.284013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momentum_5d_x_volatility_20d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-0.001084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-3.863286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premium_change_5d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-0.000925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-0.094578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4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breakeven_inflation_10y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0.000826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0.002247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5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shanghai_gold_premium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-0.000685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-0.061942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6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momentum_5d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0.000631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0.032324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7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shfe_gold_settle_return_1d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-0.000612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-0.077971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8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return_1d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0.000181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0.021161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9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xauusd_momentum_5d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0.000162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0.008530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10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usdcnh_return_1d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0.000161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0.058439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11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volatility_20d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0.000146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0.031234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12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oil_momentum_5d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-0.000123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-0.002065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13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ma_gap_20d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-0.000059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-0.002813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14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momentum_20d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-0.000037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-0.001002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优化诊断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结果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标准化截距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-0.00074433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估计残差尺度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0.00160596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最终 Huber 目标值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33.7448368910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零系数基准目标值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37.3465299306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相对零系数损失下降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9.644%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数值细化迭代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16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平均目标梯度无穷范数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4.82e-08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优化状态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成功收敛</w:t>
            </w:r>
          </w:p>
        </w:tc>
      </w:tr>
    </w:tbl>
    <w:p>
      <w:pPr>
        <w:spacing w:after="8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7E6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7A5A00"/>
                <w:sz w:val="21"/>
              </w:rPr>
              <w:t>解释限制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标准化系数适合比较因子影响大小；原始单位系数只能结合各特征的单位解释。该模型使用全部样本估计系数，因此用于参数报告和部署，不得把它的拟合误差当作样本外测试表现。十折结果仍用于检验系数和预测误差的跨时期稳定性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22. 关键代码与输出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模块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文件或目录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主模型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gold_model_comparison.py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固定期限比较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compare_fixed_horizons.py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交互项与状态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interaction_regime_features.py；compare_interaction_regimes.py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统计特征选择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statistical_feature_selection.py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Bagging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compare_bagged_huber.py；compare_bagging_all_models.py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PCA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compare_pca_models.py；outputs/pca_h1/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损失函数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compare_loss_functions.py；outputs/loss_function_h1/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加权平均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compare_weighted_ensemble.py；outputs/weighted_ensemble_h1/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金额误差报告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build_growth_amount_report.py；outputs/growth_amount_report_h1/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十分组 Huber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huber_10fold_blocked_cv.py；outputs/huber_10fold_blocked/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十九分组滚动 Huber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huber_rolling_19block_cv.py；outputs/huber_rolling_19block/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锁定第十九块共同测试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locked_block19_ensemble.py；outputs/locked_block19_ensemble/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锁定第十九块 P&amp;L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locked_block19_pnl.py；outputs/locked_block19_pnl/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Huber 损失最小化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huber_loss_coefficient_report.py；outputs/huber_loss_minimization/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自动化测试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tests/；.github/workflows/tests.yml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QMT 可选集成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qmt/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项目笔记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Gold_Model_Project_Notes.docx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23. GitHub 版本管理与自动化测试（已完成）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项目已连接至公开 GitHub 仓库 asuka20302/Gold-Research。现有研究成果作为基线版本纳入 Git；今后的模型、数据处理和回测修改应使用小而明确的提交记录。GitHub 不能恢复此前真实的开发历史，但可以从本次基线提交开始形成可审计的版本轨迹。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目录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内容与规则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项目根目录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五模型主流程、统计筛选、PCA、损失函数、Bagging、加权及 P&amp;L 代码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docs/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当前项目笔记与中文完整流程文档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qmt/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可选 QMT 信号导出和策略模板，与研究主流程隔离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reports/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供代码审查的小型最终结果表，不包含完整市场数据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tests/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目标时间、五模型范围、交互项、状态标签、Huber 梯度和十九分组公平性测试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data/、outputs/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本地下载和生成目录；默认不提交 Git</w:t>
            </w:r>
          </w:p>
        </w:tc>
      </w:tr>
    </w:tbl>
    <w:p>
      <w:pPr>
        <w:spacing w:after="80"/>
      </w:pP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删除已合并进文档的一次性更新脚本和临时渲染目录。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使用 .gitignore 排除虚拟环境、密钥、下载数据、完整输出、模型文件和缓存。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提供 .env.example、requirements.txt、README 和目录说明以便复现。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新增 13 个 pytest 测试；本地测试全部通过。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新增 GitHub Actions，在每次 push 和 pull request 时自动运行测试。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9B1C1C"/>
                <w:sz w:val="21"/>
              </w:rPr>
              <w:t>版本管理规则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不得提交真实 Tushare Token、账户信息、完整数据缓存或未经审查的大型模型输出。每个研究步骤使用独立、可解释的提交；测试失败时不得合并。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24. 十九分组固定窗口 Huber 验证（当前公平方案）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为消除扩展窗口中训练样本数量不同带来的公平性问题，2,728 条可用观测被处理为 19 个完全相等的连续区块。每块 143 条，最早 11 条余数不进入该公平性诊断。模型 1 使用区块 1—9 训练、区块 10 测试；之后窗口每次向前移动一块，直到模型 10 使用区块 10—18 训练、区块 19 测试。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设计或结果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数值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模型数量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10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每个模型训练区块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9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每个模型训练观测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1,287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每个模型测试观测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143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合并严格样本外预测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1,430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增长 MAE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0.639 个百分点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增长 RMSE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0.908 个百分点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波动幅度 MAE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0.517 个百分点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价格变化 MAE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3.531 元/克</w:t>
            </w:r>
          </w:p>
        </w:tc>
      </w:tr>
    </w:tbl>
    <w:p>
      <w:pPr>
        <w:spacing w:after="80"/>
      </w:pP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所有训练日期严格早于对应测试日期。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每个训练目标在测试块首个信号日之前或当日已经可观察。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十个模型固定使用相同 14 个特征、epsilon=1.1 和 alpha=0.001。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测试窗口增长 MAE 范围为 0.428—0.817 个百分点。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国际金价日收益、动量与波动率交互、溢价变化及通胀预期系数符号最稳定。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7E6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7A5A00"/>
                <w:sz w:val="21"/>
              </w:rPr>
              <w:t>与旧十分组结果的区别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旧十分组方法的前九折会使用测试日期之后的数据，只适合相关性和系数稳定性诊断。十九分组固定窗口结果没有这种未来数据泄漏，且每个模型训练量相同，因此应作为当前主要验证结果。两个实验的测试日期和样本量不同，误差不能被解释为完全同口径的模型优劣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25. 锁定第十九块的五模型共同测试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为了让五个模型在完全相同的测试日期上比较，第 19 块被排除在训练和权重计算之外。第 1—18 块用于开发：依次使用前九块训练并预测第 10—18 块，由这些开发期样本外预测计算增长 MAE；最终五个模型统一使用第 10—18 块的 1,287 条观测训练，再共同预测第 19 块的 143 条观测。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3180"/>
        <w:gridCol w:w="3180"/>
      </w:tblGrid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候选模型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第 19 块增长 MAE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第 19 块价格变化 MAE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BaggedHuber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0.797 个百分点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8.065 元/克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加权平均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0.816 个百分点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8.257 元/克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Lasso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0.823 个百分点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8.342 元/克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ElasticNet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0.824 个百分点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8.345 元/克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Ridge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0.824 个百分点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8.345 元/克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OLS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0.824 个百分点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8.345 元/克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权重规则为开发期样本外增长 MAE 的归一化倒数。五个开发期 MAE 几乎相同，因此权重都接近 20%。四个普通线性模型的预测也高度相似，导致投票缺少模型多样性；锁定测试中加权平均没有超过 BaggedHuber，所以当前部署候选仍为 BaggedHuber。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7E6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7A5A00"/>
                <w:sz w:val="21"/>
              </w:rPr>
              <w:t>关于“未触碰”的准确表述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新程序保证第 19 块没有进入训练、滚动开发误差或权重计算。但此前十九分组 Huber 诊断已经显示过该时期的结果，因此不能恢复研究人员层面的完全盲测。当前应称为“从现在起锁定的共同留出集”；真正全新的最终检验需要等待从未查看过的未来数据。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26. BaggedHuber 锁定区间持仓与 P&amp;L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交易规则只使用第 10—18 块的滚动样本外 BaggedHuber 预测选择。信号在 signal_date 收盘后形成，下一交易日开盘买入，并在同一交易日收盘卖出。当前账本是假设直接交易 Au99.99 的多头/空仓研究模拟，不是黄金 ETF 成交回测。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80"/>
        <w:gridCol w:w="1350"/>
        <w:gridCol w:w="1740"/>
        <w:gridCol w:w="1500"/>
        <w:gridCol w:w="1990"/>
      </w:tblGrid>
      <w:tr>
        <w:tc>
          <w:tcPr>
            <w:tcW w:type="dxa" w:w="2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锁定第 19 块策略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交易次数</w:t>
            </w:r>
          </w:p>
        </w:tc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总收益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Sharpe</w:t>
            </w:r>
          </w:p>
        </w:tc>
        <w:tc>
          <w:tcPr>
            <w:tcW w:type="dxa" w:w="19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最大回撤</w:t>
            </w:r>
          </w:p>
        </w:tc>
      </w:tr>
      <w:tr>
        <w:tc>
          <w:tcPr>
            <w:tcW w:type="dxa" w:w="2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开发期选定波动率仓位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87</w:t>
            </w:r>
          </w:p>
        </w:tc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27.54%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3.75</w:t>
            </w:r>
          </w:p>
        </w:tc>
        <w:tc>
          <w:tcPr>
            <w:tcW w:type="dxa" w:w="19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-4.02%</w:t>
            </w:r>
          </w:p>
        </w:tc>
      </w:tr>
      <w:tr>
        <w:tc>
          <w:tcPr>
            <w:tcW w:type="dxa" w:w="2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成本阈值全仓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75</w:t>
            </w:r>
          </w:p>
        </w:tc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27.50%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3.19</w:t>
            </w:r>
          </w:p>
        </w:tc>
        <w:tc>
          <w:tcPr>
            <w:tcW w:type="dxa" w:w="19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-4.70%</w:t>
            </w:r>
          </w:p>
        </w:tc>
      </w:tr>
      <w:tr>
        <w:tc>
          <w:tcPr>
            <w:tcW w:type="dxa" w:w="2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零阈值全仓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87</w:t>
            </w:r>
          </w:p>
        </w:tc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25.78%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2.78</w:t>
            </w:r>
          </w:p>
        </w:tc>
        <w:tc>
          <w:tcPr>
            <w:tcW w:type="dxa" w:w="19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-6.76%</w:t>
            </w:r>
          </w:p>
        </w:tc>
      </w:tr>
      <w:tr>
        <w:tc>
          <w:tcPr>
            <w:tcW w:type="dxa" w:w="2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始终空仓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</w:t>
            </w:r>
          </w:p>
        </w:tc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0.00%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</w:t>
            </w:r>
          </w:p>
        </w:tc>
        <w:tc>
          <w:tcPr>
            <w:tcW w:type="dxa" w:w="19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0.00%</w:t>
            </w:r>
          </w:p>
        </w:tc>
      </w:tr>
      <w:tr>
        <w:tc>
          <w:tcPr>
            <w:tcW w:type="dxa" w:w="2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买入并持有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</w:t>
            </w:r>
          </w:p>
        </w:tc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-8.55%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-0.47</w:t>
            </w:r>
          </w:p>
        </w:tc>
        <w:tc>
          <w:tcPr>
            <w:tcW w:type="dxa" w:w="19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-22.29%</w:t>
            </w:r>
          </w:p>
        </w:tc>
      </w:tr>
      <w:tr>
        <w:tc>
          <w:tcPr>
            <w:tcW w:type="dxa" w:w="2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每日开盘买入收盘卖出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143</w:t>
            </w:r>
          </w:p>
        </w:tc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-17.90%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-1.61</w:t>
            </w:r>
          </w:p>
        </w:tc>
        <w:tc>
          <w:tcPr>
            <w:tcW w:type="dxa" w:w="19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-24.80%</w:t>
            </w:r>
          </w:p>
        </w:tc>
      </w:tr>
    </w:tbl>
    <w:p>
      <w:pPr>
        <w:spacing w:after="80"/>
      </w:pP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初始资金为 100,000 元；默认单边佣金 3 bps、单边滑点 2 bps。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主规则在锁定区间产生 27,542 元净利润，累计交易成本约 5,752 元。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双倍成本情景下总收益仍为 21.40%，但实际费率必须按交易品种和券商重新填写。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开发期九个区块中六个盈利；2020—2022 年部分区块亏损，说明效果存在明显状态依赖。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第 19 块没有参与阈值或仓位参数选择，但此前模型诊断已查看该时期，因此不能宣传为完全盲测。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9B1C1C"/>
                <w:sz w:val="21"/>
              </w:rPr>
              <w:t>收益解释限制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27.54% 是研究账本结果，不是可直接复制的实盘收益。它使用 Au99.99 价格、允许按克进行小数仓位并采用固定成本。若实际交易 518880 ETF、黄金期货或其他产品，跟踪误差、合约乘数、保证金、涨跌停、最小交易单位和真实费用都会改变结果。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27. 当前结论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项目已经完成从数据获取、模型比较、金额误差、锁定共同留出集到持仓与净 P&amp;L 的完整研究闭环。统计特征选择、稳健回归、PCA、绝对误差损失、移动区块 Bagging、样本外加权和成本敏感性均已有可复现实现。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当前候选为 BaggedHuber 配合开发期选定的多头/空仓波动率仓位规则。锁定区间结果强于基准，但跨时期稳定性不足且并非真实可交易产品回测。下一步应固定现有代码和参数，等待全新的未来数据进行纸面交易，同时把直接黄金账本映射到明确交易品种及其真实成本规则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67085"/>
        <w:sz w:val="18"/>
      </w:rPr>
      <w:t xml:space="preserve">第 </w:t>
      <w:fldChar w:fldCharType="begin"/>
      <w:instrText xml:space="preserve"> PAGE </w:instrText>
      <w:fldChar w:fldCharType="separate"/>
      <w:fldChar w:fldCharType="end"/>
    </w:r>
    <w:r>
      <w:rPr>
        <w:rFonts w:ascii="Calibri" w:hAnsi="Calibri" w:eastAsia="Microsoft YaHei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085"/>
        <w:sz w:val="18"/>
      </w:rPr>
      <w:t>黄金量化预测项目  |  完整流程说明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Microsoft YaHei" w:hAnsi="Microsoft YaHe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300" w:lineRule="auto"/>
      <w:contextualSpacing/>
    </w:pPr>
    <w:rPr>
      <w:rFonts w:ascii="Microsoft YaHei" w:hAnsi="Microsoft YaHei" w:eastAsia="Microsoft YaHe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Microsoft YaHei" w:hAnsi="Microsoft YaHe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黄金量化预测项目完整流程</dc:title>
  <dc:subject>Au99.99 量化预测项目研究流程手册</dc:subject>
  <dc:creator>Quant Research Project</dc:creator>
  <cp:keywords>黄金, Au99.99, 回归, PCA, Huber, Bagging, 损失函数, 加权平均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