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84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7A5A00"/>
          <w:sz w:val="22"/>
        </w:rPr>
        <w:t>研究流程手册</w:t>
      </w:r>
    </w:p>
    <w:p>
      <w:pPr>
        <w:spacing w:after="200"/>
        <w:jc w:val="center"/>
      </w:pPr>
      <w:r>
        <w:rPr>
          <w:rFonts w:ascii="Calibri" w:hAnsi="Calibri" w:eastAsia="Microsoft YaHei"/>
          <w:b/>
          <w:color w:val="0B2545"/>
          <w:sz w:val="56"/>
        </w:rPr>
        <w:t>黄金量化预测项目完整流程</w:t>
      </w:r>
    </w:p>
    <w:p>
      <w:pPr>
        <w:spacing w:after="480"/>
        <w:jc w:val="center"/>
      </w:pPr>
      <w:r>
        <w:rPr>
          <w:rFonts w:ascii="Calibri" w:hAnsi="Calibri" w:eastAsia="Microsoft YaHei"/>
          <w:color w:val="1F4D78"/>
          <w:sz w:val="28"/>
        </w:rPr>
        <w:t>从数据获取、线性建模到涨跌金额误差与交易评估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6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当前状态</w:t>
            </w:r>
          </w:p>
          <w:p>
            <w:pPr>
              <w:spacing w:after="40" w:line="288" w:lineRule="auto"/>
            </w:pPr>
            <w:r>
              <w:rPr>
                <w:rFonts w:ascii="Calibri" w:hAnsi="Calibri" w:eastAsia="Microsoft YaHei"/>
                <w:color w:val="344054"/>
                <w:sz w:val="20"/>
              </w:rPr>
              <w:t>研究原型。已建立可复现的数据、建模、PCA、稳健损失、Bagging、加权平均和金额误差分析流程；尚未达到生产部署标准。</w:t>
            </w:r>
          </w:p>
        </w:tc>
      </w:tr>
    </w:tbl>
    <w:p>
      <w:pPr>
        <w:spacing w:after="40"/>
      </w:pPr>
    </w:p>
    <w:p>
      <w:pPr>
        <w:spacing w:before="0" w:after="80" w:line="300" w:lineRule="auto"/>
        <w:jc w:val="center"/>
      </w:pPr>
      <w:r>
        <w:rPr>
          <w:rFonts w:ascii="Calibri" w:hAnsi="Calibri" w:eastAsia="Microsoft YaHei"/>
          <w:b/>
          <w:i w:val="0"/>
          <w:color w:val="667085"/>
          <w:sz w:val="22"/>
        </w:rPr>
        <w:t>版本日期：2026-07-24</w:t>
      </w:r>
    </w:p>
    <w:p>
      <w:pPr>
        <w:spacing w:before="0" w:after="120" w:line="300" w:lineRule="auto"/>
        <w:jc w:val="center"/>
      </w:pPr>
      <w:r>
        <w:rPr>
          <w:rFonts w:ascii="Calibri" w:hAnsi="Calibri" w:eastAsia="Microsoft YaHei"/>
          <w:b w:val="0"/>
          <w:i w:val="0"/>
          <w:color w:val="667085"/>
          <w:sz w:val="22"/>
        </w:rPr>
        <w:t>工作目录：GitHub 项目根目录</w:t>
      </w:r>
    </w:p>
    <w:p>
      <w:r>
        <w:br w:type="page"/>
      </w:r>
    </w:p>
    <w:p>
      <w:pPr>
        <w:pStyle w:val="Heading1"/>
        <w:keepNext/>
      </w:pPr>
      <w:r>
        <w:t>使用说明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本手册记录当前项目的完整研究流程、模型决策、主要结果、已知限制及下一阶段计划。它用于项目汇报、代码复现和后续交接。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7E6"/>
          </w:tcPr>
          <w:p>
            <w:pPr>
              <w:spacing w:after="60"/>
            </w:pPr>
            <w:r>
              <w:rPr>
                <w:rFonts w:ascii="Calibri" w:hAnsi="Calibri" w:eastAsia="Microsoft YaHei"/>
                <w:b/>
                <w:color w:val="7A5A00"/>
                <w:sz w:val="21"/>
              </w:rPr>
              <w:t>重要口径</w:t>
            </w:r>
          </w:p>
          <w:p>
            <w:pPr>
              <w:spacing w:after="40" w:line="288" w:lineRule="auto"/>
            </w:pPr>
            <w:r>
              <w:rPr>
                <w:rFonts w:ascii="Calibri" w:hAnsi="Calibri" w:eastAsia="Microsoft YaHei"/>
                <w:color w:val="344054"/>
                <w:sz w:val="20"/>
              </w:rPr>
              <w:t>高级 PCA、损失函数和加权模型不再使用方向准确率进行选择。核心目标是预测实际涨跌幅金额，并衡量预测值与真实值在百分点和人民币/克上的差异。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流程目录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项目目标与流程总览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数据收集、缓存与时间对齐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预测目标与交易时间规则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特征工程、市场状态与异常事件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训练集、验证集与测试集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预处理 Pipeline 与统计特征选择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五类线性回归模型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Bagging、PCA 与损失函数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样本外加权平均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涨跌金额和价格变化误差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当前主要问题与下一阶段计划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已完成的十分组 Huber 实验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关键代码与输出文件</w:t>
      </w:r>
    </w:p>
    <w:p>
      <w:pPr>
        <w:pStyle w:val="Heading1"/>
        <w:keepNext/>
      </w:pPr>
      <w:r>
        <w:t>1. 项目目标与流程总览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项目目标是利用交易前已经获得的黄金、汇率、利率、通胀、原油和期货市场信息，预测 Au99.99 下一个交易时段从开盘到收盘的具体涨跌幅和价格变化。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2300"/>
        <w:gridCol w:w="3360"/>
        <w:gridCol w:w="2500"/>
      </w:tblGrid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阶段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输入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处理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输出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1. 数据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Au99.99 与外部因子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下载、缓存、日期对齐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统一日频数据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2. 特征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历史价格和宏观数据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收益率、动量、波动率、溢价、交互项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候选解释变量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3. 建模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训练集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AIC、五类回归、PCA、稳健损失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候选预测模型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4. 组合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样本外预测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Bagging 与误差加权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组合预测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5. 评估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预测值与真实值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百分点误差、人民币/克误差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金额误差账本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6. 交易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最终预测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仓位、成本与持有期规则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P&amp;L 与风险指标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t>2. 数据收集与缓存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主要研究品种为上海黄金交易所 Au99.99。程序优先读取本地缓存，只有在缓存不存在或明确要求刷新时才重新下载。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国际现货黄金 XAU/USD。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USD/CNH 和美元相关数据。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原油价格与动量。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美国名义利率、实际利率和盈亏平衡通胀率。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VIX 与 GVZ 波动率。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上期所黄金价格、结算价、成交量和持仓量。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上海黄金相对于国际黄金的溢价。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 w:eastAsia="Consolas"/>
                <w:color w:val="0B2545"/>
                <w:sz w:val="18"/>
              </w:rPr>
              <w:t>数据缓存目录：data/</w:t>
              <w:br/>
              <w:t>外部因子缓存：data/factors/</w:t>
              <w:br/>
              <w:t>主要 Au99.99 文件：data/Au99_99_20150101_20260703.csv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3. 日期对齐与信息可用时间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全部外部数据与 Au99.99 交易日历对齐。海外市场因子根据其实际发布时间进行平移，尽量保证模型只使用预测时点之前可以获得的信息。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6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防止未来信息泄漏</w:t>
            </w:r>
          </w:p>
          <w:p>
            <w:pPr>
              <w:spacing w:after="40" w:line="288" w:lineRule="auto"/>
            </w:pPr>
            <w:r>
              <w:rPr>
                <w:rFonts w:ascii="Calibri" w:hAnsi="Calibri" w:eastAsia="Microsoft YaHei"/>
                <w:color w:val="344054"/>
                <w:sz w:val="20"/>
              </w:rPr>
              <w:t>不能因为两个市场使用同一个日历日期，就假设它们的收盘数据在中国市场开盘前已经可用。所有因子都必须按照真实信息时间检查。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预测目标与交易时间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项目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当前定义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信号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使用入场之前已经获得的信息计算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入场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下一个交易日开盘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离场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同一个交易日收盘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预测期限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一个交易时段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主要标签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开盘到收盘的对数收益率</w:t>
            </w:r>
          </w:p>
        </w:tc>
      </w:tr>
    </w:tbl>
    <w:p>
      <w:pPr>
        <w:spacing w:after="8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 w:eastAsia="Consolas"/>
                <w:color w:val="0B2545"/>
                <w:sz w:val="18"/>
              </w:rPr>
              <w:t>target_log_return = log(exit_close / entry_open)</w:t>
              <w:br/>
              <w:t>growth_pct = 100 * (exp(target_log_return) - 1)</w:t>
            </w:r>
          </w:p>
        </w:tc>
      </w:tr>
    </w:tbl>
    <w:p>
      <w:pPr>
        <w:spacing w:after="40"/>
      </w:pP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模型内部使用对数收益率以便进行回归；最终报告使用普通百分比涨跌幅和人民币/克价格变化，便于解释和交易评估。</w:t>
      </w:r>
    </w:p>
    <w:p>
      <w:pPr>
        <w:pStyle w:val="Heading1"/>
        <w:keepNext/>
      </w:pPr>
      <w:r>
        <w:t>5. 特征工程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原始市场数据被转换为能够描述趋势、波动、相对定价和宏观环境的特征。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100"/>
        <w:gridCol w:w="4560"/>
      </w:tblGrid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特征类别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代表性特征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经济含义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黄金自身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一日收益、五日/二十日动量、均线偏离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短期惯性和中期趋势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波动率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二十日波动率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风险状态与预期波动幅度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国际黄金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XAU/USD 收益和动量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国际定价传导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汇率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USD/CNH 收益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人民币计价转换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通胀与利率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盈亏平衡通胀率、实际利率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持有黄金的宏观机会成本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商品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原油动量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通胀和风险环境代理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跨市场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上期所结算价收益、上海溢价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境内外价差与本地定价</w:t>
            </w:r>
          </w:p>
        </w:tc>
      </w:tr>
    </w:tbl>
    <w:p>
      <w:pPr>
        <w:spacing w:after="80"/>
      </w:pP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当前保留的重要交互项为：五日动量 × 二十日波动率。它允许动量影响随波动率变化。</w:t>
      </w:r>
    </w:p>
    <w:p>
      <w:pPr>
        <w:pStyle w:val="Heading1"/>
        <w:keepNext/>
      </w:pPr>
      <w:r>
        <w:t>6. 市场状态与虚拟变量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2900"/>
        <w:gridCol w:w="5360"/>
      </w:tblGrid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标签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市场状态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处理方式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正常市场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基准组，全部状态虚拟变量为 0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高波动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对应虚拟变量为 1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2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强上涨趋势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对应虚拟变量为 1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3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强下跌趋势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对应虚拟变量为 1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4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流动性压力代理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对应虚拟变量为 1</w:t>
            </w:r>
          </w:p>
        </w:tc>
      </w:tr>
    </w:tbl>
    <w:p>
      <w:pPr>
        <w:spacing w:after="80"/>
      </w:pP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状态虚拟变量和状态交互项已经进行验证测试，但没有带来足够稳定的改善。因此它们保留为诊断信息，不强制进入当前模型。</w:t>
      </w:r>
    </w:p>
    <w:p>
      <w:pPr>
        <w:pStyle w:val="Heading1"/>
        <w:keepNext/>
      </w:pPr>
      <w:r>
        <w:t>7. 异常事件处理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当前设置排除了七个异常事件窗口，共影响 30 条模型观测。这些时期涉及贸易政策、地缘政治、利率和流动性冲击。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DECEC"/>
          </w:tcPr>
          <w:p>
            <w:pPr>
              <w:spacing w:after="60"/>
            </w:pPr>
            <w:r>
              <w:rPr>
                <w:rFonts w:ascii="Calibri" w:hAnsi="Calibri" w:eastAsia="Microsoft YaHei"/>
                <w:b/>
                <w:color w:val="9B1C1C"/>
                <w:sz w:val="21"/>
              </w:rPr>
              <w:t>方法论限制</w:t>
            </w:r>
          </w:p>
          <w:p>
            <w:pPr>
              <w:spacing w:after="40" w:line="288" w:lineRule="auto"/>
            </w:pPr>
            <w:r>
              <w:rPr>
                <w:rFonts w:ascii="Calibri" w:hAnsi="Calibri" w:eastAsia="Microsoft YaHei"/>
                <w:color w:val="344054"/>
                <w:sz w:val="20"/>
              </w:rPr>
              <w:t>这些事件窗口是在早期检查测试集残差之后确定的。因此过滤后的测试结果只能作为诊断，不能被宣传为完全未使用的独立样本证据。最终模型必须保留新的未来测试区间。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8. 训练集、验证集与测试集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1200"/>
        <w:gridCol w:w="2900"/>
        <w:gridCol w:w="3760"/>
      </w:tblGrid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数据部分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观测数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日期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用途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训练集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1,929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2015-02-02 至 2023-01-05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估计系数、PCA 和预处理参数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验证集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408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2023-01-17 至 2024-09-20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选择特征、模型、损失与组合方式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测试集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384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2024-10-09 至 2026-06-23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模型冻结后的诊断评估</w:t>
            </w:r>
          </w:p>
        </w:tc>
      </w:tr>
    </w:tbl>
    <w:p>
      <w:pPr>
        <w:spacing w:after="80"/>
      </w:pP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主流程按时间顺序划分，不随机打乱交易日期。时间顺序是避免金融预测未来信息泄漏的核心要求。</w:t>
      </w:r>
    </w:p>
    <w:p>
      <w:pPr>
        <w:pStyle w:val="Heading1"/>
        <w:keepNext/>
      </w:pPr>
      <w:r>
        <w:t>9. 数据预处理 Pipeline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 w:eastAsia="Consolas"/>
                <w:color w:val="0B2545"/>
                <w:sz w:val="18"/>
              </w:rPr>
              <w:t>Pipeline([</w:t>
              <w:br/>
              <w:t xml:space="preserve">    ('imputer', SimpleImputer(strategy='median')),</w:t>
              <w:br/>
              <w:t xml:space="preserve">    ('scaler', StandardScaler()),</w:t>
              <w:br/>
              <w:t xml:space="preserve">    ('model', regression_model),</w:t>
              <w:br/>
              <w:t xml:space="preserve">]) </w:t>
            </w:r>
          </w:p>
        </w:tc>
      </w:tr>
    </w:tbl>
    <w:p>
      <w:pPr>
        <w:spacing w:after="40"/>
      </w:pP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缺失值只使用训练样本的中位数填补。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标准化参数只使用训练样本计算。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模型只接收经过相同预处理的特征。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验证集和测试集不能反向影响预处理参数。</w:t>
      </w:r>
    </w:p>
    <w:p>
      <w:pPr>
        <w:pStyle w:val="Heading1"/>
        <w:keepNext/>
      </w:pPr>
      <w:r>
        <w:t>10. 统计特征选择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100"/>
        <w:gridCol w:w="4560"/>
      </w:tblGrid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方法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检验对象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项目中的用途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T 检验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单个系数是否显著偏离 0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识别单个弱变量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ANOVA/部分 F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一组系数是否可以同时视为 0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按经济分组检查因子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AIC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拟合质量与参数数量之间的平衡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当前生产特征选择方法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BIC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对复杂度施加更强惩罚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较保守的对照模型</w:t>
            </w:r>
          </w:p>
        </w:tc>
      </w:tr>
    </w:tbl>
    <w:p>
      <w:pPr>
        <w:spacing w:after="80"/>
      </w:pP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当前使用带 P 值约束的 AIC 后向剔除：只有 p&gt;0.05 的变量可以进入删除候选，并且删除后 AIC 必须改善。保留交互项时必须同时保留它的基础变量。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6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当前结果</w:t>
            </w:r>
          </w:p>
          <w:p>
            <w:pPr>
              <w:spacing w:after="40" w:line="288" w:lineRule="auto"/>
            </w:pPr>
            <w:r>
              <w:rPr>
                <w:rFonts w:ascii="Calibri" w:hAnsi="Calibri" w:eastAsia="Microsoft YaHei"/>
                <w:color w:val="344054"/>
                <w:sz w:val="20"/>
              </w:rPr>
              <w:t>一日预测模型最终保留 14 个 AIC 特征。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11. 五类回归模型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000"/>
        <w:gridCol w:w="3660"/>
      </w:tblGrid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模型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核心思想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主要作用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OLS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最小化平方误差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基础线性模型和统计解释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Ridge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L2 系数惩罚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处理共线性并稳定系数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Lasso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L1 系数惩罚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压缩并可能删除变量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Elastic Net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L1 与 L2 结合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在稀疏性和稳定性之间折中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Huber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普通误差平方损失，大误差近似线性损失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降低极端观测影响</w:t>
            </w:r>
          </w:p>
        </w:tc>
      </w:tr>
    </w:tbl>
    <w:p>
      <w:pPr>
        <w:spacing w:after="80"/>
      </w:pP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在原始五个模型中，Huber 通常表现最好，说明稳健损失对黄金极端波动具有一定价值。</w:t>
      </w:r>
    </w:p>
    <w:p>
      <w:pPr>
        <w:pStyle w:val="Heading1"/>
        <w:keepNext/>
      </w:pPr>
      <w:r>
        <w:t>12. 移动区块 Bagging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金融时间序列中的相邻交易日可能存在依赖关系，因此项目不是随机抽取单日，而是有放回地抽取连续数据区块。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随机选择一个连续区块的起点。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抽取连续 20 条训练观测。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重复抽取直到形成一个与原训练集同等长度的 Bootstrap 样本。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对每个样本拟合一个 Huber 模型。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对 50 个模型的预测取算术平均。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 w:eastAsia="Consolas"/>
                <w:color w:val="0B2545"/>
                <w:sz w:val="18"/>
              </w:rPr>
              <w:t>block_size = 20</w:t>
              <w:br/>
              <w:t>n_estimators = 50</w:t>
              <w:br/>
              <w:t>random_state = 42</w:t>
            </w:r>
          </w:p>
        </w:tc>
      </w:tr>
    </w:tbl>
    <w:p>
      <w:pPr>
        <w:spacing w:after="40"/>
      </w:pP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对 OLS、Ridge、Lasso 和 Elastic Net 进行 Bagging 后，验证改善没有稳定延续到测试阶段。目前只保留 Bagged Huber 作为基准。</w:t>
      </w:r>
    </w:p>
    <w:p>
      <w:pPr>
        <w:pStyle w:val="Heading1"/>
        <w:keepNext/>
      </w:pPr>
      <w:r>
        <w:t>13. 主成分分析 PCA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PCA 在中位数填补和标准化之后拟合，且只能使用训练样本。测试的主成分数量为 3、5、7、9、11、13 和 14。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2400"/>
        <w:gridCol w:w="3960"/>
      </w:tblGrid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模型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PCA 决策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说明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OLS/Ridge/Lasso/Elastic Net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拒绝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金额误差没有同时改善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Huber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选择 11 个主成分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解释约 97.8% 的标准化特征方差</w:t>
            </w:r>
          </w:p>
        </w:tc>
      </w:tr>
    </w:tbl>
    <w:p>
      <w:pPr>
        <w:spacing w:after="80"/>
      </w:pP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PCA 单独改善较小，并会降低经济解释性；它与绝对误差损失组合时更有价值。</w:t>
      </w:r>
    </w:p>
    <w:p>
      <w:pPr>
        <w:pStyle w:val="Heading1"/>
        <w:keepNext/>
      </w:pPr>
      <w:r>
        <w:t>14. 损失函数比较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200"/>
        <w:gridCol w:w="39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损失函数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优化重点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结果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平方误差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大误差受到平方惩罚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OLS 基准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Huber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普通误差平方、大误差线性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原五模型中最好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绝对误差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最小化绝对偏差，估计条件中位数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PCA11 组合成为最强金额预测挑战者</w:t>
            </w:r>
          </w:p>
        </w:tc>
      </w:tr>
    </w:tbl>
    <w:p>
      <w:pPr>
        <w:spacing w:after="8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 w:eastAsia="Consolas"/>
                <w:color w:val="0B2545"/>
                <w:sz w:val="18"/>
              </w:rPr>
              <w:t>模型：QuantileRegressor</w:t>
              <w:br/>
              <w:t>quantile = 0.50</w:t>
              <w:br/>
              <w:t>alpha = 0</w:t>
              <w:br/>
              <w:t>PCA components = 11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15. 样本外加权平均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权重使用五个扩展窗口的训练集样本外预测计算，并设置一个观测期的时间间隔。验证集只负责选择权重方法，不直接计算数值权重。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等权重。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反增长 MSE 权重。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反增长 MAE 权重。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非负且和为 1 的最优增长 MSE 权重。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带稳定惩罚的最优权重。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600"/>
        <w:gridCol w:w="1800"/>
        <w:gridCol w:w="3960"/>
      </w:tblGrid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组合成员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当前权重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作用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移动区块 Bagged Huber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39.62%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保留原始特征上的稳健相关信息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PCA11 绝对误差回归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60.38%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降低典型金额误差</w:t>
            </w:r>
          </w:p>
        </w:tc>
      </w:tr>
    </w:tbl>
    <w:p>
      <w:pPr>
        <w:spacing w:after="80"/>
      </w:pP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完整五模型加权没有明显优势，因为 OLS、Ridge、Lasso 和 Elastic Net 的预测高度相似，缺乏组合所需的模型多样性。</w:t>
      </w:r>
    </w:p>
    <w:p>
      <w:pPr>
        <w:pStyle w:val="Heading1"/>
        <w:keepNext/>
      </w:pPr>
      <w:r>
        <w:t>16. 涨跌金额与价格变化误差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高级模型不再使用方向准确率。每个日期都直接比较预测涨跌金额和真实涨跌金额。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 w:eastAsia="Consolas"/>
                <w:color w:val="0B2545"/>
                <w:sz w:val="18"/>
              </w:rPr>
              <w:t>actual_growth_pct = 100 * (exp(actual_log_return) - 1)</w:t>
              <w:br/>
              <w:t>predicted_growth_pct = 100 * (exp(predicted_log_return) - 1)</w:t>
              <w:br/>
              <w:t>growth_error_pp = predicted_growth_pct - actual_growth_pct</w:t>
              <w:br/>
              <w:t>price_change_error = predicted_exit_price - actual_exit_price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500"/>
        <w:gridCol w:w="36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指标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计算含义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解释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增长 MAE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平均绝对百分点误差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典型交易日的平均预测偏差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增长 RMSE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百分点误差平方后平均再开根号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更重视少数大错误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波动幅度 MAE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预测绝对幅度与实际绝对幅度之差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判断是否低估或高估波动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人民币/克变化 MAE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预测价格变化与实际价格变化的平均绝对差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直接连接交易金额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t>17. 当前金额预测结果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1500"/>
        <w:gridCol w:w="1500"/>
        <w:gridCol w:w="1500"/>
        <w:gridCol w:w="2260"/>
      </w:tblGrid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诊断测试候选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增长 MAE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增长 RMSE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幅度 MAE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价格变化 MAE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Bagged Huber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0.684 pp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0.955 pp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0.578 pp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5.914 元/克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PCA11 绝对误差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0.669 pp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0.921 pp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0.573 pp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5.768 元/克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稳健双模型加权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0.671 pp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0.929 pp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0.572 pp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5.778 元/克</w:t>
            </w:r>
          </w:p>
        </w:tc>
      </w:tr>
    </w:tbl>
    <w:p>
      <w:pPr>
        <w:spacing w:after="80"/>
      </w:pP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按照金额误差，PCA11 绝对误差模型目前最有潜力；加权模型只在波动幅度 MAE 上略好，因此还不能明确替代单独模型。</w:t>
      </w:r>
    </w:p>
    <w:p>
      <w:pPr>
        <w:pStyle w:val="Heading1"/>
        <w:keepNext/>
      </w:pPr>
      <w:r>
        <w:t>18. 当前主要问题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2200"/>
        <w:gridCol w:w="2200"/>
        <w:gridCol w:w="2360"/>
      </w:tblGrid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实际波动区间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平均实际幅度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平均预测幅度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低估比例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低于 0.5%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0.235%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0.235%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54.6%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0.5%–1%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0.739%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0.248%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97.2%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1%–2%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1.341%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0.318%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98.5%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高于 2%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2.494%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0.701%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100%</w:t>
            </w:r>
          </w:p>
        </w:tc>
      </w:tr>
    </w:tbl>
    <w:p>
      <w:pPr>
        <w:spacing w:after="8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7E6"/>
          </w:tcPr>
          <w:p>
            <w:pPr>
              <w:spacing w:after="60"/>
            </w:pPr>
            <w:r>
              <w:rPr>
                <w:rFonts w:ascii="Calibri" w:hAnsi="Calibri" w:eastAsia="Microsoft YaHei"/>
                <w:b/>
                <w:color w:val="7A5A00"/>
                <w:sz w:val="21"/>
              </w:rPr>
              <w:t>核心问题：预测过度收缩</w:t>
            </w:r>
          </w:p>
          <w:p>
            <w:pPr>
              <w:spacing w:after="40" w:line="288" w:lineRule="auto"/>
            </w:pPr>
            <w:r>
              <w:rPr>
                <w:rFonts w:ascii="Calibri" w:hAnsi="Calibri" w:eastAsia="Microsoft YaHei"/>
                <w:color w:val="344054"/>
                <w:sz w:val="20"/>
              </w:rPr>
              <w:t>模型对小于 0.5% 的变化较合理，但几乎总是低估较大波动。下一阶段的主要任务不是继续增加相似线性模型，而是预测和校准波动幅度。</w:t>
            </w:r>
          </w:p>
        </w:tc>
      </w:tr>
    </w:tbl>
    <w:p>
      <w:pPr>
        <w:spacing w:after="40"/>
      </w:pP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现有测试区间受到事后事件窗口定义影响。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五个原始线性模型的预测高度相关，组合多样性不足。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PCA 改善有限，并降低单个经济因子的解释性。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入场时点尚需最终确认，决定能否使用开盘跳空和前 5–15 分钟信息。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极端事件缺乏可在事前获得的高质量因子。</w:t>
      </w:r>
    </w:p>
    <w:p>
      <w:pPr>
        <w:pStyle w:val="Heading1"/>
        <w:keepNext/>
      </w:pPr>
      <w:r>
        <w:t>19. 下一阶段计划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使用滚动样本外预测估计幅度校准系数。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单独建立绝对波动幅度模型，标签为实际涨跌幅的绝对值。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将连续收益预测与预测波动幅度组合。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加入隔夜 XAU/USD、COMEX、USD/CNH、开盘跳空和开盘量价信息。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针对不同波动率状态估计不同校准系数。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保留新的未来数据作为完全独立的最终测试集。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将预测误差连接至仓位、交易成本、持有期和 P&amp;L 账本。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6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最近的低风险改进</w:t>
            </w:r>
          </w:p>
          <w:p>
            <w:pPr>
              <w:spacing w:after="40" w:line="288" w:lineRule="auto"/>
            </w:pPr>
            <w:r>
              <w:rPr>
                <w:rFonts w:ascii="Calibri" w:hAnsi="Calibri" w:eastAsia="Microsoft YaHei"/>
                <w:color w:val="344054"/>
                <w:sz w:val="20"/>
              </w:rPr>
              <w:t>对 PCA11 绝对误差模型进行滚动幅度校准。初步诊断表明约 1.42 倍的放大系数可能降低 RMSE，但必须在多个时间折中重新估计，不能直接固定使用。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20. 十分组 Huber 交叉验证（已完成）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全部 2,728 条可用建模观测已按日期顺序切分为十个连续数据块。每次保留一块测试，使用其余九块重新训练完整的中位数填补、标准化和 Huber Pipeline，最终保存十个独立模型，并让每条观测获得一次保留块预测。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将观测划分为十个数据块。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第 i 次将第 i 块作为测试块，其余九块作为训练块。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每次重新拟合缺失值、中位数、标准化参数和 Huber 系数。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保存十个模型和每个测试块的样本外预测。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合并十个测试块，形成完整的样本外金额误差报告。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6060"/>
      </w:tblGrid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结果口径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十分组汇总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模型数量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10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每折测试观测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272–273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合并样本外观测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2,728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增长 MAE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0.587 个百分点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增长 RMSE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0.928 个百分点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波动幅度 MAE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0.466 个百分点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价格变化 MAE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2.576 元/克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折间增长 MAE 范围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0.350–0.958 个百分点</w:t>
            </w:r>
          </w:p>
        </w:tc>
      </w:tr>
    </w:tbl>
    <w:p>
      <w:pPr>
        <w:spacing w:after="8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DECEC"/>
          </w:tcPr>
          <w:p>
            <w:pPr>
              <w:spacing w:after="60"/>
            </w:pPr>
            <w:r>
              <w:rPr>
                <w:rFonts w:ascii="Calibri" w:hAnsi="Calibri" w:eastAsia="Microsoft YaHei"/>
                <w:b/>
                <w:color w:val="9B1C1C"/>
                <w:sz w:val="21"/>
              </w:rPr>
              <w:t>时间序列警告</w:t>
            </w:r>
          </w:p>
          <w:p>
            <w:pPr>
              <w:spacing w:after="40" w:line="288" w:lineRule="auto"/>
            </w:pPr>
            <w:r>
              <w:rPr>
                <w:rFonts w:ascii="Calibri" w:hAnsi="Calibri" w:eastAsia="Microsoft YaHei"/>
                <w:color w:val="344054"/>
                <w:sz w:val="20"/>
              </w:rPr>
              <w:t>普通十折方法会让未来数据参与过去测试块的训练，产生未来信息泄漏。更安全的做法是十个滚动或扩展时间窗口：每个测试块只能使用其之前的历史数据训练。若必须严格执行九块训练一块测试，应将其明确标记为相关性诊断，而不是可交易的样本外回测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21. Huber 损失函数数值优化与系数报告（已完成）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为回应损失函数、偏导数和梯度下降的研究要求，项目使用全部 2,728 条事件过滤后观测，对当前 14 个特征的正则化 Huber 损失进行数值最小化。目标变量为从下一交易日开盘到预测期退出收盘的对数收益率。固定 epsilon=1.1、alpha=0.001，并使用带解析梯度的 L-BFGS-B 求解；该方法属于梯度型数值优化。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700"/>
        <w:gridCol w:w="4160"/>
        <w:gridCol w:w="2100"/>
        <w:gridCol w:w="2400"/>
      </w:tblGrid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排名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特征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标准化系数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原始单位系数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xauusd_return_1d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0.002492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0.284013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2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momentum_5d_x_volatility_20d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-0.001084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-3.863286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3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premium_change_5d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-0.000925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-0.094578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4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breakeven_inflation_10y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0.000826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0.002247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5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shanghai_gold_premium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-0.000685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-0.061942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6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momentum_5d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0.000631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0.032324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7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shfe_gold_settle_return_1d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-0.000612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-0.077971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8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return_1d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0.000181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0.021161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9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xauusd_momentum_5d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0.000162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0.008530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10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usdcnh_return_1d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0.000161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0.058439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11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volatility_20d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0.000146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0.031234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12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oil_momentum_5d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-0.000123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-0.002065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13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ma_gap_20d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-0.000059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-0.002813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14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momentum_20d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-0.000037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-0.001002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600"/>
        <w:gridCol w:w="5760"/>
      </w:tblGrid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优化诊断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结果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标准化截距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-0.00074433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估计残差尺度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0.00160596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最终 Huber 目标值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33.7448368910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零系数基准目标值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37.3465299306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相对零系数损失下降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9.644%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数值细化迭代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16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平均目标梯度无穷范数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4.82e-08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优化状态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成功收敛</w:t>
            </w:r>
          </w:p>
        </w:tc>
      </w:tr>
    </w:tbl>
    <w:p>
      <w:pPr>
        <w:spacing w:after="8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7E6"/>
          </w:tcPr>
          <w:p>
            <w:pPr>
              <w:spacing w:after="60"/>
            </w:pPr>
            <w:r>
              <w:rPr>
                <w:rFonts w:ascii="Calibri" w:hAnsi="Calibri" w:eastAsia="Microsoft YaHei"/>
                <w:b/>
                <w:color w:val="7A5A00"/>
                <w:sz w:val="21"/>
              </w:rPr>
              <w:t>解释限制</w:t>
            </w:r>
          </w:p>
          <w:p>
            <w:pPr>
              <w:spacing w:after="40" w:line="288" w:lineRule="auto"/>
            </w:pPr>
            <w:r>
              <w:rPr>
                <w:rFonts w:ascii="Calibri" w:hAnsi="Calibri" w:eastAsia="Microsoft YaHei"/>
                <w:color w:val="344054"/>
                <w:sz w:val="20"/>
              </w:rPr>
              <w:t>标准化系数适合比较因子影响大小；原始单位系数只能结合各特征的单位解释。该模型使用全部样本估计系数，因此用于参数报告和部署，不得把它的拟合误差当作样本外测试表现。十折结果仍用于检验系数和预测误差的跨时期稳定性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22. 关键代码与输出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模块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文件或目录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主模型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gold_model_comparison.py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固定期限比较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compare_fixed_horizons.py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交互项与状态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interaction_regime_features.py；compare_interaction_regimes.py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统计特征选择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statistical_feature_selection.py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Bagging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compare_bagged_huber.py；compare_bagging_all_models.py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PCA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compare_pca_models.py；outputs/pca_h1/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损失函数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compare_loss_functions.py；outputs/loss_function_h1/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加权平均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compare_weighted_ensemble.py；outputs/weighted_ensemble_h1/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金额误差报告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build_growth_amount_report.py；outputs/growth_amount_report_h1/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十分组 Huber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huber_10fold_blocked_cv.py；outputs/huber_10fold_blocked/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十九分组滚动 Huber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huber_rolling_19block_cv.py；outputs/huber_rolling_19block/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锁定第十九块共同测试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locked_block19_ensemble.py；outputs/locked_block19_ensemble/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锁定第十九块 P&amp;L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locked_block19_pnl.py；outputs/locked_block19_pnl/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Huber 损失最小化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huber_loss_coefficient_report.py；outputs/huber_loss_minimization/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自动化测试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tests/；.github/workflows/tests.yml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QMT 可选集成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qmt/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项目笔记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Gold_Model_Project_Notes.docx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t>23. GitHub 版本管理与自动化测试（已完成）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项目已连接至公开 GitHub 仓库 asuka20302/Gold-Research。现有研究成果作为基线版本纳入 Git；今后的模型、数据处理和回测修改应使用小而明确的提交记录。GitHub 不能恢复此前真实的开发历史，但可以从本次基线提交开始形成可审计的版本轨迹。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目录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内容与规则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项目根目录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五模型主流程、统计筛选、PCA、损失函数、Bagging、加权及 P&amp;L 代码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docs/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当前项目笔记与中文完整流程文档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qmt/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可选 QMT 信号导出和策略模板，与研究主流程隔离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reports/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供代码审查的小型最终结果表，不包含完整市场数据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tests/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目标时间、五模型范围、交互项、状态标签、Huber 梯度和十九分组公平性测试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data/、outputs/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本地下载和生成目录；默认不提交 Git</w:t>
            </w:r>
          </w:p>
        </w:tc>
      </w:tr>
    </w:tbl>
    <w:p>
      <w:pPr>
        <w:spacing w:after="80"/>
      </w:pP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删除已合并进文档的一次性更新脚本和临时渲染目录。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使用 .gitignore 排除虚拟环境、密钥、下载数据、完整输出、模型文件和缓存。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提供 .env.example、requirements.txt、README 和目录说明以便复现。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新增 13 个 pytest 测试；本地测试全部通过。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新增 GitHub Actions，在每次 push 和 pull request 时自动运行测试。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DECEC"/>
          </w:tcPr>
          <w:p>
            <w:pPr>
              <w:spacing w:after="60"/>
            </w:pPr>
            <w:r>
              <w:rPr>
                <w:rFonts w:ascii="Calibri" w:hAnsi="Calibri" w:eastAsia="Microsoft YaHei"/>
                <w:b/>
                <w:color w:val="9B1C1C"/>
                <w:sz w:val="21"/>
              </w:rPr>
              <w:t>版本管理规则</w:t>
            </w:r>
          </w:p>
          <w:p>
            <w:pPr>
              <w:spacing w:after="40" w:line="288" w:lineRule="auto"/>
            </w:pPr>
            <w:r>
              <w:rPr>
                <w:rFonts w:ascii="Calibri" w:hAnsi="Calibri" w:eastAsia="Microsoft YaHei"/>
                <w:color w:val="344054"/>
                <w:sz w:val="20"/>
              </w:rPr>
              <w:t>不得提交真实 Tushare Token、账户信息、完整数据缓存或未经审查的大型模型输出。每个研究步骤使用独立、可解释的提交；测试失败时不得合并。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24. 十九分组固定窗口 Huber 验证（当前公平方案）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为消除扩展窗口中训练样本数量不同带来的公平性问题，2,728 条可用观测被处理为 19 个完全相等的连续区块。每块 143 条，最早 11 条余数不进入该公平性诊断。模型 1 使用区块 1—9 训练、区块 10 测试；之后窗口每次向前移动一块，直到模型 10 使用区块 10—18 训练、区块 19 测试。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600"/>
        <w:gridCol w:w="5760"/>
      </w:tblGrid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设计或结果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数值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模型数量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10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每个模型训练区块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9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每个模型训练观测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1,287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每个模型测试观测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143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合并严格样本外预测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1,430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增长 MAE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0.639 个百分点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增长 RMSE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0.908 个百分点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波动幅度 MAE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0.517 个百分点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价格变化 MAE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3.531 元/克</w:t>
            </w:r>
          </w:p>
        </w:tc>
      </w:tr>
    </w:tbl>
    <w:p>
      <w:pPr>
        <w:spacing w:after="80"/>
      </w:pP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所有训练日期严格早于对应测试日期。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每个训练目标在测试块首个信号日之前或当日已经可观察。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十个模型固定使用相同 14 个特征、epsilon=1.1 和 alpha=0.001。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测试窗口增长 MAE 范围为 0.428—0.817 个百分点。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国际金价日收益、动量与波动率交互、溢价变化及通胀预期系数符号最稳定。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7E6"/>
          </w:tcPr>
          <w:p>
            <w:pPr>
              <w:spacing w:after="60"/>
            </w:pPr>
            <w:r>
              <w:rPr>
                <w:rFonts w:ascii="Calibri" w:hAnsi="Calibri" w:eastAsia="Microsoft YaHei"/>
                <w:b/>
                <w:color w:val="7A5A00"/>
                <w:sz w:val="21"/>
              </w:rPr>
              <w:t>与旧十分组结果的区别</w:t>
            </w:r>
          </w:p>
          <w:p>
            <w:pPr>
              <w:spacing w:after="40" w:line="288" w:lineRule="auto"/>
            </w:pPr>
            <w:r>
              <w:rPr>
                <w:rFonts w:ascii="Calibri" w:hAnsi="Calibri" w:eastAsia="Microsoft YaHei"/>
                <w:color w:val="344054"/>
                <w:sz w:val="20"/>
              </w:rPr>
              <w:t>旧十分组方法的前九折会使用测试日期之后的数据，只适合相关性和系数稳定性诊断。十九分组固定窗口结果没有这种未来数据泄漏，且每个模型训练量相同，因此应作为当前主要验证结果。两个实验的测试日期和样本量不同，误差不能被解释为完全同口径的模型优劣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25. 锁定第十九块的五模型共同测试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为了让五个模型在完全相同的测试日期上比较，第 19 块被排除在训练和权重计算之外。第 1—18 块用于开发：依次使用前九块训练并预测第 10—18 块，由这些开发期样本外预测计算增长 MAE；最终五个模型统一使用第 10—18 块的 1,287 条观测训练，再共同预测第 19 块的 143 条观测。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3180"/>
        <w:gridCol w:w="3180"/>
      </w:tblGrid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候选模型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第 19 块增长 MAE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第 19 块价格变化 MAE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BaggedHuber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0.797 个百分点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8.065 元/克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加权平均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0.816 个百分点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8.257 元/克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Lasso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0.823 个百分点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8.342 元/克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ElasticNet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0.824 个百分点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8.345 元/克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Ridge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0.824 个百分点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8.345 元/克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OLS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0.824 个百分点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8.345 元/克</w:t>
            </w:r>
          </w:p>
        </w:tc>
      </w:tr>
    </w:tbl>
    <w:p>
      <w:pPr>
        <w:spacing w:after="80"/>
      </w:pPr>
    </w:p>
    <w:p>
      <w:pPr>
        <w:spacing w:before="0"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权重规则为开发期样本外增长 MAE 的归一化倒数。五个开发期 MAE 几乎相同，因此权重都接近 20%。四个普通线性模型的预测也高度相似，导致投票缺少模型多样性；锁定测试中加权平均没有超过 BaggedHuber，所以当前部署候选仍为 BaggedHuber。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7E6"/>
          </w:tcPr>
          <w:p>
            <w:pPr>
              <w:spacing w:after="60"/>
            </w:pPr>
            <w:r>
              <w:rPr>
                <w:rFonts w:ascii="Calibri" w:hAnsi="Calibri" w:eastAsia="Microsoft YaHei"/>
                <w:b/>
                <w:color w:val="7A5A00"/>
                <w:sz w:val="21"/>
              </w:rPr>
              <w:t>关于“未触碰”的准确表述</w:t>
            </w:r>
          </w:p>
          <w:p>
            <w:pPr>
              <w:spacing w:after="40" w:line="288" w:lineRule="auto"/>
            </w:pPr>
            <w:r>
              <w:rPr>
                <w:rFonts w:ascii="Calibri" w:hAnsi="Calibri" w:eastAsia="Microsoft YaHei"/>
                <w:color w:val="344054"/>
                <w:sz w:val="20"/>
              </w:rPr>
              <w:t>新程序保证第 19 块没有进入训练、滚动开发误差或权重计算。但此前十九分组 Huber 诊断已经显示过该时期的结果，因此不能恢复研究人员层面的完全盲测。当前应称为“从现在起锁定的共同留出集”；真正全新的最终检验需要等待从未查看过的未来数据。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26. BaggedHuber 锁定区间持仓与 P&amp;L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交易规则只使用第 10—18 块的滚动样本外 BaggedHuber 预测选择。信号在 signal_date 收盘后形成，下一交易日开盘买入，并在同一交易日收盘卖出。当前账本是假设直接交易 Au99.99 的多头/空仓研究模拟，不是黄金 ETF 成交回测。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80"/>
        <w:gridCol w:w="1350"/>
        <w:gridCol w:w="1740"/>
        <w:gridCol w:w="1500"/>
        <w:gridCol w:w="1990"/>
      </w:tblGrid>
      <w:tr>
        <w:tc>
          <w:tcPr>
            <w:tcW w:type="dxa" w:w="2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锁定第 19 块策略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交易次数</w:t>
            </w:r>
          </w:p>
        </w:tc>
        <w:tc>
          <w:tcPr>
            <w:tcW w:type="dxa" w:w="1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总收益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Sharpe</w:t>
            </w:r>
          </w:p>
        </w:tc>
        <w:tc>
          <w:tcPr>
            <w:tcW w:type="dxa" w:w="19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最大回撤</w:t>
            </w:r>
          </w:p>
        </w:tc>
      </w:tr>
      <w:tr>
        <w:tc>
          <w:tcPr>
            <w:tcW w:type="dxa" w:w="2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开发期选定波动率仓位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87</w:t>
            </w:r>
          </w:p>
        </w:tc>
        <w:tc>
          <w:tcPr>
            <w:tcW w:type="dxa" w:w="1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27.54%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3.75</w:t>
            </w:r>
          </w:p>
        </w:tc>
        <w:tc>
          <w:tcPr>
            <w:tcW w:type="dxa" w:w="19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-4.02%</w:t>
            </w:r>
          </w:p>
        </w:tc>
      </w:tr>
      <w:tr>
        <w:tc>
          <w:tcPr>
            <w:tcW w:type="dxa" w:w="2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成本阈值全仓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75</w:t>
            </w:r>
          </w:p>
        </w:tc>
        <w:tc>
          <w:tcPr>
            <w:tcW w:type="dxa" w:w="1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27.50%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3.19</w:t>
            </w:r>
          </w:p>
        </w:tc>
        <w:tc>
          <w:tcPr>
            <w:tcW w:type="dxa" w:w="19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-4.70%</w:t>
            </w:r>
          </w:p>
        </w:tc>
      </w:tr>
      <w:tr>
        <w:tc>
          <w:tcPr>
            <w:tcW w:type="dxa" w:w="2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零阈值全仓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87</w:t>
            </w:r>
          </w:p>
        </w:tc>
        <w:tc>
          <w:tcPr>
            <w:tcW w:type="dxa" w:w="1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25.78%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2.78</w:t>
            </w:r>
          </w:p>
        </w:tc>
        <w:tc>
          <w:tcPr>
            <w:tcW w:type="dxa" w:w="19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-6.76%</w:t>
            </w:r>
          </w:p>
        </w:tc>
      </w:tr>
      <w:tr>
        <w:tc>
          <w:tcPr>
            <w:tcW w:type="dxa" w:w="2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始终空仓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</w:t>
            </w:r>
          </w:p>
        </w:tc>
        <w:tc>
          <w:tcPr>
            <w:tcW w:type="dxa" w:w="1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0.00%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0.00</w:t>
            </w:r>
          </w:p>
        </w:tc>
        <w:tc>
          <w:tcPr>
            <w:tcW w:type="dxa" w:w="19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0.00%</w:t>
            </w:r>
          </w:p>
        </w:tc>
      </w:tr>
      <w:tr>
        <w:tc>
          <w:tcPr>
            <w:tcW w:type="dxa" w:w="2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买入并持有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</w:t>
            </w:r>
          </w:p>
        </w:tc>
        <w:tc>
          <w:tcPr>
            <w:tcW w:type="dxa" w:w="1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-8.55%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-0.47</w:t>
            </w:r>
          </w:p>
        </w:tc>
        <w:tc>
          <w:tcPr>
            <w:tcW w:type="dxa" w:w="19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-22.29%</w:t>
            </w:r>
          </w:p>
        </w:tc>
      </w:tr>
      <w:tr>
        <w:tc>
          <w:tcPr>
            <w:tcW w:type="dxa" w:w="2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每日开盘买入收盘卖出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143</w:t>
            </w:r>
          </w:p>
        </w:tc>
        <w:tc>
          <w:tcPr>
            <w:tcW w:type="dxa" w:w="1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-17.90%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-1.61</w:t>
            </w:r>
          </w:p>
        </w:tc>
        <w:tc>
          <w:tcPr>
            <w:tcW w:type="dxa" w:w="19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-24.80%</w:t>
            </w:r>
          </w:p>
        </w:tc>
      </w:tr>
    </w:tbl>
    <w:p>
      <w:pPr>
        <w:spacing w:after="80"/>
      </w:pP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初始资金为 100,000 元；默认单边佣金 3 bps、单边滑点 2 bps。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主规则在锁定区间产生 27,542 元净利润，累计交易成本约 5,752 元。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双倍成本情景下总收益仍为 21.40%，但实际费率必须按交易品种和券商重新填写。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开发期九个区块中六个盈利；2020—2022 年部分区块亏损，说明效果存在明显状态依赖。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第 19 块没有参与阈值或仓位参数选择，但此前模型诊断已查看该时期，因此不能宣传为完全盲测。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DECEC"/>
          </w:tcPr>
          <w:p>
            <w:pPr>
              <w:spacing w:after="60"/>
            </w:pPr>
            <w:r>
              <w:rPr>
                <w:rFonts w:ascii="Calibri" w:hAnsi="Calibri" w:eastAsia="Microsoft YaHei"/>
                <w:b/>
                <w:color w:val="9B1C1C"/>
                <w:sz w:val="21"/>
              </w:rPr>
              <w:t>收益解释限制</w:t>
            </w:r>
          </w:p>
          <w:p>
            <w:pPr>
              <w:spacing w:after="40" w:line="288" w:lineRule="auto"/>
            </w:pPr>
            <w:r>
              <w:rPr>
                <w:rFonts w:ascii="Calibri" w:hAnsi="Calibri" w:eastAsia="Microsoft YaHei"/>
                <w:color w:val="344054"/>
                <w:sz w:val="20"/>
              </w:rPr>
              <w:t>27.54% 是研究账本结果，不是可直接复制的实盘收益。它使用 Au99.99 价格、允许按克进行小数仓位并采用固定成本。若实际交易 518880 ETF、黄金期货或其他产品，跟踪误差、合约乘数、保证金、涨跌停、最小交易单位和真实费用都会改变结果。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27. 当前结论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项目已经完成从数据获取、模型比较、金额误差、锁定共同留出集到持仓与净 P&amp;L 的完整研究闭环。统计特征选择、稳健回归、PCA、绝对误差损失、移动区块 Bagging、样本外加权和成本敏感性均已有可复现实现。</w:t>
      </w:r>
    </w:p>
    <w:p>
      <w:pPr>
        <w:spacing w:before="0"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当前候选为 BaggedHuber 配合开发期选定的多头/空仓波动率仓位规则。锁定区间结果强于基准，但跨时期稳定性不足且并非真实可交易产品回测。下一步应固定现有代码和参数，等待全新的未来数据进行纸面交易，同时把直接黄金账本映射到明确交易品种及其真实成本规则。</w:t>
      </w:r>
    </w:p>
    <w:p>
      <w:r>
        <w:br w:type="page"/>
      </w:r>
    </w:p>
    <w:p>
      <w:pPr>
        <w:pStyle w:val="Heading1"/>
      </w:pPr>
      <w:r>
        <w:t>28. 国际黄金 XAU/USD 数据源切换（2026-07-24）</w:t>
      </w:r>
    </w:p>
    <w:p>
      <w:r>
        <w:t>维护中的预测目标已从上海黄金交易所 Au99.99（人民币/克）切换为 FXCM XAU/USD（美元/金衡盎司）。原中国黄金代码仅保留为历史对照，新国际黄金入口不再把它作为标签。</w:t>
      </w:r>
    </w:p>
    <w:p>
      <w:pPr>
        <w:pStyle w:val="Heading2"/>
      </w:pPr>
      <w:r>
        <w:t>数据与标签规则</w:t>
      </w:r>
    </w:p>
    <w:p>
      <w:pPr>
        <w:pStyle w:val="ListBullet"/>
      </w:pPr>
      <w:r>
        <w:t>首选数据：Tushare fx_daily 的 XAUUSD.FXCM，交易日期为 GMT，包含买卖盘开高低收。</w:t>
      </w:r>
    </w:p>
    <w:p>
      <w:pPr>
        <w:pStyle w:val="ListBullet"/>
      </w:pPr>
      <w:r>
        <w:t>完整 OHLC 下的一期标签：log（下一交易日中间收盘价 / 下一交易日中间开盘价）。</w:t>
      </w:r>
    </w:p>
    <w:p>
      <w:pPr>
        <w:pStyle w:val="ListBullet"/>
      </w:pPr>
      <w:r>
        <w:t>当前 token 无法刷新接口，因此本次使用已缓存的 Tushare/FXCM 中间收盘价，并撤销旧流程为上海收盘对齐所做的一期滞后。</w:t>
      </w:r>
    </w:p>
    <w:p>
      <w:pPr>
        <w:pStyle w:val="ListBullet"/>
      </w:pPr>
      <w:r>
        <w:t>收盘价回退标签：log（下一交易日中间收盘价 / 信号日中间收盘价）。因为没有下一日开盘和买卖价差，不能据此声称可执行 P&amp;L。</w:t>
      </w:r>
    </w:p>
    <w:p>
      <w:pPr>
        <w:pStyle w:val="ListBullet"/>
      </w:pPr>
      <w:r>
        <w:t>国际模型排除 SGE 价格、上海溢价和 SHFE 黄金变量。</w:t>
      </w:r>
    </w:p>
    <w:p>
      <w:pPr>
        <w:pStyle w:val="Heading2"/>
      </w:pPr>
      <w:r>
        <w:t>十九分组与模型</w:t>
      </w:r>
    </w:p>
    <w:p>
      <w:r>
        <w:t>国际样本形成 19 个等长时间块，每块 163 条，最早 17 条余数不参与。第 1—9 块用于训练期 AIC 特征筛选，第 10 块按涨跌幅 MAE 选择超参数，第 11—18 块产生滚动样本外预测并计算 MAE 倒数权重，最终模型使用第 10—18 块训练，在预测第 19 块前删除尚不可观测的尾部标签。</w:t>
      </w:r>
    </w:p>
    <w:p>
      <w:r>
        <w:t>五个候选模型为 OLS、Ridge、Lasso、Elastic Net 和移动块 Bagged Huber。评价不使用方向准确率，而使用涨跌幅 MAE/RMSE（百分点）和价格 MAE/RMSE（美元/盎司）。</w:t>
      </w:r>
    </w:p>
    <w:p>
      <w:pPr>
        <w:pStyle w:val="Heading2"/>
      </w:pPr>
      <w:r>
        <w:t>首轮结果与结论</w:t>
      </w:r>
    </w:p>
    <w:p>
      <w:r>
        <w:t>训练期 AIC 保留 7 个变量：XAU/USD 一期收益、五期动量、20 期波动率、原油一期收益、实际利率一期变化、10 年盈亏平衡通胀率和 GVZ 水平。</w:t>
      </w:r>
    </w:p>
    <w:p>
      <w:r>
        <w:t>第 19 块中，零收益基准的涨跌幅 MAE 为 1.2775 个百分点；Lasso 与 Elastic Net 均为 1.2781；加权组合为 1.2807。因此当前规格没有战胜零预测。价格曲线看起来接近主要来自“下一日价格通常接近今日价格”的持久性，不能代替收益误差检验。</w:t>
      </w:r>
    </w:p>
    <w:p>
      <w:r>
        <w:t>结论：国际数据源切换已经完成，但当前收盘到收盘模型不具备交易 P&amp;L 资格。下一步应恢复有效的 fx_daily 权限，以 --target-mode open_to_close 重新训练，并在买卖价差和实际成本下重新检验。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667085"/>
        <w:sz w:val="18"/>
      </w:rPr>
      <w:t xml:space="preserve">第 </w:t>
      <w:fldChar w:fldCharType="begin"/>
      <w:instrText xml:space="preserve"> PAGE </w:instrText>
      <w:fldChar w:fldCharType="separate"/>
      <w:fldChar w:fldCharType="end"/>
    </w:r>
    <w:r>
      <w:rPr>
        <w:rFonts w:ascii="Calibri" w:hAnsi="Calibri" w:eastAsia="Microsoft YaHei"/>
        <w:color w:val="66708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085"/>
        <w:sz w:val="18"/>
      </w:rPr>
      <w:t>黄金量化预测项目  |  完整流程说明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Microsoft YaHei" w:hAnsi="Microsoft YaHe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300" w:lineRule="auto"/>
      <w:contextualSpacing/>
    </w:pPr>
    <w:rPr>
      <w:rFonts w:ascii="Microsoft YaHei" w:hAnsi="Microsoft YaHei" w:eastAsia="Microsoft YaHei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contextualSpacing/>
    </w:pPr>
    <w:rPr>
      <w:rFonts w:ascii="Microsoft YaHei" w:hAnsi="Microsoft YaHe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黄金量化预测项目完整流程</dc:title>
  <dc:subject>Au99.99 量化预测项目研究流程手册</dc:subject>
  <dc:creator>Quant Research Project</dc:creator>
  <cp:keywords>黄金, Au99.99, 回归, PCA, Huber, Bagging, 损失函数, 加权平均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