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CAAC" w14:textId="77777777" w:rsidR="009C05CE" w:rsidRPr="009C05CE" w:rsidRDefault="00CA30E0" w:rsidP="009C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Die Business </w:t>
      </w:r>
      <w:proofErr w:type="spellStart"/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Process</w:t>
      </w:r>
      <w:proofErr w:type="spellEnd"/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Model and Notation ist eine grafische Spezifikationssprache in der Wirtschaftsinformatik und im Prozessmanagement. Sie stellt Symbole zur Verfügung, mit denen Fach-, Methoden- und Informatikspezialisten Geschäftsprozesse und Arbeitsabläufe modellieren und dokumentieren können.</w:t>
      </w:r>
      <w:r w:rsidR="00A8336F"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A8336F"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9C05CE"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Genau wie bei Flussdiagrammen werden auch für BPMN-Diagramme eine Reihe von Standardsymbolen verwendet. Jede Form hat eine konkrete Bedeutung und einen geschäftlichen Kontext, in den sie am besten passt</w:t>
      </w:r>
      <w:r w:rsidR="009C05CE"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  <w:r w:rsidR="009C05CE"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9C05CE"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="009C05CE"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Die häufigsten BPMN-Symbole</w:t>
      </w:r>
    </w:p>
    <w:p w14:paraId="4F44F68F" w14:textId="0CF071FE" w:rsidR="009C05CE" w:rsidRDefault="009C05CE" w:rsidP="009C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Ein BPMN-Diagramm (Business </w:t>
      </w:r>
      <w:proofErr w:type="spellStart"/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Process</w:t>
      </w:r>
      <w:proofErr w:type="spellEnd"/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Model and Notation, Geschäftsprozessmodell und -notation) dient zur Erstellung übersichtlicher, gut verständlicher </w:t>
      </w:r>
      <w:hyperlink r:id="rId4" w:history="1">
        <w:r w:rsidRPr="009C05CE">
          <w:rPr>
            <w:rFonts w:ascii="Times New Roman" w:eastAsia="Times New Roman" w:hAnsi="Times New Roman" w:cs="Times New Roman"/>
            <w:sz w:val="24"/>
            <w:szCs w:val="24"/>
            <w:lang w:eastAsia="de-AT"/>
          </w:rPr>
          <w:t>BPM-Flussdiagramme</w:t>
        </w:r>
      </w:hyperlink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, die über verschiedene Organisationen und Branchen hinweg geteilt werden können. Es gibt vier Hauptgruppen von BPMN-Diagrammsymbolen: Flussobjekte, Verbindungsobjekte, Verantwortlichkeitsbereiche und Artefakte. Achten Sie bei der Wahl des passenden </w:t>
      </w:r>
      <w:hyperlink r:id="rId5" w:history="1">
        <w:r w:rsidRPr="009C05CE">
          <w:rPr>
            <w:rFonts w:ascii="Times New Roman" w:eastAsia="Times New Roman" w:hAnsi="Times New Roman" w:cs="Times New Roman"/>
            <w:sz w:val="24"/>
            <w:szCs w:val="24"/>
            <w:lang w:eastAsia="de-AT"/>
          </w:rPr>
          <w:t>Tools zur Erstellung von BPMN-Diagrammen</w:t>
        </w:r>
      </w:hyperlink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darauf, dass die folgenden Formen und Symbole gegeben sind.</w:t>
      </w:r>
    </w:p>
    <w:p w14:paraId="7F51E367" w14:textId="038DE739" w:rsidR="009C05CE" w:rsidRDefault="009C05CE" w:rsidP="009C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7F7EBE18" w14:textId="77777777" w:rsidR="009C05CE" w:rsidRPr="009C05CE" w:rsidRDefault="009C05CE" w:rsidP="009C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9C05CE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BPMN-Ereignisarten</w:t>
      </w:r>
    </w:p>
    <w:p w14:paraId="3C4F8E5D" w14:textId="77777777" w:rsidR="009C05CE" w:rsidRPr="009C05CE" w:rsidRDefault="009C05CE" w:rsidP="009C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Ereignisse bilden ein Ereignis in einem Geschäftsprozess ab.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8241"/>
      </w:tblGrid>
      <w:tr w:rsidR="009C05CE" w:rsidRPr="009C05CE" w14:paraId="48134D2E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55223" w14:textId="0D853495" w:rsidR="009C05CE" w:rsidRPr="009C05CE" w:rsidRDefault="009C05CE" w:rsidP="009C05CE">
            <w:pPr>
              <w:spacing w:after="0" w:line="240" w:lineRule="auto"/>
              <w:divId w:val="1655644809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7057F10D" wp14:editId="40DD86B2">
                  <wp:extent cx="449580" cy="449580"/>
                  <wp:effectExtent l="0" t="0" r="0" b="0"/>
                  <wp:docPr id="3" name="Grafik 3" descr=" Startereign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Startereign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FCE613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Symbol „Ereignis beginnt“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 Kennzeichnet den ersten Schritt in einem Prozess.</w:t>
            </w:r>
          </w:p>
        </w:tc>
      </w:tr>
      <w:tr w:rsidR="009C05CE" w:rsidRPr="009C05CE" w14:paraId="1F7E5ADD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4B54E" w14:textId="7E2CAA5E" w:rsidR="009C05CE" w:rsidRPr="009C05CE" w:rsidRDefault="009C05CE" w:rsidP="009C0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78C76685" wp14:editId="34175535">
                  <wp:extent cx="449580" cy="457200"/>
                  <wp:effectExtent l="0" t="0" r="0" b="0"/>
                  <wp:docPr id="2" name="Grafik 2" descr=" Zwischenereign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 Zwischenereign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92C31C7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Symbol „Zwischenereignis“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 Repräsentiert jedes Ereignis, das zwischen Beginn und Ende eines Ereignisses stattfindet.</w:t>
            </w:r>
          </w:p>
        </w:tc>
      </w:tr>
      <w:tr w:rsidR="009C05CE" w:rsidRPr="009C05CE" w14:paraId="7CDF9758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9345" w14:textId="3E4D4CB0" w:rsidR="009C05CE" w:rsidRPr="009C05CE" w:rsidRDefault="009C05CE" w:rsidP="009C0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14B5049D" wp14:editId="733B2026">
                  <wp:extent cx="480060" cy="487680"/>
                  <wp:effectExtent l="0" t="0" r="0" b="0"/>
                  <wp:docPr id="1" name="Grafik 1" descr=" Endereign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Endereign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2CEA6BD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Symbol „Ereignis endet“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 Kennzeichnet den letzten Schritt in einem Prozess.</w:t>
            </w:r>
          </w:p>
        </w:tc>
      </w:tr>
    </w:tbl>
    <w:p w14:paraId="75EC3279" w14:textId="77777777" w:rsidR="009C05CE" w:rsidRPr="009C05CE" w:rsidRDefault="009C05CE" w:rsidP="009C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49DB11BC" w14:textId="621B7C47" w:rsidR="00A8336F" w:rsidRDefault="00A8336F"/>
    <w:p w14:paraId="537B9B9D" w14:textId="480DBE7C" w:rsidR="009C05CE" w:rsidRDefault="009C05CE"/>
    <w:p w14:paraId="22FBD540" w14:textId="77777777" w:rsidR="009C05CE" w:rsidRDefault="009C05CE" w:rsidP="009C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</w:p>
    <w:p w14:paraId="14AB1D08" w14:textId="77777777" w:rsidR="009C05CE" w:rsidRDefault="009C05CE" w:rsidP="009C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</w:p>
    <w:p w14:paraId="33A3F688" w14:textId="77777777" w:rsidR="009C05CE" w:rsidRDefault="009C05CE" w:rsidP="009C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</w:p>
    <w:p w14:paraId="03230728" w14:textId="77777777" w:rsidR="009C05CE" w:rsidRDefault="009C05CE" w:rsidP="009C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</w:p>
    <w:p w14:paraId="3CBED0DA" w14:textId="34357DAC" w:rsidR="009C05CE" w:rsidRPr="009C05CE" w:rsidRDefault="009C05CE" w:rsidP="009C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9C05CE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lastRenderedPageBreak/>
        <w:t>BPMN-Aktivitätssymbole</w:t>
      </w:r>
    </w:p>
    <w:p w14:paraId="7F5F08E4" w14:textId="77777777" w:rsidR="009C05CE" w:rsidRPr="009C05CE" w:rsidRDefault="009C05CE" w:rsidP="009C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Aktivitäten beschreiben, welche Art von Arbeit bei einer bestimmten Prozessinstanz erledigt wird. Es gibt vier Arten von BPMN-Aktivitäten: Aufgaben, Teilprozesse, Transaktionen und Anrufaktivitäten.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7497"/>
      </w:tblGrid>
      <w:tr w:rsidR="009C05CE" w:rsidRPr="009C05CE" w14:paraId="4797EC01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520E4" w14:textId="55E54B63" w:rsidR="009C05CE" w:rsidRPr="009C05CE" w:rsidRDefault="009C05CE" w:rsidP="009C05CE">
            <w:pPr>
              <w:spacing w:after="0" w:line="240" w:lineRule="auto"/>
              <w:divId w:val="1841770325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1091E69D" wp14:editId="61FD8507">
                  <wp:extent cx="952500" cy="716280"/>
                  <wp:effectExtent l="0" t="0" r="0" b="0"/>
                  <wp:docPr id="19" name="Grafik 19" descr=" Aufga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 Aufga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02BB3A8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Aufgabensymbol: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Die grundlegendste Form einer Aktivität, die nicht weiter unterteilt werden kann. Der Prozess einer Morgenroutine kann z. B. die Aufgabe enthalten, den Computer einzuschalten.</w:t>
            </w:r>
          </w:p>
        </w:tc>
      </w:tr>
      <w:tr w:rsidR="009C05CE" w:rsidRPr="009C05CE" w14:paraId="170B1D4F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B024" w14:textId="2998A5FD" w:rsidR="009C05CE" w:rsidRPr="009C05CE" w:rsidRDefault="009C05CE" w:rsidP="009C0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4848DB3E" wp14:editId="2AE18ADA">
                  <wp:extent cx="952500" cy="716280"/>
                  <wp:effectExtent l="0" t="0" r="0" b="0"/>
                  <wp:docPr id="18" name="Grafik 18" descr="BPMN Subprozess Mod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BPMN Subprozess Mod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E831D62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Subprozess-Symbol: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Eine Reihe von Aufgaben, die besonders gut zusammenpassen. Für Subprozesse gibt es zwei verschiedene Ansichten. Zum einen die reduzierte Ansicht, bei der ein ausklappbares Plus-Zeichen anzeigt, dass weitere Informationen verfügbar sind. </w:t>
            </w:r>
            <w:proofErr w:type="gramStart"/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Bei der anderen Ansichten</w:t>
            </w:r>
            <w:proofErr w:type="gramEnd"/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handelt es sich um eine erweiterte Ansicht des Subprozesses, die alle Aufgaben des Subprozesses umfasst und ihn vollständig beschreibt.</w:t>
            </w:r>
          </w:p>
        </w:tc>
      </w:tr>
      <w:tr w:rsidR="009C05CE" w:rsidRPr="009C05CE" w14:paraId="4D294D35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017F9" w14:textId="71F8E89E" w:rsidR="009C05CE" w:rsidRPr="009C05CE" w:rsidRDefault="009C05CE" w:rsidP="009C0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2E0FBAEE" wp14:editId="3553FC0A">
                  <wp:extent cx="952500" cy="716280"/>
                  <wp:effectExtent l="0" t="0" r="0" b="0"/>
                  <wp:docPr id="17" name="Grafik 17" descr=" Transak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 Transak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7546EBF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Transaktionssymbol: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Ein spezieller Subprozess, der Zahlungen beinhaltet.</w:t>
            </w:r>
          </w:p>
        </w:tc>
      </w:tr>
      <w:tr w:rsidR="009C05CE" w:rsidRPr="009C05CE" w14:paraId="42597BAD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3D075" w14:textId="675D1FAF" w:rsidR="009C05CE" w:rsidRPr="009C05CE" w:rsidRDefault="009C05CE" w:rsidP="009C0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2C831B66" wp14:editId="40DC8813">
                  <wp:extent cx="952500" cy="723900"/>
                  <wp:effectExtent l="0" t="0" r="0" b="0"/>
                  <wp:docPr id="16" name="Grafik 16" descr=" Aufru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 Aufru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FE0E90E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Anrufsymbol: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Ein globaler Subprozess, der an verschiedenen Stellen innerhalb des Geschäftsflusses verwendet wird.</w:t>
            </w:r>
          </w:p>
        </w:tc>
      </w:tr>
    </w:tbl>
    <w:p w14:paraId="315EF96C" w14:textId="77777777" w:rsidR="009C05CE" w:rsidRPr="009C05CE" w:rsidRDefault="009C05CE" w:rsidP="009C05CE">
      <w:pPr>
        <w:pStyle w:val="berschrift2"/>
      </w:pPr>
      <w:r>
        <w:br/>
      </w:r>
      <w:r>
        <w:br/>
      </w:r>
      <w:r w:rsidRPr="009C05CE">
        <w:t>Verbindung von Objekten in einem BPMN-Diagramm</w:t>
      </w:r>
    </w:p>
    <w:p w14:paraId="239370F7" w14:textId="77777777" w:rsidR="009C05CE" w:rsidRPr="009C05CE" w:rsidRDefault="009C05CE" w:rsidP="009C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C05CE">
        <w:rPr>
          <w:rFonts w:ascii="Times New Roman" w:eastAsia="Times New Roman" w:hAnsi="Times New Roman" w:cs="Times New Roman"/>
          <w:sz w:val="24"/>
          <w:szCs w:val="24"/>
          <w:lang w:eastAsia="de-AT"/>
        </w:rPr>
        <w:t>Verbindungsobjekte sind Linien, die BPMN-Flussobjekte verbinden. Es gibt drei verschiedene Arten von Verbindungsobjekten: Sequenzflüsse, Nachrichtenflüsse und Assoziationen.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7797"/>
      </w:tblGrid>
      <w:tr w:rsidR="009C05CE" w:rsidRPr="009C05CE" w14:paraId="4F0BB67D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16734" w14:textId="6316B5A2" w:rsidR="009C05CE" w:rsidRPr="009C05CE" w:rsidRDefault="009C05CE" w:rsidP="009C05CE">
            <w:pPr>
              <w:spacing w:after="0" w:line="240" w:lineRule="auto"/>
              <w:divId w:val="2121485971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2B9374A9" wp14:editId="1878886E">
                  <wp:extent cx="762000" cy="297180"/>
                  <wp:effectExtent l="0" t="0" r="0" b="0"/>
                  <wp:docPr id="22" name="Grafik 22" descr=" Sequenzfl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 Sequenzfl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5C12DED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Symbol „Sequenzfluss“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 Verbindet Flussobjekte in der Reihenfolge, in der sie aufeinander folgen.</w:t>
            </w:r>
          </w:p>
        </w:tc>
      </w:tr>
      <w:tr w:rsidR="009C05CE" w:rsidRPr="009C05CE" w14:paraId="7C596D11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4A7A3" w14:textId="138AB5D9" w:rsidR="009C05CE" w:rsidRPr="009C05CE" w:rsidRDefault="009C05CE" w:rsidP="009C0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52EF50EF" wp14:editId="62312CA6">
                  <wp:extent cx="762000" cy="281940"/>
                  <wp:effectExtent l="0" t="0" r="0" b="0"/>
                  <wp:docPr id="21" name="Grafik 21" descr=" Nachrichtenflu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 Nachrichtenflu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37FE3F8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Symbol „Nachrichtenfluss“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 Stellt Nachrichten von einem Prozessteilnehmer an einen anderen dar.</w:t>
            </w:r>
          </w:p>
        </w:tc>
      </w:tr>
      <w:tr w:rsidR="009C05CE" w:rsidRPr="009C05CE" w14:paraId="50D144A0" w14:textId="77777777" w:rsidTr="009C0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2C6D" w14:textId="68340765" w:rsidR="009C05CE" w:rsidRPr="009C05CE" w:rsidRDefault="009C05CE" w:rsidP="009C05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e-AT"/>
              </w:rPr>
              <w:drawing>
                <wp:inline distT="0" distB="0" distL="0" distR="0" wp14:anchorId="4200BCFC" wp14:editId="1A8B2C6D">
                  <wp:extent cx="762000" cy="297180"/>
                  <wp:effectExtent l="0" t="0" r="0" b="0"/>
                  <wp:docPr id="20" name="Grafik 20" descr=" Assozi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 Assozi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A46FFD4" w14:textId="77777777" w:rsidR="009C05CE" w:rsidRPr="009C05CE" w:rsidRDefault="009C05CE" w:rsidP="009C05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9C05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Symbol „Assoziation“</w:t>
            </w:r>
            <w:r w:rsidRPr="009C05CE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 Zeigt Beziehungen zwischen Artefakten und Flussobjekten an.</w:t>
            </w:r>
          </w:p>
        </w:tc>
      </w:tr>
    </w:tbl>
    <w:p w14:paraId="07429B73" w14:textId="77777777" w:rsidR="009C05CE" w:rsidRPr="009C05CE" w:rsidRDefault="009C05CE" w:rsidP="009C0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9C05CE"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  <w:t>Verantwortungsbereiche in eine</w:t>
      </w:r>
    </w:p>
    <w:p w14:paraId="52517CD4" w14:textId="21523EC8" w:rsidR="009C05CE" w:rsidRDefault="009C05CE"/>
    <w:sectPr w:rsidR="009C05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E0"/>
    <w:rsid w:val="0056631B"/>
    <w:rsid w:val="009C05CE"/>
    <w:rsid w:val="00A8336F"/>
    <w:rsid w:val="00CA30E0"/>
    <w:rsid w:val="00F6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457B"/>
  <w15:docId w15:val="{6FFB36A9-2F20-49BC-B72F-A2114120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C0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C05CE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9C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9C05CE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9C0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1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4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48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7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lucidchart.com/pages/de/beispiele/bpmn-too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ww.lucidchart.com/pages/de/geschaftsprozessmodell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Hoegler Manuel</dc:creator>
  <cp:keywords/>
  <dc:description/>
  <cp:lastModifiedBy>Hoegler Manuel</cp:lastModifiedBy>
  <cp:revision>1</cp:revision>
  <dcterms:created xsi:type="dcterms:W3CDTF">2022-02-07T10:09:00Z</dcterms:created>
  <dcterms:modified xsi:type="dcterms:W3CDTF">2022-02-14T10:15:00Z</dcterms:modified>
</cp:coreProperties>
</file>