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spacing w:before="280" w:after="140"/>
        <w:rPr/>
      </w:pPr>
      <w:r>
        <w:rPr/>
        <w:t>Daily Cybersecurity Logbook</w:t>
      </w:r>
    </w:p>
    <w:p>
      <w:pPr>
        <w:pStyle w:val="Normal"/>
        <w:rPr/>
      </w:pPr>
      <w:r>
        <w:rPr/>
        <w:t>Use one copy for approximately two working weeks. Record the result and evidence, not only the activity. Mark whether the task was Green, Amber or Red and identify the person who approved Amber/Red work.</w:t>
      </w:r>
      <w:bookmarkStart w:id="0" w:name="_GoBack"/>
      <w:bookmarkEnd w:id="0"/>
    </w:p>
    <w:tbl>
      <w:tblPr>
        <w:tblW w:w="9360" w:type="dxa"/>
        <w:jc w:val="start"/>
        <w:tblInd w:w="120" w:type="dxa"/>
        <w:tblLayout w:type="fixed"/>
        <w:tblCellMar>
          <w:top w:w="40" w:type="dxa"/>
          <w:start w:w="120" w:type="dxa"/>
          <w:bottom w:w="40" w:type="dxa"/>
          <w:end w:w="120" w:type="dxa"/>
        </w:tblCellMar>
        <w:tblLook w:noHBand="0" w:noVBand="1" w:firstColumn="1" w:lastRow="0" w:lastColumn="0" w:firstRow="1" w:val="04a0"/>
      </w:tblPr>
      <w:tblGrid>
        <w:gridCol w:w="1008"/>
        <w:gridCol w:w="2016"/>
        <w:gridCol w:w="2302"/>
        <w:gridCol w:w="1442"/>
        <w:gridCol w:w="1944"/>
        <w:gridCol w:w="648"/>
      </w:tblGrid>
      <w:tr>
        <w:trPr>
          <w:tblHeader w:val="true"/>
        </w:trPr>
        <w:tc>
          <w:tcPr>
            <w:tcW w:w="1008"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jc w:val="center"/>
              <w:rPr/>
            </w:pPr>
            <w:r>
              <w:rPr>
                <w:b/>
                <w:color w:val="FFFFFF"/>
                <w:sz w:val="18"/>
              </w:rPr>
              <w:t>DATE</w:t>
            </w:r>
          </w:p>
        </w:tc>
        <w:tc>
          <w:tcPr>
            <w:tcW w:w="2016"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TASK / LEARNING</w:t>
            </w:r>
          </w:p>
        </w:tc>
        <w:tc>
          <w:tcPr>
            <w:tcW w:w="2302"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RESULT / EVIDENCE</w:t>
            </w:r>
          </w:p>
        </w:tc>
        <w:tc>
          <w:tcPr>
            <w:tcW w:w="1442"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jc w:val="center"/>
              <w:rPr/>
            </w:pPr>
            <w:r>
              <w:rPr>
                <w:b/>
                <w:color w:val="FFFFFF"/>
                <w:sz w:val="18"/>
              </w:rPr>
              <w:t>APPROVAL / RISK</w:t>
            </w:r>
          </w:p>
        </w:tc>
        <w:tc>
          <w:tcPr>
            <w:tcW w:w="1944"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BLOCKER / NEXT STEP</w:t>
            </w:r>
          </w:p>
        </w:tc>
        <w:tc>
          <w:tcPr>
            <w:tcW w:w="648"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jc w:val="center"/>
              <w:rPr/>
            </w:pPr>
            <w:r>
              <w:rPr>
                <w:b/>
                <w:color w:val="FFFFFF"/>
                <w:sz w:val="18"/>
              </w:rPr>
              <w:t>HOURS</w:t>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t>07-09-2026</w:t>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BodyText"/>
              <w:spacing w:lineRule="auto" w:line="252" w:before="0" w:after="0"/>
              <w:rPr>
                <w:rFonts w:ascii="Calibri" w:hAnsi="Calibri"/>
                <w:b/>
              </w:rPr>
            </w:pPr>
            <w:r>
              <w:rPr>
                <w:rFonts w:ascii="Calibri" w:hAnsi="Calibri"/>
                <w:b/>
              </w:rPr>
              <w:t>SQL Injection UNION Attacks &amp; Data Extraction</w:t>
            </w:r>
          </w:p>
          <w:p>
            <w:pPr>
              <w:pStyle w:val="BodyText"/>
              <w:spacing w:lineRule="auto" w:line="274" w:before="0" w:after="140"/>
              <w:ind w:hanging="0" w:start="0" w:end="0"/>
              <w:rPr>
                <w:rFonts w:ascii="Calibri" w:hAnsi="Calibri"/>
              </w:rPr>
            </w:pPr>
            <w:r>
              <w:rPr>
                <w:rFonts w:ascii="Calibri" w:hAnsi="Calibri"/>
              </w:rPr>
              <w:t xml:space="preserve">• </w:t>
            </w:r>
            <w:r>
              <w:rPr>
                <w:rFonts w:ascii="Calibri" w:hAnsi="Calibri"/>
              </w:rPr>
              <w:t xml:space="preserve">Continued PortSwigger </w:t>
            </w:r>
            <w:r>
              <w:rPr>
                <w:rFonts w:ascii="Calibri" w:hAnsi="Calibri"/>
                <w:b/>
              </w:rPr>
              <w:t>SQL injection</w:t>
            </w:r>
            <w:r>
              <w:rPr>
                <w:rFonts w:ascii="Calibri" w:hAnsi="Calibri"/>
              </w:rPr>
              <w:t xml:space="preserve"> module, focusing on </w:t>
            </w:r>
            <w:r>
              <w:rPr>
                <w:rFonts w:ascii="Calibri" w:hAnsi="Calibri"/>
                <w:b/>
              </w:rPr>
              <w:t>SQL injection UNION attacks</w:t>
            </w:r>
            <w:r>
              <w:rPr>
                <w:rFonts w:ascii="Calibri" w:hAnsi="Calibri"/>
              </w:rPr>
              <w:t>.</w:t>
            </w:r>
          </w:p>
          <w:p>
            <w:pPr>
              <w:pStyle w:val="BodyText"/>
              <w:spacing w:lineRule="auto" w:line="274" w:before="0" w:after="140"/>
              <w:ind w:hanging="0" w:start="0" w:end="0"/>
              <w:rPr/>
            </w:pPr>
            <w:r>
              <w:rPr>
                <w:rFonts w:ascii="Calibri" w:hAnsi="Calibri"/>
              </w:rPr>
              <w:t xml:space="preserve">• </w:t>
            </w:r>
            <w:r>
              <w:rPr>
                <w:rFonts w:ascii="Calibri" w:hAnsi="Calibri"/>
              </w:rPr>
              <w:t xml:space="preserve">Practiced determining the number of columns returned by the original query using </w:t>
            </w:r>
            <w:r>
              <w:rPr>
                <w:rStyle w:val="SourceText"/>
                <w:rFonts w:ascii="Calibri" w:hAnsi="Calibri"/>
              </w:rPr>
              <w:t>ORDER BY</w:t>
            </w:r>
            <w:r>
              <w:rPr>
                <w:rFonts w:ascii="Calibri" w:hAnsi="Calibri"/>
              </w:rPr>
              <w:t xml:space="preserve"> and </w:t>
            </w:r>
            <w:r>
              <w:rPr>
                <w:rStyle w:val="SourceText"/>
                <w:rFonts w:ascii="Calibri" w:hAnsi="Calibri"/>
              </w:rPr>
              <w:t>UNION SELECT NULL</w:t>
            </w:r>
            <w:r>
              <w:rPr>
                <w:rFonts w:ascii="Calibri" w:hAnsi="Calibri"/>
              </w:rPr>
              <w:t xml:space="preserve"> payloads.</w:t>
            </w:r>
          </w:p>
          <w:p>
            <w:pPr>
              <w:pStyle w:val="BodyText"/>
              <w:spacing w:lineRule="auto" w:line="274" w:before="0" w:after="140"/>
              <w:ind w:hanging="0" w:start="0" w:end="0"/>
              <w:rPr/>
            </w:pPr>
            <w:r>
              <w:rPr>
                <w:rFonts w:ascii="Calibri" w:hAnsi="Calibri"/>
              </w:rPr>
              <w:t xml:space="preserve">• </w:t>
            </w:r>
            <w:r>
              <w:rPr>
                <w:rFonts w:ascii="Calibri" w:hAnsi="Calibri"/>
              </w:rPr>
              <w:t>Identified columns compatible with string data types (</w:t>
            </w:r>
            <w:r>
              <w:rPr>
                <w:rStyle w:val="SourceText"/>
                <w:rFonts w:ascii="Calibri" w:hAnsi="Calibri"/>
              </w:rPr>
              <w:t>UNION SELECT 'a', NULL</w:t>
            </w:r>
            <w:r>
              <w:rPr>
                <w:rFonts w:ascii="Calibri" w:hAnsi="Calibri"/>
              </w:rPr>
              <w:t>).</w:t>
            </w:r>
          </w:p>
          <w:p>
            <w:pPr>
              <w:pStyle w:val="BodyText"/>
              <w:spacing w:lineRule="auto" w:line="274" w:before="0" w:after="140"/>
              <w:ind w:hanging="0" w:start="0" w:end="0"/>
              <w:rPr>
                <w:rFonts w:ascii="Calibri" w:hAnsi="Calibri"/>
              </w:rPr>
            </w:pPr>
            <w:r>
              <w:rPr>
                <w:rFonts w:ascii="Calibri" w:hAnsi="Calibri"/>
              </w:rPr>
              <w:t xml:space="preserve">• </w:t>
            </w:r>
            <w:r>
              <w:rPr>
                <w:rFonts w:ascii="Calibri" w:hAnsi="Calibri"/>
              </w:rPr>
              <w:t xml:space="preserve">Fully completed </w:t>
            </w:r>
            <w:r>
              <w:rPr>
                <w:rFonts w:ascii="Calibri" w:hAnsi="Calibri"/>
                <w:b/>
              </w:rPr>
              <w:t>Using a SQL injection UNION attack to retrieve interesting data (2 of 2)</w:t>
            </w:r>
            <w:r>
              <w:rPr>
                <w:rFonts w:ascii="Calibri" w:hAnsi="Calibri"/>
              </w:rPr>
              <w:t>, concatenating and extracting sensitive database records (such as administrator credentials) from back-end tables.</w:t>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BodyText"/>
              <w:spacing w:lineRule="auto" w:line="274" w:before="0" w:after="140"/>
              <w:ind w:hanging="0" w:start="0" w:end="0"/>
              <w:rPr>
                <w:rFonts w:ascii="Calibri" w:hAnsi="Calibri"/>
              </w:rPr>
            </w:pPr>
            <w:r>
              <w:rPr>
                <w:rFonts w:ascii="Calibri" w:hAnsi="Calibri"/>
              </w:rPr>
              <w:t>Successfully executed UNION-based SQL injection attacks; determined database column structures and retrieved hidden administrative credentials via Burp Suite payload manipulation.</w:t>
            </w:r>
          </w:p>
        </w:tc>
        <w:tc>
          <w:tcPr>
            <w:tcW w:w="1442" w:type="dxa"/>
            <w:tcBorders>
              <w:top w:val="single" w:sz="6" w:space="0" w:color="C8D0D8"/>
              <w:start w:val="single" w:sz="6" w:space="0" w:color="C8D0D8"/>
              <w:bottom w:val="single" w:sz="6" w:space="0" w:color="C8D0D8"/>
              <w:end w:val="single" w:sz="6" w:space="0" w:color="C8D0D8"/>
            </w:tcBorders>
            <w:vAlign w:val="center"/>
          </w:tcPr>
          <w:p>
            <w:pPr>
              <w:pStyle w:val="BodyText"/>
              <w:spacing w:lineRule="auto" w:line="274" w:before="0" w:after="140"/>
              <w:ind w:hanging="0" w:start="0" w:end="0"/>
              <w:rPr>
                <w:rFonts w:ascii="Calibri" w:hAnsi="Calibri"/>
              </w:rPr>
            </w:pPr>
            <w:r>
              <w:rPr>
                <w:rFonts w:ascii="Calibri" w:hAnsi="Calibri"/>
                <w:b/>
              </w:rPr>
              <w:t>Approval:</w:t>
            </w:r>
            <w:r>
              <w:rPr>
                <w:rFonts w:ascii="Calibri" w:hAnsi="Calibri"/>
              </w:rPr>
              <w:t xml:space="preserve"> Field Supervisor</w:t>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BodyText"/>
              <w:spacing w:lineRule="auto" w:line="274" w:before="0" w:after="140"/>
              <w:ind w:hanging="0" w:start="0" w:end="0"/>
              <w:rPr>
                <w:rFonts w:ascii="Calibri" w:hAnsi="Calibri"/>
              </w:rPr>
            </w:pPr>
            <w:r>
              <w:rPr>
                <w:rFonts w:ascii="Calibri" w:hAnsi="Calibri"/>
                <w:b/>
              </w:rPr>
              <w:t>Blocker:</w:t>
            </w:r>
            <w:r>
              <w:rPr>
                <w:rFonts w:ascii="Calibri" w:hAnsi="Calibri"/>
              </w:rPr>
              <w:t xml:space="preserve"> High task completion time required due to complex lab scenarios and deep analytical research needed to determine column counts and data compatibility before exploitation.</w:t>
            </w:r>
          </w:p>
          <w:p>
            <w:pPr>
              <w:pStyle w:val="BodyText"/>
              <w:spacing w:lineRule="auto" w:line="252"/>
              <w:rPr>
                <w:rFonts w:ascii="Calibri" w:hAnsi="Calibri"/>
              </w:rPr>
            </w:pPr>
            <w:r>
              <w:rPr>
                <w:rFonts w:ascii="Calibri" w:hAnsi="Calibri"/>
              </w:rPr>
            </w:r>
          </w:p>
          <w:p>
            <w:pPr>
              <w:pStyle w:val="BodyText"/>
              <w:spacing w:lineRule="auto" w:line="274" w:before="0" w:after="140"/>
              <w:ind w:hanging="0" w:start="0" w:end="0"/>
              <w:rPr>
                <w:rFonts w:ascii="Calibri" w:hAnsi="Calibri"/>
              </w:rPr>
            </w:pPr>
            <w:r>
              <w:rPr>
                <w:rFonts w:ascii="Calibri" w:hAnsi="Calibri"/>
                <w:b/>
              </w:rPr>
              <w:t>Next Step:</w:t>
            </w:r>
            <w:r>
              <w:rPr>
                <w:rFonts w:ascii="Calibri" w:hAnsi="Calibri"/>
              </w:rPr>
              <w:t xml:space="preserve"> Proceed to Examining the database in SQL injection attacks, Blind SQL injection, and database version enumeration.</w:t>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t>8</w:t>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bl>
    <w:p>
      <w:pPr>
        <w:pStyle w:val="Normal"/>
        <w:spacing w:lineRule="exact" w:line="20" w:before="0" w:after="0"/>
        <w:rPr/>
      </w:pPr>
      <w:r>
        <w:rPr>
          <w:color w:val="FFFFFF"/>
          <w:sz w:val="2"/>
        </w:rPr>
        <w:t xml:space="preserve"> </w:t>
      </w:r>
    </w:p>
    <w:tbl>
      <w:tblPr>
        <w:tblW w:w="9360" w:type="dxa"/>
        <w:jc w:val="start"/>
        <w:tblInd w:w="120" w:type="dxa"/>
        <w:tblLayout w:type="fixed"/>
        <w:tblCellMar>
          <w:top w:w="40" w:type="dxa"/>
          <w:start w:w="120" w:type="dxa"/>
          <w:bottom w:w="40" w:type="dxa"/>
          <w:end w:w="120" w:type="dxa"/>
        </w:tblCellMar>
        <w:tblLook w:noHBand="0" w:noVBand="1" w:firstColumn="1" w:lastRow="0" w:lastColumn="0" w:firstRow="1" w:val="04a0"/>
      </w:tblPr>
      <w:tblGrid>
        <w:gridCol w:w="3024"/>
        <w:gridCol w:w="6336"/>
      </w:tblGrid>
      <w:tr>
        <w:trPr>
          <w:tblHeader w:val="true"/>
        </w:trPr>
        <w:tc>
          <w:tcPr>
            <w:tcW w:w="3024"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CONFIRMATION</w:t>
            </w:r>
          </w:p>
        </w:tc>
        <w:tc>
          <w:tcPr>
            <w:tcW w:w="6336"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NAME / SIGNATURE / DATE</w:t>
            </w:r>
          </w:p>
        </w:tc>
      </w:tr>
      <w:tr>
        <w:trPr>
          <w:cantSplit/>
        </w:trPr>
        <w:tc>
          <w:tcPr>
            <w:tcW w:w="302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sz w:val="18"/>
              </w:rPr>
              <w:t>Student</w:t>
            </w:r>
          </w:p>
        </w:tc>
        <w:tc>
          <w:tcPr>
            <w:tcW w:w="633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t>Abdulkadir Suleiman Omar</w:t>
            </w:r>
          </w:p>
        </w:tc>
      </w:tr>
      <w:tr>
        <w:trPr>
          <w:cantSplit/>
        </w:trPr>
        <w:tc>
          <w:tcPr>
            <w:tcW w:w="302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sz w:val="18"/>
              </w:rPr>
              <w:t>Mentor spot check</w:t>
            </w:r>
          </w:p>
        </w:tc>
        <w:tc>
          <w:tcPr>
            <w:tcW w:w="633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r>
    </w:tbl>
    <w:p>
      <w:pPr>
        <w:pStyle w:val="Normal"/>
        <w:spacing w:lineRule="exact" w:line="20" w:before="0" w:after="0"/>
        <w:rPr/>
      </w:pPr>
      <w:r>
        <w:rPr>
          <w:color w:val="FFFFFF"/>
          <w:sz w:val="2"/>
        </w:rPr>
        <w:t xml:space="preserve"> </w:t>
      </w:r>
    </w:p>
    <w:p>
      <w:pPr>
        <w:pStyle w:val="Normal"/>
        <w:widowControl/>
        <w:bidi w:val="0"/>
        <w:spacing w:lineRule="auto" w:line="300" w:before="0" w:after="120"/>
        <w:jc w:val="start"/>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mbria">
    <w:charset w:val="01" w:characterSet="utf-8"/>
    <w:family w:val="swiss"/>
    <w:pitch w:val="variable"/>
  </w:font>
  <w:font w:name="Liberation Mono">
    <w:altName w:val="Courier New"/>
    <w:charset w:val="01" w:characterSet="utf-8"/>
    <w:family w:val="modern"/>
    <w:pitch w:val="fixed"/>
  </w:font>
  <w:font w:name="Liberation Sans">
    <w:altName w:val="Arial"/>
    <w:charset w:val="01" w:characterSet="utf-8"/>
    <w:family w:val="swiss"/>
    <w:pitch w:val="variable"/>
  </w:font>
  <w:font w:name="Calibri">
    <w:charset w:val="01"/>
    <w:family w:val="swiss"/>
    <w:pitch w:val="default"/>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1f6c4b"/>
    <w:pPr>
      <w:widowControl/>
      <w:suppressAutoHyphens w:val="true"/>
      <w:bidi w:val="0"/>
      <w:spacing w:lineRule="auto" w:line="300" w:before="0" w:after="120"/>
      <w:jc w:val="start"/>
    </w:pPr>
    <w:rPr>
      <w:rFonts w:ascii="Calibri" w:hAnsi="Calibri" w:eastAsia="" w:cs="" w:eastAsiaTheme="minorEastAsia"/>
      <w:color w:val="243142"/>
      <w:kern w:val="0"/>
      <w:sz w:val="22"/>
      <w:szCs w:val="22"/>
      <w:lang w:val="en-US" w:eastAsia="en-US" w:bidi="ar-SA"/>
    </w:rPr>
  </w:style>
  <w:style w:type="paragraph" w:styleId="Heading2">
    <w:name w:val="heading 2"/>
    <w:basedOn w:val="Normal"/>
    <w:next w:val="Normal"/>
    <w:link w:val="Heading2Char"/>
    <w:uiPriority w:val="9"/>
    <w:unhideWhenUsed/>
    <w:qFormat/>
    <w:rsid w:val="001f6c4b"/>
    <w:pPr>
      <w:keepNext w:val="true"/>
      <w:keepLines/>
      <w:spacing w:before="280" w:after="140"/>
      <w:outlineLvl w:val="1"/>
    </w:pPr>
    <w:rPr>
      <w:rFonts w:ascii="Cambria" w:hAnsi="Cambria" w:eastAsia="" w:cs="" w:asciiTheme="majorHAnsi" w:cstheme="majorBidi" w:eastAsiaTheme="majorEastAsia" w:hAnsiTheme="majorHAnsi"/>
      <w:b/>
      <w:bCs/>
      <w:color w:val="147CB3"/>
      <w:sz w:val="26"/>
      <w:szCs w:val="26"/>
    </w:rPr>
  </w:style>
  <w:style w:type="character" w:styleId="DefaultParagraphFont" w:default="1">
    <w:name w:val="Default Paragraph Font"/>
    <w:uiPriority w:val="1"/>
    <w:semiHidden/>
    <w:unhideWhenUsed/>
    <w:qFormat/>
    <w:rPr/>
  </w:style>
  <w:style w:type="character" w:styleId="Heading2Char" w:customStyle="1">
    <w:name w:val="Heading 2 Char"/>
    <w:basedOn w:val="DefaultParagraphFont"/>
    <w:link w:val="Heading2"/>
    <w:uiPriority w:val="9"/>
    <w:qFormat/>
    <w:rsid w:val="001f6c4b"/>
    <w:rPr>
      <w:rFonts w:ascii="Cambria" w:hAnsi="Cambria" w:eastAsia="" w:cs="" w:asciiTheme="majorHAnsi" w:cstheme="majorBidi" w:eastAsiaTheme="majorEastAsia" w:hAnsiTheme="majorHAnsi"/>
      <w:b/>
      <w:bCs/>
      <w:color w:val="147CB3"/>
      <w:sz w:val="26"/>
      <w:szCs w:val="26"/>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LibreOffice/26.2.5.2$Linux_X86_64 LibreOffice_project/620$Build-2</Application>
  <AppVersion>15.0000</AppVersion>
  <Pages>2</Pages>
  <Words>213</Words>
  <Characters>1258</Characters>
  <CharactersWithSpaces>1449</CharactersWithSpaces>
  <Paragraphs>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2026-08-07T03:21:00Z</dcterms:created>
  <dc:creator>HP</dc:creator>
  <dc:description/>
  <dc:language>en-US</dc:language>
  <cp:lastModifiedBy/>
  <dcterms:modified xsi:type="dcterms:W3CDTF">2026-09-08T08:32:53Z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