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80" w:after="140"/>
        <w:rPr/>
      </w:pPr>
      <w:r>
        <w:rPr/>
        <w:t>Daily Cybersecurity Logbook</w:t>
      </w:r>
    </w:p>
    <w:p>
      <w:pPr>
        <w:pStyle w:val="Normal"/>
        <w:rPr/>
      </w:pPr>
      <w:r>
        <w:rPr/>
        <w:t>Use one copy for approximately two working weeks. Record the result and evidence, not only the activity. Mark whether the task was Green, Amber or Red and identify the person who approved Amber/Red work.</w:t>
      </w:r>
      <w:bookmarkStart w:id="0" w:name="_GoBack"/>
      <w:bookmarkEnd w:id="0"/>
    </w:p>
    <w:tbl>
      <w:tblPr>
        <w:tblW w:w="9360" w:type="dxa"/>
        <w:jc w:val="start"/>
        <w:tblInd w:w="120" w:type="dxa"/>
        <w:tblLayout w:type="fixed"/>
        <w:tblCellMar>
          <w:top w:w="40" w:type="dxa"/>
          <w:start w:w="120" w:type="dxa"/>
          <w:bottom w:w="40" w:type="dxa"/>
          <w:end w:w="120" w:type="dxa"/>
        </w:tblCellMar>
        <w:tblLook w:noHBand="0" w:noVBand="1" w:firstColumn="1" w:lastRow="0" w:lastColumn="0" w:firstRow="1" w:val="04a0"/>
      </w:tblPr>
      <w:tblGrid>
        <w:gridCol w:w="1008"/>
        <w:gridCol w:w="2016"/>
        <w:gridCol w:w="2301"/>
        <w:gridCol w:w="1443"/>
        <w:gridCol w:w="1944"/>
        <w:gridCol w:w="648"/>
      </w:tblGrid>
      <w:tr>
        <w:trPr>
          <w:tblHeader w:val="true"/>
        </w:trPr>
        <w:tc>
          <w:tcPr>
            <w:tcW w:w="1008"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DATE</w:t>
            </w:r>
          </w:p>
        </w:tc>
        <w:tc>
          <w:tcPr>
            <w:tcW w:w="2016"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TASK / LEARNING</w:t>
            </w:r>
          </w:p>
        </w:tc>
        <w:tc>
          <w:tcPr>
            <w:tcW w:w="2301"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RESULT / EVIDENCE</w:t>
            </w:r>
          </w:p>
        </w:tc>
        <w:tc>
          <w:tcPr>
            <w:tcW w:w="1443"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APPROVAL / RISK</w:t>
            </w:r>
          </w:p>
        </w:tc>
        <w:tc>
          <w:tcPr>
            <w:tcW w:w="1944"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BLOCKER / NEXT STEP</w:t>
            </w:r>
          </w:p>
        </w:tc>
        <w:tc>
          <w:tcPr>
            <w:tcW w:w="648"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jc w:val="center"/>
              <w:rPr/>
            </w:pPr>
            <w:r>
              <w:rPr>
                <w:b/>
                <w:color w:val="FFFFFF"/>
                <w:sz w:val="18"/>
              </w:rPr>
              <w:t>HOURS</w:t>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t>21-08-2026</w:t>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BodyText"/>
              <w:spacing w:lineRule="auto" w:line="252" w:before="0" w:after="0"/>
              <w:rPr>
                <w:b/>
              </w:rPr>
            </w:pPr>
            <w:r>
              <w:rPr>
                <w:b/>
              </w:rPr>
              <w:t>Web Application Security: File Upload Vulnerabilities &amp; RCE Exploitation</w:t>
            </w:r>
          </w:p>
          <w:p>
            <w:pPr>
              <w:pStyle w:val="BodyText"/>
              <w:spacing w:lineRule="auto" w:line="252"/>
              <w:rPr/>
            </w:pPr>
            <w:r>
              <w:rPr/>
              <w:t xml:space="preserve">• </w:t>
            </w:r>
            <w:r>
              <w:rPr/>
              <w:t>Studied mechanisms of unrestricted file uploads on web applications.</w:t>
            </w:r>
          </w:p>
          <w:p>
            <w:pPr>
              <w:pStyle w:val="BodyText"/>
              <w:spacing w:lineRule="auto" w:line="252"/>
              <w:rPr/>
            </w:pPr>
            <w:r>
              <w:rPr/>
              <w:t xml:space="preserve">• </w:t>
            </w:r>
            <w:r>
              <w:rPr/>
              <w:t>Practiced bypassing client-side and server-side validation controls (MIME-type validation, file extension blacklisting/whitelisting, and Content-Type header manipulation).</w:t>
            </w:r>
          </w:p>
          <w:p>
            <w:pPr>
              <w:pStyle w:val="BodyText"/>
              <w:spacing w:lineRule="auto" w:line="252"/>
              <w:rPr/>
            </w:pPr>
            <w:r>
              <w:rPr/>
              <w:t xml:space="preserve">• </w:t>
            </w:r>
            <w:r>
              <w:rPr/>
              <w:t>Successfully crafted and uploaded webshell payloads (PHP) using Burp Suite to achieve Remote Code Execution (RCE) and retrieve sensitive system data.</w:t>
            </w:r>
          </w:p>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t>Completed hands-on labs for File Upload Vulnerabilities; successfully achieved arbitrary code execution and verified server command output via uploaded web shells.</w:t>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BodyText"/>
              <w:spacing w:lineRule="auto" w:line="252" w:before="0" w:after="0"/>
              <w:rPr/>
            </w:pPr>
            <w:r>
              <w:rPr>
                <w:b/>
              </w:rPr>
              <w:t>Blocker:</w:t>
            </w:r>
            <w:r>
              <w:rPr/>
              <w:t xml:space="preserve"> None.</w:t>
            </w:r>
          </w:p>
          <w:p>
            <w:pPr>
              <w:pStyle w:val="BodyText"/>
              <w:spacing w:lineRule="auto" w:line="252"/>
              <w:rPr/>
            </w:pPr>
            <w:r>
              <w:rPr/>
            </w:r>
          </w:p>
          <w:p>
            <w:pPr>
              <w:pStyle w:val="BodyText"/>
              <w:spacing w:lineRule="auto" w:line="252"/>
              <w:rPr/>
            </w:pPr>
            <w:r>
              <w:rPr>
                <w:b/>
              </w:rPr>
              <w:t>Next Step:</w:t>
            </w:r>
            <w:r>
              <w:rPr/>
              <w:t xml:space="preserve"> Practice advanced web exploitation techniques (Command Injection &amp; Metasploit integration) and progress to Hackviser CTF scenarios.</w:t>
            </w:r>
          </w:p>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t>8.</w:t>
            </w:r>
            <w:r>
              <w:rPr/>
              <w:t>5</w:t>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jc w:val="center"/>
              <w:rPr/>
            </w:pPr>
            <w:r>
              <w:rPr/>
            </w:r>
          </w:p>
        </w:tc>
      </w:tr>
      <w:tr>
        <w:trPr>
          <w:cantSplit/>
        </w:trPr>
        <w:tc>
          <w:tcPr>
            <w:tcW w:w="100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201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2301"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1443"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c>
          <w:tcPr>
            <w:tcW w:w="194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c>
          <w:tcPr>
            <w:tcW w:w="648"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jc w:val="center"/>
              <w:rPr/>
            </w:pPr>
            <w:r>
              <w:rPr/>
            </w:r>
          </w:p>
        </w:tc>
      </w:tr>
    </w:tbl>
    <w:p>
      <w:pPr>
        <w:pStyle w:val="Normal"/>
        <w:spacing w:lineRule="exact" w:line="20" w:before="0" w:after="0"/>
        <w:rPr/>
      </w:pPr>
      <w:r>
        <w:rPr>
          <w:color w:val="FFFFFF"/>
          <w:sz w:val="2"/>
        </w:rPr>
        <w:t xml:space="preserve"> </w:t>
      </w:r>
    </w:p>
    <w:tbl>
      <w:tblPr>
        <w:tblW w:w="9360" w:type="dxa"/>
        <w:jc w:val="start"/>
        <w:tblInd w:w="120" w:type="dxa"/>
        <w:tblLayout w:type="fixed"/>
        <w:tblCellMar>
          <w:top w:w="40" w:type="dxa"/>
          <w:start w:w="120" w:type="dxa"/>
          <w:bottom w:w="40" w:type="dxa"/>
          <w:end w:w="120" w:type="dxa"/>
        </w:tblCellMar>
        <w:tblLook w:noHBand="0" w:noVBand="1" w:firstColumn="1" w:lastRow="0" w:lastColumn="0" w:firstRow="1" w:val="04a0"/>
      </w:tblPr>
      <w:tblGrid>
        <w:gridCol w:w="3024"/>
        <w:gridCol w:w="6336"/>
      </w:tblGrid>
      <w:tr>
        <w:trPr>
          <w:tblHeader w:val="true"/>
        </w:trPr>
        <w:tc>
          <w:tcPr>
            <w:tcW w:w="3024"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CONFIRMATION</w:t>
            </w:r>
          </w:p>
        </w:tc>
        <w:tc>
          <w:tcPr>
            <w:tcW w:w="6336" w:type="dxa"/>
            <w:tcBorders>
              <w:top w:val="single" w:sz="6" w:space="0" w:color="C8D0D8"/>
              <w:start w:val="single" w:sz="6" w:space="0" w:color="C8D0D8"/>
              <w:bottom w:val="single" w:sz="6" w:space="0" w:color="C8D0D8"/>
              <w:end w:val="single" w:sz="6" w:space="0" w:color="C8D0D8"/>
            </w:tcBorders>
            <w:shd w:color="auto" w:fill="102A43" w:val="clear"/>
            <w:vAlign w:val="center"/>
          </w:tcPr>
          <w:p>
            <w:pPr>
              <w:pStyle w:val="Normal"/>
              <w:spacing w:lineRule="auto" w:line="252" w:before="0" w:after="0"/>
              <w:rPr/>
            </w:pPr>
            <w:r>
              <w:rPr>
                <w:b/>
                <w:color w:val="FFFFFF"/>
                <w:sz w:val="18"/>
              </w:rPr>
              <w:t>NAME / SIGNATURE / DATE</w:t>
            </w:r>
          </w:p>
        </w:tc>
      </w:tr>
      <w:tr>
        <w:trPr>
          <w:cantSplit/>
        </w:trPr>
        <w:tc>
          <w:tcPr>
            <w:tcW w:w="3024"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sz w:val="18"/>
              </w:rPr>
              <w:t>Student</w:t>
            </w:r>
          </w:p>
        </w:tc>
        <w:tc>
          <w:tcPr>
            <w:tcW w:w="6336" w:type="dxa"/>
            <w:tcBorders>
              <w:top w:val="single" w:sz="6" w:space="0" w:color="C8D0D8"/>
              <w:start w:val="single" w:sz="6" w:space="0" w:color="C8D0D8"/>
              <w:bottom w:val="single" w:sz="6" w:space="0" w:color="C8D0D8"/>
              <w:end w:val="single" w:sz="6" w:space="0" w:color="C8D0D8"/>
            </w:tcBorders>
            <w:vAlign w:val="center"/>
          </w:tcPr>
          <w:p>
            <w:pPr>
              <w:pStyle w:val="Normal"/>
              <w:spacing w:lineRule="auto" w:line="252" w:before="0" w:after="0"/>
              <w:rPr/>
            </w:pPr>
            <w:r>
              <w:rPr/>
              <w:t>Abdulkadir Suleiman Omar</w:t>
            </w:r>
          </w:p>
        </w:tc>
      </w:tr>
      <w:tr>
        <w:trPr>
          <w:cantSplit/>
        </w:trPr>
        <w:tc>
          <w:tcPr>
            <w:tcW w:w="3024"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sz w:val="18"/>
              </w:rPr>
              <w:t>Mentor spot check</w:t>
            </w:r>
          </w:p>
        </w:tc>
        <w:tc>
          <w:tcPr>
            <w:tcW w:w="6336" w:type="dxa"/>
            <w:tcBorders>
              <w:top w:val="single" w:sz="6" w:space="0" w:color="C8D0D8"/>
              <w:start w:val="single" w:sz="6" w:space="0" w:color="C8D0D8"/>
              <w:bottom w:val="single" w:sz="6" w:space="0" w:color="C8D0D8"/>
              <w:end w:val="single" w:sz="6" w:space="0" w:color="C8D0D8"/>
            </w:tcBorders>
            <w:shd w:color="auto" w:fill="F2F4F7" w:val="clear"/>
            <w:vAlign w:val="center"/>
          </w:tcPr>
          <w:p>
            <w:pPr>
              <w:pStyle w:val="Normal"/>
              <w:spacing w:lineRule="auto" w:line="252" w:before="0" w:after="0"/>
              <w:rPr/>
            </w:pPr>
            <w:r>
              <w:rPr/>
            </w:r>
          </w:p>
        </w:tc>
      </w:tr>
    </w:tbl>
    <w:p>
      <w:pPr>
        <w:pStyle w:val="Normal"/>
        <w:spacing w:lineRule="exact" w:line="20" w:before="0" w:after="0"/>
        <w:rPr/>
      </w:pPr>
      <w:r>
        <w:rPr>
          <w:color w:val="FFFFFF"/>
          <w:sz w:val="2"/>
        </w:rPr>
        <w:t xml:space="preserve"> </w:t>
      </w:r>
    </w:p>
    <w:p>
      <w:pPr>
        <w:pStyle w:val="Normal"/>
        <w:widowControl/>
        <w:bidi w:val="0"/>
        <w:spacing w:lineRule="auto" w:line="300" w:before="0" w:after="12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mbria">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1f6c4b"/>
    <w:pPr>
      <w:widowControl/>
      <w:suppressAutoHyphens w:val="true"/>
      <w:bidi w:val="0"/>
      <w:spacing w:lineRule="auto" w:line="300" w:before="0" w:after="120"/>
      <w:jc w:val="start"/>
    </w:pPr>
    <w:rPr>
      <w:rFonts w:ascii="Calibri" w:hAnsi="Calibri" w:eastAsia="" w:cs="" w:eastAsiaTheme="minorEastAsia"/>
      <w:color w:val="243142"/>
      <w:kern w:val="0"/>
      <w:sz w:val="22"/>
      <w:szCs w:val="22"/>
      <w:lang w:val="en-US" w:eastAsia="en-US" w:bidi="ar-SA"/>
    </w:rPr>
  </w:style>
  <w:style w:type="paragraph" w:styleId="Heading2">
    <w:name w:val="heading 2"/>
    <w:basedOn w:val="Normal"/>
    <w:next w:val="Normal"/>
    <w:link w:val="Heading2Char"/>
    <w:uiPriority w:val="9"/>
    <w:unhideWhenUsed/>
    <w:qFormat/>
    <w:rsid w:val="001f6c4b"/>
    <w:pPr>
      <w:keepNext w:val="true"/>
      <w:keepLines/>
      <w:spacing w:before="280" w:after="140"/>
      <w:outlineLvl w:val="1"/>
    </w:pPr>
    <w:rPr>
      <w:rFonts w:ascii="Cambria" w:hAnsi="Cambria" w:eastAsia="" w:cs="" w:asciiTheme="majorHAnsi" w:cstheme="majorBidi" w:eastAsiaTheme="majorEastAsia" w:hAnsiTheme="majorHAnsi"/>
      <w:b/>
      <w:bCs/>
      <w:color w:val="147CB3"/>
      <w:sz w:val="26"/>
      <w:szCs w:val="26"/>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link w:val="Heading2"/>
    <w:uiPriority w:val="9"/>
    <w:qFormat/>
    <w:rsid w:val="001f6c4b"/>
    <w:rPr>
      <w:rFonts w:ascii="Cambria" w:hAnsi="Cambria" w:eastAsia="" w:cs="" w:asciiTheme="majorHAnsi" w:cstheme="majorBidi" w:eastAsiaTheme="majorEastAsia" w:hAnsiTheme="majorHAnsi"/>
      <w:b/>
      <w:bCs/>
      <w:color w:val="147CB3"/>
      <w:sz w:val="26"/>
      <w:szCs w:val="26"/>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LibreOffice/26.2.5.2$Linux_X86_64 LibreOffice_project/620$Build-2</Application>
  <AppVersion>15.0000</AppVersion>
  <Pages>2</Pages>
  <Words>166</Words>
  <Characters>1042</Characters>
  <CharactersWithSpaces>1188</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2026-08-07T03:21:00Z</dcterms:created>
  <dc:creator>HP</dc:creator>
  <dc:description/>
  <dc:language>en-US</dc:language>
  <cp:lastModifiedBy/>
  <dcterms:modified xsi:type="dcterms:W3CDTF">2026-08-22T14:02:04Z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