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80" w:after="140"/>
        <w:rPr/>
      </w:pPr>
      <w:r>
        <w:rPr/>
        <w:t>Daily Cybersecurity Logbook</w:t>
      </w:r>
    </w:p>
    <w:p>
      <w:pPr>
        <w:pStyle w:val="Normal"/>
        <w:rPr/>
      </w:pPr>
      <w:r>
        <w:rPr/>
        <w:t>Use one copy for approximately two working weeks. Record the result and evidence, not only the activity. Mark whether the task was Green, Amber or Red and identify the person who approved Amber/Red work.</w:t>
      </w:r>
      <w:bookmarkStart w:id="0" w:name="_GoBack"/>
      <w:bookmarkEnd w:id="0"/>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1008"/>
        <w:gridCol w:w="2016"/>
        <w:gridCol w:w="2302"/>
        <w:gridCol w:w="1442"/>
        <w:gridCol w:w="1944"/>
        <w:gridCol w:w="648"/>
      </w:tblGrid>
      <w:tr>
        <w:trPr>
          <w:tblHeader w:val="true"/>
        </w:trPr>
        <w:tc>
          <w:tcPr>
            <w:tcW w:w="100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DATE</w:t>
            </w:r>
          </w:p>
        </w:tc>
        <w:tc>
          <w:tcPr>
            <w:tcW w:w="201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TASK / LEARNING</w:t>
            </w:r>
          </w:p>
        </w:tc>
        <w:tc>
          <w:tcPr>
            <w:tcW w:w="230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RESULT / EVIDENCE</w:t>
            </w:r>
          </w:p>
        </w:tc>
        <w:tc>
          <w:tcPr>
            <w:tcW w:w="144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APPROVAL / RISK</w:t>
            </w:r>
          </w:p>
        </w:tc>
        <w:tc>
          <w:tcPr>
            <w:tcW w:w="194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BLOCKER / NEXT STEP</w:t>
            </w:r>
          </w:p>
        </w:tc>
        <w:tc>
          <w:tcPr>
            <w:tcW w:w="64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HOURS</w:t>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21-08-2026</w:t>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0"/>
              <w:rPr>
                <w:b/>
              </w:rPr>
            </w:pPr>
            <w:r>
              <w:rPr>
                <w:b/>
              </w:rPr>
              <w:t>W</w:t>
            </w:r>
            <w:r>
              <w:rPr>
                <w:b/>
              </w:rPr>
              <w:t>eb Application Security: File Upload Vulnerabilities &amp; RCE Exploitation</w:t>
            </w:r>
          </w:p>
          <w:p>
            <w:pPr>
              <w:pStyle w:val="BodyText"/>
              <w:spacing w:lineRule="auto" w:line="252"/>
              <w:rPr/>
            </w:pPr>
            <w:r>
              <w:rPr/>
              <w:t xml:space="preserve">• </w:t>
            </w:r>
            <w:r>
              <w:rPr/>
              <w:t>Studied mechanisms of unrestricted file uploads on web applications.</w:t>
            </w:r>
          </w:p>
          <w:p>
            <w:pPr>
              <w:pStyle w:val="BodyText"/>
              <w:spacing w:lineRule="auto" w:line="252"/>
              <w:rPr/>
            </w:pPr>
            <w:r>
              <w:rPr/>
              <w:t xml:space="preserve">• </w:t>
            </w:r>
            <w:r>
              <w:rPr/>
              <w:t>Practiced bypassing client-side and server-side validation controls (MIME-type validation, file extension blacklisting/whitelisting, and Content-Type header manipulation).</w:t>
            </w:r>
          </w:p>
          <w:p>
            <w:pPr>
              <w:pStyle w:val="BodyText"/>
              <w:spacing w:lineRule="auto" w:line="252"/>
              <w:rPr/>
            </w:pPr>
            <w:r>
              <w:rPr/>
              <w:t xml:space="preserve">• </w:t>
            </w:r>
            <w:r>
              <w:rPr/>
              <w:t>Successfully crafted and uploaded webshell payloads (PHP) using Burp Suite to achieve Remote Code Execution (RCE) and retrieve sensitive system data.</w:t>
            </w:r>
          </w:p>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Completed hands-on labs for File Upload Vulnerabilities; successfully achieved arbitrary code execution and verified server command output via uploaded web shells.</w:t>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0"/>
              <w:rPr/>
            </w:pPr>
            <w:r>
              <w:rPr>
                <w:b/>
              </w:rPr>
              <w:t>Blocker:</w:t>
            </w:r>
            <w:r>
              <w:rPr/>
              <w:t xml:space="preserve"> None.</w:t>
            </w:r>
          </w:p>
          <w:p>
            <w:pPr>
              <w:pStyle w:val="BodyText"/>
              <w:spacing w:lineRule="auto" w:line="252"/>
              <w:rPr/>
            </w:pPr>
            <w:r>
              <w:rPr/>
            </w:r>
          </w:p>
          <w:p>
            <w:pPr>
              <w:pStyle w:val="BodyText"/>
              <w:spacing w:lineRule="auto" w:line="252"/>
              <w:rPr/>
            </w:pPr>
            <w:r>
              <w:rPr>
                <w:b/>
              </w:rPr>
              <w:t>Next Step:</w:t>
            </w:r>
            <w:r>
              <w:rPr/>
              <w:t xml:space="preserve"> Practice advanced web exploitation techniques (Command Injection &amp; Metasploit integration) and progress to Hackviser CTF scenarios.</w:t>
            </w:r>
          </w:p>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8</w:t>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bl>
    <w:p>
      <w:pPr>
        <w:pStyle w:val="Normal"/>
        <w:spacing w:lineRule="exact" w:line="20" w:before="0" w:after="0"/>
        <w:rPr/>
      </w:pPr>
      <w:r>
        <w:rPr>
          <w:color w:val="FFFFFF"/>
          <w:sz w:val="2"/>
        </w:rPr>
        <w:t xml:space="preserve"> </w:t>
      </w:r>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3024"/>
        <w:gridCol w:w="6336"/>
      </w:tblGrid>
      <w:tr>
        <w:trPr>
          <w:tblHeader w:val="true"/>
        </w:trPr>
        <w:tc>
          <w:tcPr>
            <w:tcW w:w="302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CONFIRMATION</w:t>
            </w:r>
          </w:p>
        </w:tc>
        <w:tc>
          <w:tcPr>
            <w:tcW w:w="633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NAME / SIGNATURE / DATE</w:t>
            </w:r>
          </w:p>
        </w:tc>
      </w:tr>
      <w:tr>
        <w:trPr>
          <w:cantSplit/>
        </w:trPr>
        <w:tc>
          <w:tcPr>
            <w:tcW w:w="302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sz w:val="18"/>
              </w:rPr>
              <w:t>Student</w:t>
            </w:r>
          </w:p>
        </w:tc>
        <w:tc>
          <w:tcPr>
            <w:tcW w:w="633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Abdulkadir Suleiman Omar</w:t>
            </w:r>
          </w:p>
        </w:tc>
      </w:tr>
      <w:tr>
        <w:trPr>
          <w:cantSplit/>
        </w:trPr>
        <w:tc>
          <w:tcPr>
            <w:tcW w:w="302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sz w:val="18"/>
              </w:rPr>
              <w:t>Mentor spot check</w:t>
            </w:r>
          </w:p>
        </w:tc>
        <w:tc>
          <w:tcPr>
            <w:tcW w:w="633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r>
    </w:tbl>
    <w:p>
      <w:pPr>
        <w:pStyle w:val="Normal"/>
        <w:spacing w:lineRule="exact" w:line="20" w:before="0" w:after="0"/>
        <w:rPr/>
      </w:pPr>
      <w:r>
        <w:rPr>
          <w:color w:val="FFFFFF"/>
          <w:sz w:val="2"/>
        </w:rPr>
        <w:t xml:space="preserve"> </w:t>
      </w:r>
    </w:p>
    <w:p>
      <w:pPr>
        <w:pStyle w:val="Normal"/>
        <w:widowControl/>
        <w:bidi w:val="0"/>
        <w:spacing w:lineRule="auto" w:line="300" w:before="0" w:after="12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swiss"/>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f6c4b"/>
    <w:pPr>
      <w:widowControl/>
      <w:suppressAutoHyphens w:val="true"/>
      <w:bidi w:val="0"/>
      <w:spacing w:lineRule="auto" w:line="300" w:before="0" w:after="120"/>
      <w:jc w:val="start"/>
    </w:pPr>
    <w:rPr>
      <w:rFonts w:ascii="Calibri" w:hAnsi="Calibri" w:eastAsia="" w:cs="" w:eastAsiaTheme="minorEastAsia"/>
      <w:color w:val="243142"/>
      <w:kern w:val="0"/>
      <w:sz w:val="22"/>
      <w:szCs w:val="22"/>
      <w:lang w:val="en-US" w:eastAsia="en-US" w:bidi="ar-SA"/>
    </w:rPr>
  </w:style>
  <w:style w:type="paragraph" w:styleId="Heading2">
    <w:name w:val="heading 2"/>
    <w:basedOn w:val="Normal"/>
    <w:next w:val="Normal"/>
    <w:link w:val="Heading2Char"/>
    <w:uiPriority w:val="9"/>
    <w:unhideWhenUsed/>
    <w:qFormat/>
    <w:rsid w:val="001f6c4b"/>
    <w:pPr>
      <w:keepNext w:val="true"/>
      <w:keepLines/>
      <w:spacing w:before="280" w:after="140"/>
      <w:outlineLvl w:val="1"/>
    </w:pPr>
    <w:rPr>
      <w:rFonts w:ascii="Cambria" w:hAnsi="Cambria" w:eastAsia="" w:cs="" w:asciiTheme="majorHAnsi" w:cstheme="majorBidi" w:eastAsiaTheme="majorEastAsia" w:hAnsiTheme="majorHAnsi"/>
      <w:b/>
      <w:bCs/>
      <w:color w:val="147CB3"/>
      <w:sz w:val="26"/>
      <w:szCs w:val="2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1f6c4b"/>
    <w:rPr>
      <w:rFonts w:ascii="Cambria" w:hAnsi="Cambria" w:eastAsia="" w:cs="" w:asciiTheme="majorHAnsi" w:cstheme="majorBidi" w:eastAsiaTheme="majorEastAsia" w:hAnsiTheme="majorHAnsi"/>
      <w:b/>
      <w:bCs/>
      <w:color w:val="147CB3"/>
      <w:sz w:val="26"/>
      <w:szCs w:val="26"/>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TotalTime>
  <Application>LibreOffice/26.2.5.2$Linux_X86_64 LibreOffice_project/620$Build-2</Application>
  <AppVersion>15.0000</AppVersion>
  <Pages>2</Pages>
  <Words>166</Words>
  <Characters>1040</Characters>
  <CharactersWithSpaces>1186</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2026-08-07T03:21:00Z</dcterms:created>
  <dc:creator>HP</dc:creator>
  <dc:description/>
  <dc:language>en-US</dc:language>
  <cp:lastModifiedBy/>
  <dcterms:modified xsi:type="dcterms:W3CDTF">2026-08-22T11:18:33Z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