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80" w:after="140"/>
        <w:rPr/>
      </w:pPr>
      <w:r>
        <w:rPr/>
        <w:t>Weekly Student Report and Mentor Gate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INFORMATION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 / Dates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21/09/2026 – 25/09/2026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Weekly Objective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Complete vulnerability assessment remediation presentations, deploy and stabilize a centralized Wazuh SIEM architecture, and configure active threat monitoring engines (FIM &amp; SCA).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Authorized Scope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Local Virtualization Lab Environment (Ubuntu Server Wazuh Manager, Windows Server 2022, Windows 11 Endpoint, Ubuntu Desktop Endpoint).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Friday Demo / Evidence Link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spacing w:before="100" w:after="40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1. Objectives planned and approvals required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/>
      </w:pPr>
      <w:r>
        <w:rPr>
          <w:b w:val="false"/>
          <w:bCs w:val="false"/>
          <w:color w:val="102A43"/>
          <w:sz w:val="20"/>
          <w:szCs w:val="20"/>
        </w:rPr>
        <w:t>Planned Objectives: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Deliver vulnerability assessment findings and remediation strategies for Ubuntu and Windows environments.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Install and configure Wazuh SIEM Manager (v4.9.2-1) on Ubuntu Server.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Deploy Wazuh Agents across Windows and Linux endpoints and establish secure TLS enrollment.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Enforce static IP network binding to eliminate DHCP IP conflicts and connection drops.</w:t>
      </w:r>
    </w:p>
    <w:p>
      <w:pPr>
        <w:pStyle w:val="BodyText"/>
        <w:numPr>
          <w:ilvl w:val="1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Configure File Integrity Monitoring (FIM) and Security Configuration Assessment (SCA) CIS benchmarks.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/>
      </w:pPr>
      <w:r>
        <w:rPr>
          <w:b w:val="false"/>
          <w:bCs w:val="false"/>
          <w:color w:val="102A43"/>
          <w:sz w:val="20"/>
          <w:szCs w:val="20"/>
        </w:rPr>
        <w:t>Approvals Required: On-Site Supervisor approval for firewall rule modifications, static IP allocation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192.168.1.164</w:t>
      </w:r>
      <w:r>
        <w:rPr>
          <w:b w:val="false"/>
          <w:bCs w:val="false"/>
          <w:color w:val="102A43"/>
          <w:sz w:val="20"/>
          <w:szCs w:val="20"/>
        </w:rPr>
        <w:t>), and GPO baseline updates.</w:t>
      </w:r>
    </w:p>
    <w:p>
      <w:pPr>
        <w:pStyle w:val="Heading4"/>
        <w:spacing w:before="100" w:after="40"/>
        <w:rPr>
          <w:rFonts w:ascii="Calibri" w:hAnsi="Calibri" w:eastAsia="" w:cs=""/>
          <w:color w:val="102A43"/>
          <w:sz w:val="20"/>
          <w:szCs w:val="20"/>
        </w:rPr>
      </w:pPr>
      <w:r>
        <w:rPr>
          <w:rFonts w:eastAsia="" w:cs="" w:ascii="Calibri" w:hAnsi="Calibri"/>
          <w:color w:val="102A43"/>
          <w:sz w:val="20"/>
          <w:szCs w:val="20"/>
        </w:rPr>
        <w:t>8. Next-week priorities and support required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Priorities for Next Week: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Configure custom XML decoder and rule files in Wazuh for advanced log parsing.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Integrate active response scripts (automatic IP blocking upon brute-force detection).</w:t>
      </w:r>
    </w:p>
    <w:p>
      <w:pPr>
        <w:pStyle w:val="BodyText"/>
        <w:numPr>
          <w:ilvl w:val="1"/>
          <w:numId w:val="6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1418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Prepare final logbook verification and consolidate project documentation for field report submission.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  <w:t>Support Required: Supervisor sign-off on custom active response actions on test environment endpoints.</w:t>
      </w:r>
    </w:p>
    <w:p>
      <w:pPr>
        <w:pStyle w:val="Normal"/>
        <w:spacing w:before="100" w:after="40"/>
        <w:rPr>
          <w:b/>
          <w:color w:val="102A43"/>
          <w:sz w:val="20"/>
          <w:szCs w:val="20"/>
        </w:rPr>
      </w:pPr>
      <w:r>
        <w:rPr>
          <w:b/>
          <w:color w:val="102A43"/>
          <w:sz w:val="20"/>
          <w:szCs w:val="20"/>
        </w:rPr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2. Work completed and evidence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Vulnerability Remediation: Presented OpenVAS and Nmap audit reports. Executed system patching, disabled SMBv1/LLMNR/NBT-NS via GPO, and restricted SSH access on Ubuntu.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Wazuh SIEM Deployment: Successfully installed Wazuh Manager, Indexer, and Dashboard (v4.9.2-1). Bound the manager to a fixed static IP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192.168.1.164</w:t>
      </w:r>
      <w:r>
        <w:rPr>
          <w:b w:val="false"/>
          <w:bCs w:val="false"/>
          <w:color w:val="102A43"/>
          <w:sz w:val="20"/>
          <w:szCs w:val="20"/>
        </w:rPr>
        <w:t>).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 xml:space="preserve">Agent Integration: Connected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ubuntu-node</w:t>
      </w:r>
      <w:r>
        <w:rPr>
          <w:b w:val="false"/>
          <w:bCs w:val="false"/>
          <w:color w:val="102A43"/>
          <w:sz w:val="20"/>
          <w:szCs w:val="20"/>
        </w:rPr>
        <w:t xml:space="preserve"> and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windows-server</w:t>
      </w:r>
      <w:r>
        <w:rPr>
          <w:b w:val="false"/>
          <w:bCs w:val="false"/>
          <w:color w:val="102A43"/>
          <w:sz w:val="20"/>
          <w:szCs w:val="20"/>
        </w:rPr>
        <w:t xml:space="preserve"> agents to the central manager.</w:t>
      </w:r>
    </w:p>
    <w:p>
      <w:pPr>
        <w:pStyle w:val="BodyText"/>
        <w:numPr>
          <w:ilvl w:val="0"/>
          <w:numId w:val="7"/>
        </w:numPr>
        <w:spacing w:lineRule="auto" w:line="300" w:before="100" w:after="40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Evidence Generated: Post-remediation vulnerability scan PDFs, Wazuh Dashboard showing all agents Active, and live level-7/level-10 security alert logs generated during FIM testing.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 w:eastAsia="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3. Technical concepts learned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SIEM Architecture: Understanding the interaction between Wazuh Agent (data collection), Wazuh Manager (analysis engine), Wazuh Indexer (search and storage), and Dashboard (visualization).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Linux Network Management: Netplan YAML configuration, static IP routing, and ARP inspection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arp-scan</w:t>
      </w:r>
      <w:r>
        <w:rPr>
          <w:b w:val="false"/>
          <w:bCs w:val="false"/>
          <w:color w:val="102A43"/>
          <w:sz w:val="20"/>
          <w:szCs w:val="20"/>
        </w:rPr>
        <w:t xml:space="preserve">,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arping</w:t>
      </w:r>
      <w:r>
        <w:rPr>
          <w:b w:val="false"/>
          <w:bCs w:val="false"/>
          <w:color w:val="102A43"/>
          <w:sz w:val="20"/>
          <w:szCs w:val="20"/>
        </w:rPr>
        <w:t>) to detect IP conflicts.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 xml:space="preserve">Log Analysis &amp; Threat Detection: Writing custom file monitoring rules in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ossec.conf</w:t>
      </w:r>
      <w:r>
        <w:rPr>
          <w:b w:val="false"/>
          <w:bCs w:val="false"/>
          <w:color w:val="102A43"/>
          <w:sz w:val="20"/>
          <w:szCs w:val="20"/>
        </w:rPr>
        <w:t xml:space="preserve"> and evaluating security baselines against CIS Benchmarks using SCA.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4. Findings, risks or monitoring gaps identified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Findings: Legacy protocols (SMBv1) and unpatched system dependencies posed the highest vulnerability exposure prior to hardening.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Identified Risks: Dynamic IP allocation (DHCP) on critical security infrastructure leads to agent disconnection and potential logging blind spots.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Monitoring Gaps: Initial agent setups lacked real-time file monitoring on sensitive system directories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/etc/</w:t>
      </w:r>
      <w:r>
        <w:rPr>
          <w:b w:val="false"/>
          <w:bCs w:val="false"/>
          <w:color w:val="102A43"/>
          <w:sz w:val="20"/>
          <w:szCs w:val="20"/>
        </w:rPr>
        <w:t xml:space="preserve"> and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C:\Windows\System32</w:t>
      </w:r>
      <w:r>
        <w:rPr>
          <w:b w:val="false"/>
          <w:bCs w:val="false"/>
          <w:color w:val="102A43"/>
          <w:sz w:val="20"/>
          <w:szCs w:val="20"/>
        </w:rPr>
        <w:t>), which was subsequently resolved by configuring FIM.</w:t>
      </w:r>
    </w:p>
    <w:p>
      <w:pPr>
        <w:pStyle w:val="Heading4"/>
        <w:spacing w:lineRule="auto" w:line="274" w:before="0" w:after="120"/>
        <w:ind w:hanging="0" w:start="0" w:end="0"/>
        <w:rPr>
          <w:b/>
          <w:color w:val="102A43"/>
          <w:sz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5</w:t>
      </w:r>
      <w:r>
        <w:rPr>
          <w:rFonts w:eastAsia="" w:ascii="Calibri" w:hAnsi="Calibri"/>
          <w:b/>
          <w:color w:val="102A43"/>
          <w:sz w:val="20"/>
          <w:szCs w:val="20"/>
        </w:rPr>
        <w:t>. Problems, blockers and how they were handled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/>
      </w:pPr>
      <w:r>
        <w:rPr>
          <w:b w:val="false"/>
          <w:bCs w:val="false"/>
          <w:color w:val="102A43"/>
          <w:sz w:val="20"/>
          <w:szCs w:val="20"/>
        </w:rPr>
        <w:t>Problem 1 (Version Mismatch &amp; Agent Disconnection): Wazuh agents failed to register due to version discrepancies (legacy agents vs v4.9.2-1 manager) and leftover registry keys on Windows.</w:t>
      </w:r>
    </w:p>
    <w:p>
      <w:pPr>
        <w:pStyle w:val="BodyText"/>
        <w:numPr>
          <w:ilvl w:val="2"/>
          <w:numId w:val="9"/>
        </w:numPr>
        <w:spacing w:lineRule="auto" w:line="300" w:before="100" w:after="40"/>
        <w:rPr/>
      </w:pPr>
      <w:r>
        <w:rPr>
          <w:b w:val="false"/>
          <w:bCs w:val="false"/>
          <w:i/>
          <w:color w:val="102A43"/>
          <w:sz w:val="20"/>
          <w:szCs w:val="20"/>
        </w:rPr>
        <w:t>Resolution:</w:t>
      </w:r>
      <w:r>
        <w:rPr>
          <w:b w:val="false"/>
          <w:bCs w:val="false"/>
          <w:color w:val="102A43"/>
          <w:sz w:val="20"/>
          <w:szCs w:val="20"/>
        </w:rPr>
        <w:t xml:space="preserve"> Completely purged legacy packages, cleaned stale registry keys, re-installed v4.9.2-1 agents, and re-issued enrollment keys.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 xml:space="preserve">Problem 2 (IP Conflict): Reverting to IP </w:t>
      </w:r>
      <w:r>
        <w:rPr>
          <w:rStyle w:val="SourceText"/>
          <w:b w:val="false"/>
          <w:bCs w:val="false"/>
          <w:color w:val="102A43"/>
          <w:sz w:val="20"/>
          <w:szCs w:val="20"/>
        </w:rPr>
        <w:t>.163</w:t>
      </w:r>
      <w:r>
        <w:rPr>
          <w:b w:val="false"/>
          <w:bCs w:val="false"/>
          <w:color w:val="102A43"/>
          <w:sz w:val="20"/>
          <w:szCs w:val="20"/>
        </w:rPr>
        <w:t xml:space="preserve"> caused network instability due to an IP conflict with another active network device.</w:t>
      </w:r>
    </w:p>
    <w:p>
      <w:pPr>
        <w:pStyle w:val="BodyText"/>
        <w:numPr>
          <w:ilvl w:val="2"/>
          <w:numId w:val="8"/>
        </w:numPr>
        <w:spacing w:lineRule="auto" w:line="300" w:before="100" w:after="40"/>
        <w:rPr/>
      </w:pPr>
      <w:bookmarkStart w:id="0" w:name="p-rc_68754fa747967e24-110"/>
      <w:bookmarkEnd w:id="0"/>
      <w:r>
        <w:rPr>
          <w:b w:val="false"/>
          <w:bCs w:val="false"/>
          <w:i/>
          <w:color w:val="102A43"/>
          <w:sz w:val="20"/>
          <w:szCs w:val="20"/>
        </w:rPr>
        <w:t>Resolution:</w:t>
      </w:r>
      <w:r>
        <w:rPr>
          <w:b w:val="false"/>
          <w:bCs w:val="false"/>
          <w:color w:val="102A43"/>
          <w:sz w:val="20"/>
          <w:szCs w:val="20"/>
        </w:rPr>
        <w:t xml:space="preserve"> Conducted ARP table scans and stabilized the Wazuh Server on a dedicated static IP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192.168.1.164</w:t>
      </w:r>
      <w:r>
        <w:rPr>
          <w:b w:val="false"/>
          <w:bCs w:val="false"/>
          <w:color w:val="102A43"/>
          <w:sz w:val="20"/>
          <w:szCs w:val="20"/>
        </w:rPr>
        <w:t>).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6</w:t>
      </w:r>
      <w:r>
        <w:rPr>
          <w:rFonts w:eastAsia="" w:ascii="Calibri" w:hAnsi="Calibri"/>
          <w:b/>
          <w:color w:val="102A43"/>
          <w:sz w:val="20"/>
          <w:szCs w:val="20"/>
        </w:rPr>
        <w:t>. Feedback received and changes made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 w:val="false"/>
          <w:bCs w:val="false"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Feedback: Supervisor advised ensuring that central logging infrastructure uses dedicated static networking to guarantee 100% uptime for log collection.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300" w:before="100" w:after="40"/>
        <w:ind w:hanging="283" w:start="709"/>
        <w:rPr>
          <w:b/>
          <w:color w:val="102A43"/>
          <w:sz w:val="20"/>
          <w:szCs w:val="20"/>
        </w:rPr>
      </w:pPr>
      <w:r>
        <w:rPr>
          <w:b w:val="false"/>
          <w:bCs w:val="false"/>
          <w:color w:val="102A43"/>
          <w:sz w:val="20"/>
          <w:szCs w:val="20"/>
        </w:rPr>
        <w:t>Changes Made: Configured Netplan on the Ubuntu Server to enforce Static IP configuration (</w:t>
      </w:r>
      <w:r>
        <w:rPr>
          <w:rStyle w:val="SourceText"/>
          <w:b w:val="false"/>
          <w:bCs w:val="false"/>
          <w:color w:val="102A43"/>
          <w:sz w:val="20"/>
          <w:szCs w:val="20"/>
        </w:rPr>
        <w:t>192.168.1.164/24</w:t>
      </w:r>
      <w:r>
        <w:rPr>
          <w:b w:val="false"/>
          <w:bCs w:val="false"/>
          <w:color w:val="102A43"/>
          <w:sz w:val="20"/>
          <w:szCs w:val="20"/>
        </w:rPr>
        <w:t>) with permanent gateway and DNS parameters.</w:t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</w:r>
    </w:p>
    <w:p>
      <w:pPr>
        <w:pStyle w:val="BodyText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/>
          <w:b/>
          <w:color w:val="102A43"/>
          <w:sz w:val="20"/>
          <w:szCs w:val="20"/>
        </w:rPr>
      </w:r>
    </w:p>
    <w:p>
      <w:pPr>
        <w:pStyle w:val="Heading4"/>
        <w:spacing w:lineRule="auto" w:line="274" w:before="0" w:after="120"/>
        <w:ind w:hanging="0" w:start="0" w:end="0"/>
        <w:rPr>
          <w:rFonts w:ascii="Calibri" w:hAnsi="Calibri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  <w:t>7</w:t>
      </w:r>
      <w:r>
        <w:rPr>
          <w:rFonts w:eastAsia="" w:ascii="Calibri" w:hAnsi="Calibri"/>
          <w:b/>
          <w:color w:val="102A43"/>
          <w:sz w:val="20"/>
          <w:szCs w:val="20"/>
        </w:rPr>
        <w:t>.</w:t>
      </w:r>
      <w:r>
        <w:rPr>
          <w:rFonts w:eastAsia="" w:ascii="Calibri" w:hAnsi="Calibri"/>
          <w:b/>
          <w:color w:val="102A43"/>
          <w:sz w:val="20"/>
          <w:szCs w:val="20"/>
        </w:rPr>
        <w:t xml:space="preserve"> Next-week priorities and support required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/>
      </w:pPr>
      <w:r>
        <w:rPr>
          <w:rFonts w:ascii="Calibri" w:hAnsi="Calibri"/>
          <w:b w:val="false"/>
          <w:bCs w:val="false"/>
          <w:color w:val="102A43"/>
          <w:sz w:val="20"/>
          <w:szCs w:val="20"/>
        </w:rPr>
        <w:t>Priorities for Next Week: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rFonts w:ascii="Calibri" w:hAnsi="Calibri"/>
          <w:b w:val="false"/>
          <w:bCs w:val="false"/>
          <w:color w:val="102A43"/>
          <w:sz w:val="20"/>
          <w:szCs w:val="20"/>
        </w:rPr>
        <w:t>Complete final hand-over of all deployed security monitoring setups and documentation to the IT unit.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rFonts w:ascii="Calibri" w:hAnsi="Calibri"/>
          <w:b w:val="false"/>
          <w:bCs w:val="false"/>
          <w:color w:val="102A43"/>
          <w:sz w:val="20"/>
          <w:szCs w:val="20"/>
        </w:rPr>
        <w:t>F</w:t>
      </w:r>
      <w:r>
        <w:rPr>
          <w:rFonts w:ascii="Calibri" w:hAnsi="Calibri"/>
          <w:b w:val="false"/>
          <w:bCs w:val="false"/>
          <w:color w:val="102A43"/>
          <w:sz w:val="20"/>
          <w:szCs w:val="20"/>
        </w:rPr>
        <w:t xml:space="preserve">inalize the compilation of the complete Field Attachment Report, incorporating all required appendices (Arrival Note, Assessment Forms, Completion Certificate, and Logbooks). </w:t>
      </w:r>
    </w:p>
    <w:p>
      <w:pPr>
        <w:pStyle w:val="BodyText"/>
        <w:numPr>
          <w:ilvl w:val="0"/>
          <w:numId w:val="0"/>
        </w:numPr>
        <w:pBdr/>
        <w:spacing w:lineRule="auto" w:line="274" w:before="0" w:after="140"/>
        <w:ind w:hanging="0" w:start="0" w:end="0"/>
        <w:rPr>
          <w:rFonts w:ascii="Calibri" w:hAnsi="Calibri"/>
          <w:b w:val="false"/>
          <w:bCs w:val="false"/>
          <w:color w:val="102A43"/>
          <w:sz w:val="20"/>
          <w:szCs w:val="20"/>
        </w:rPr>
      </w:pPr>
      <w:r>
        <w:rPr>
          <w:rFonts w:ascii="Calibri" w:hAnsi="Calibri"/>
          <w:b w:val="false"/>
          <w:bCs w:val="false"/>
          <w:color w:val="102A43"/>
          <w:sz w:val="20"/>
          <w:szCs w:val="20"/>
        </w:rPr>
        <w:t>Submit the signed logbooks and final technical report to the university/institute department for academic grading.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74" w:before="0" w:after="140"/>
        <w:ind w:hanging="283" w:start="0" w:end="0"/>
        <w:rPr/>
      </w:pPr>
      <w:r>
        <w:rPr>
          <w:rFonts w:ascii="Calibri" w:hAnsi="Calibri"/>
          <w:b w:val="false"/>
          <w:bCs w:val="false"/>
          <w:color w:val="102A43"/>
          <w:sz w:val="20"/>
          <w:szCs w:val="20"/>
        </w:rPr>
        <w:t>Su</w:t>
      </w:r>
      <w:r>
        <w:rPr>
          <w:rFonts w:ascii="Calibri" w:hAnsi="Calibri"/>
          <w:b w:val="false"/>
          <w:bCs w:val="false"/>
          <w:color w:val="102A43"/>
          <w:sz w:val="20"/>
          <w:szCs w:val="20"/>
        </w:rPr>
        <w:t>pport Required: Final signatures and official institutional stamping from the On-Site Supervisor on all logbooks and evaluation forms (</w:t>
      </w:r>
      <w:r>
        <w:rPr>
          <w:rStyle w:val="SourceText"/>
          <w:rFonts w:ascii="Calibri" w:hAnsi="Calibri"/>
          <w:b w:val="false"/>
          <w:bCs w:val="false"/>
          <w:color w:val="102A43"/>
          <w:sz w:val="20"/>
          <w:szCs w:val="20"/>
        </w:rPr>
        <w:t>Form No. 1</w:t>
      </w:r>
      <w:r>
        <w:rPr>
          <w:rFonts w:ascii="Calibri" w:hAnsi="Calibri"/>
          <w:b w:val="false"/>
          <w:bCs w:val="false"/>
          <w:color w:val="102A43"/>
          <w:sz w:val="20"/>
          <w:szCs w:val="20"/>
        </w:rPr>
        <w:t xml:space="preserve">, </w:t>
      </w:r>
      <w:r>
        <w:rPr>
          <w:rStyle w:val="SourceText"/>
          <w:rFonts w:ascii="Calibri" w:hAnsi="Calibri"/>
          <w:b w:val="false"/>
          <w:bCs w:val="false"/>
          <w:color w:val="102A43"/>
          <w:sz w:val="20"/>
          <w:szCs w:val="20"/>
        </w:rPr>
        <w:t>Form No. 2</w:t>
      </w:r>
      <w:r>
        <w:rPr>
          <w:rFonts w:ascii="Calibri" w:hAnsi="Calibri"/>
          <w:b w:val="false"/>
          <w:bCs w:val="false"/>
          <w:color w:val="102A43"/>
          <w:sz w:val="20"/>
          <w:szCs w:val="20"/>
        </w:rPr>
        <w:t xml:space="preserve">, and </w:t>
      </w:r>
      <w:r>
        <w:rPr>
          <w:rStyle w:val="SourceText"/>
          <w:rFonts w:ascii="Calibri" w:hAnsi="Calibri"/>
          <w:b w:val="false"/>
          <w:bCs w:val="false"/>
          <w:color w:val="102A43"/>
          <w:sz w:val="20"/>
          <w:szCs w:val="20"/>
        </w:rPr>
        <w:t>Form No. 6</w:t>
      </w:r>
      <w:r>
        <w:rPr>
          <w:rFonts w:ascii="Calibri" w:hAnsi="Calibri"/>
          <w:b w:val="false"/>
          <w:bCs w:val="false"/>
          <w:color w:val="102A43"/>
          <w:sz w:val="20"/>
          <w:szCs w:val="20"/>
        </w:rPr>
        <w:t>).</w:t>
      </w:r>
    </w:p>
    <w:p>
      <w:pPr>
        <w:pStyle w:val="BodyText"/>
        <w:spacing w:lineRule="auto" w:line="274" w:before="0" w:after="120"/>
        <w:ind w:hanging="0" w:start="0" w:end="0"/>
        <w:rPr>
          <w:rFonts w:ascii="Calibri" w:hAnsi="Calibri" w:eastAsia=""/>
          <w:b/>
          <w:color w:val="102A43"/>
          <w:sz w:val="20"/>
          <w:szCs w:val="20"/>
        </w:rPr>
      </w:pPr>
      <w:r>
        <w:rPr>
          <w:rFonts w:eastAsia="" w:ascii="Calibri" w:hAnsi="Calibri"/>
          <w:b/>
          <w:color w:val="102A43"/>
          <w:sz w:val="20"/>
          <w:szCs w:val="20"/>
        </w:rPr>
      </w:r>
    </w:p>
    <w:p>
      <w:pPr>
        <w:pStyle w:val="BodyText"/>
        <w:spacing w:lineRule="auto" w:line="274" w:before="0" w:after="120"/>
        <w:ind w:hanging="0" w:start="0" w:end="0"/>
        <w:rPr>
          <w:rFonts w:ascii="Calibri" w:hAnsi="Calibri" w:eastAsia=""/>
          <w:b w:val="false"/>
          <w:bCs w:val="false"/>
          <w:color w:val="102A43"/>
          <w:sz w:val="20"/>
          <w:szCs w:val="20"/>
        </w:rPr>
      </w:pPr>
      <w:r>
        <w:rPr>
          <w:rFonts w:eastAsia=""/>
          <w:b w:val="false"/>
          <w:bCs w:val="false"/>
          <w:color w:val="102A43"/>
          <w:sz w:val="20"/>
          <w:szCs w:val="20"/>
        </w:rPr>
      </w:r>
    </w:p>
    <w:p>
      <w:pPr>
        <w:pStyle w:val="Normal"/>
        <w:shd w:val="clear" w:color="auto" w:fill="FAFBFC"/>
        <w:spacing w:lineRule="auto" w:line="204" w:before="0" w:after="0"/>
        <w:rPr/>
      </w:pPr>
      <w:r>
        <w:rPr>
          <w:color w:val="FFFFFF"/>
          <w:sz w:val="12"/>
        </w:rPr>
        <w:t xml:space="preserve"> </w:t>
      </w:r>
    </w:p>
    <w:tbl>
      <w:tblPr>
        <w:tblW w:w="9360" w:type="dxa"/>
        <w:jc w:val="start"/>
        <w:tblInd w:w="120" w:type="dxa"/>
        <w:tblLayout w:type="fixed"/>
        <w:tblCellMar>
          <w:top w:w="40" w:type="dxa"/>
          <w:start w:w="120" w:type="dxa"/>
          <w:bottom w:w="40" w:type="dxa"/>
          <w:end w:w="120" w:type="dxa"/>
        </w:tblCellMar>
        <w:tblLook w:noHBand="0" w:noVBand="1" w:firstColumn="1" w:lastRow="0" w:lastColumn="0" w:firstRow="1" w:val="04a0"/>
      </w:tblPr>
      <w:tblGrid>
        <w:gridCol w:w="3024"/>
        <w:gridCol w:w="6336"/>
      </w:tblGrid>
      <w:tr>
        <w:trPr>
          <w:tblHeader w:val="true"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MENTOR DECISION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102A43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b/>
                <w:color w:val="FFFFFF"/>
                <w:sz w:val="18"/>
              </w:rPr>
              <w:t>COMMENTS / ACTION / OWNER / DATE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Pass / Conditional / Rework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Student signature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shd w:color="auto" w:fill="F2F4F7" w:val="clear"/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  <w:t>Abdulkadir Suleiman Omar / 26/09/2026</w:t>
            </w:r>
          </w:p>
        </w:tc>
      </w:tr>
      <w:tr>
        <w:trPr>
          <w:cantSplit/>
        </w:trPr>
        <w:tc>
          <w:tcPr>
            <w:tcW w:w="3024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>
                <w:sz w:val="18"/>
              </w:rPr>
              <w:t>Lead Mentor / date</w:t>
            </w:r>
          </w:p>
        </w:tc>
        <w:tc>
          <w:tcPr>
            <w:tcW w:w="6336" w:type="dxa"/>
            <w:tcBorders>
              <w:top w:val="single" w:sz="6" w:space="0" w:color="C8D0D8"/>
              <w:start w:val="single" w:sz="6" w:space="0" w:color="C8D0D8"/>
              <w:bottom w:val="single" w:sz="6" w:space="0" w:color="C8D0D8"/>
              <w:end w:val="single" w:sz="6" w:space="0" w:color="C8D0D8"/>
            </w:tcBorders>
            <w:vAlign w:val="center"/>
          </w:tcPr>
          <w:p>
            <w:pPr>
              <w:pStyle w:val="Normal"/>
              <w:spacing w:lineRule="auto" w:line="252" w:before="0" w:after="0"/>
              <w:rPr/>
            </w:pPr>
            <w:r>
              <w:rPr/>
            </w:r>
          </w:p>
        </w:tc>
      </w:tr>
    </w:tbl>
    <w:p>
      <w:pPr>
        <w:pStyle w:val="Normal"/>
        <w:spacing w:lineRule="exact" w:line="20" w:before="0" w:after="0"/>
        <w:rPr/>
      </w:pPr>
      <w:r>
        <w:rPr>
          <w:color w:val="FFFFFF"/>
          <w:sz w:val="2"/>
        </w:rPr>
        <w:t xml:space="preserve"> </w:t>
      </w:r>
    </w:p>
    <w:p>
      <w:pPr>
        <w:pStyle w:val="Normal"/>
        <w:widowControl/>
        <w:bidi w:val="0"/>
        <w:spacing w:lineRule="auto" w:line="300" w:before="0" w:after="12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Wingdings 2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start"/>
      <w:pPr>
        <w:tabs>
          <w:tab w:val="num" w:pos="1418"/>
        </w:tabs>
        <w:ind w:start="1418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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start"/>
      <w:pPr>
        <w:tabs>
          <w:tab w:val="num" w:pos="1418"/>
        </w:tabs>
        <w:ind w:start="1418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"/>
      <w:lvlJc w:val="start"/>
      <w:pPr>
        <w:tabs>
          <w:tab w:val="num" w:pos="709"/>
        </w:tabs>
        <w:ind w:start="709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9">
    <w:lvl w:ilvl="0">
      <w:start w:val="1"/>
      <w:numFmt w:val="bullet"/>
      <w:lvlText w:val=""/>
      <w:lvlJc w:val="start"/>
      <w:pPr>
        <w:tabs>
          <w:tab w:val="num" w:pos="720"/>
        </w:tabs>
        <w:ind w:start="720" w:hanging="360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108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"/>
      <w:lvlJc w:val="start"/>
      <w:pPr>
        <w:tabs>
          <w:tab w:val="num" w:pos="1440"/>
        </w:tabs>
        <w:ind w:start="1440" w:hanging="360"/>
      </w:pPr>
      <w:rPr>
        <w:rFonts w:ascii="Wingdings 2" w:hAnsi="Wingdings 2" w:cs="Wingdings 2" w:hint="default"/>
      </w:rPr>
    </w:lvl>
    <w:lvl w:ilvl="3">
      <w:start w:val="1"/>
      <w:numFmt w:val="bullet"/>
      <w:lvlText w:val=""/>
      <w:lvlJc w:val="start"/>
      <w:pPr>
        <w:tabs>
          <w:tab w:val="num" w:pos="1800"/>
        </w:tabs>
        <w:ind w:start="1800" w:hanging="360"/>
      </w:pPr>
      <w:rPr>
        <w:rFonts w:ascii="Wingdings 2" w:hAnsi="Wingdings 2" w:cs="Wingdings 2" w:hint="default"/>
      </w:rPr>
    </w:lvl>
    <w:lvl w:ilvl="4">
      <w:start w:val="1"/>
      <w:numFmt w:val="bullet"/>
      <w:lvlText w:val=""/>
      <w:lvlJc w:val="start"/>
      <w:pPr>
        <w:tabs>
          <w:tab w:val="num" w:pos="2160"/>
        </w:tabs>
        <w:ind w:start="216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"/>
      <w:lvlJc w:val="start"/>
      <w:pPr>
        <w:tabs>
          <w:tab w:val="num" w:pos="2520"/>
        </w:tabs>
        <w:ind w:start="2520" w:hanging="360"/>
      </w:pPr>
      <w:rPr>
        <w:rFonts w:ascii="Wingdings 2" w:hAnsi="Wingdings 2" w:cs="Wingdings 2" w:hint="default"/>
      </w:rPr>
    </w:lvl>
    <w:lvl w:ilvl="6">
      <w:start w:val="1"/>
      <w:numFmt w:val="bullet"/>
      <w:lvlText w:val=""/>
      <w:lvlJc w:val="start"/>
      <w:pPr>
        <w:tabs>
          <w:tab w:val="num" w:pos="2880"/>
        </w:tabs>
        <w:ind w:start="2880" w:hanging="360"/>
      </w:pPr>
      <w:rPr>
        <w:rFonts w:ascii="Wingdings 2" w:hAnsi="Wingdings 2" w:cs="Wingdings 2" w:hint="default"/>
      </w:rPr>
    </w:lvl>
    <w:lvl w:ilvl="7">
      <w:start w:val="1"/>
      <w:numFmt w:val="bullet"/>
      <w:lvlText w:val=""/>
      <w:lvlJc w:val="start"/>
      <w:pPr>
        <w:tabs>
          <w:tab w:val="num" w:pos="3240"/>
        </w:tabs>
        <w:ind w:start="3240" w:hanging="360"/>
      </w:pPr>
      <w:rPr>
        <w:rFonts w:ascii="Wingdings 2" w:hAnsi="Wingdings 2" w:cs="Wingdings 2" w:hint="default"/>
      </w:rPr>
    </w:lvl>
    <w:lvl w:ilvl="8">
      <w:start w:val="1"/>
      <w:numFmt w:val="bullet"/>
      <w:lvlText w:val=""/>
      <w:lvlJc w:val="start"/>
      <w:pPr>
        <w:tabs>
          <w:tab w:val="num" w:pos="3600"/>
        </w:tabs>
        <w:ind w:start="3600" w:hanging="360"/>
      </w:pPr>
      <w:rPr>
        <w:rFonts w:ascii="Wingdings 2" w:hAnsi="Wingdings 2" w:cs="Wingdings 2" w:hint="default"/>
      </w:rPr>
    </w:lvl>
  </w:abstractNum>
  <w:abstractNum w:abstractNumId="10">
    <w:lvl w:ilvl="0">
      <w:start w:val="1"/>
      <w:numFmt w:val="bullet"/>
      <w:lvlText w:val=""/>
      <w:lvlJc w:val="start"/>
      <w:pPr>
        <w:tabs>
          <w:tab w:val="num" w:pos="0"/>
        </w:tabs>
        <w:ind w:start="0" w:hanging="283"/>
      </w:pPr>
      <w:rPr>
        <w:rFonts w:ascii="Wingdings 2" w:hAnsi="Wingdings 2" w:cs="Wingdings 2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0" w:hanging="283"/>
      </w:pPr>
      <w:rPr>
        <w:rFonts w:ascii="Wingdings 2" w:hAnsi="Wingdings 2" w:cs="Wingdings 2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bf6"/>
    <w:pPr>
      <w:widowControl/>
      <w:suppressAutoHyphens w:val="true"/>
      <w:bidi w:val="0"/>
      <w:spacing w:lineRule="auto" w:line="300" w:before="0" w:after="120"/>
      <w:jc w:val="start"/>
    </w:pPr>
    <w:rPr>
      <w:rFonts w:ascii="Calibri" w:hAnsi="Calibri" w:eastAsia="" w:cs="" w:eastAsiaTheme="minorEastAsia"/>
      <w:color w:val="243142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bf6"/>
    <w:pPr>
      <w:keepNext w:val="true"/>
      <w:keepLines/>
      <w:spacing w:before="280" w:after="14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c0bf6"/>
    <w:rPr>
      <w:rFonts w:ascii="Cambria" w:hAnsi="Cambria" w:eastAsia="" w:cs="" w:asciiTheme="majorHAnsi" w:cstheme="majorBidi" w:eastAsiaTheme="majorEastAsia" w:hAnsiTheme="majorHAnsi"/>
      <w:b/>
      <w:bCs/>
      <w:color w:val="147CB3"/>
      <w:sz w:val="26"/>
      <w:szCs w:val="2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LibreOffice/26.2.5.2$Linux_X86_64 LibreOffice_project/620$Build-2</Application>
  <AppVersion>15.0000</AppVersion>
  <Pages>3</Pages>
  <Words>699</Words>
  <Characters>4382</Characters>
  <CharactersWithSpaces>4994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2026-08-07T03:20:00Z</dcterms:created>
  <dc:creator>HP</dc:creator>
  <dc:description/>
  <dc:language>en-US</dc:language>
  <cp:lastModifiedBy/>
  <dcterms:modified xsi:type="dcterms:W3CDTF">2026-09-26T16:03:37Z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