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22-09-2026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Windows Infrastructure Assessment Presentation &amp; Hardening:</w:t>
            </w:r>
          </w:p>
          <w:p>
            <w:pPr>
              <w:pStyle w:val="BodyText"/>
              <w:spacing w:lineRule="auto" w:line="252"/>
              <w:rPr/>
            </w:pPr>
            <w:r>
              <w:rPr/>
            </w:r>
          </w:p>
          <w:p>
            <w:pPr>
              <w:pStyle w:val="BodyText"/>
              <w:spacing w:lineRule="auto" w:line="252"/>
              <w:rPr/>
            </w:pPr>
            <w:r>
              <w:rPr/>
              <w:t>Presented vulnerability audit findings for Windows Server 2022 and Windows 11 endpoints. Initiated systems hardening by enforcing Active Directory Group Policy Objects (GPO), disabling vulnerable legacy protocols (SMBv1, NBT-NS, and LLMNR), and configuring advanced Windows Defender Firewall rules for inbound/outbound inspection.</w:t>
            </w:r>
          </w:p>
          <w:p>
            <w:pPr>
              <w:pStyle w:val="BodyText"/>
              <w:spacing w:lineRule="auto" w:line="252" w:before="0" w:after="14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140"/>
              <w:rPr/>
            </w:pPr>
            <w:r>
              <w:rPr/>
              <w:t>Successfully deployed GPO policies across domain-joined machines. Conducted verification scans using Nmap scripts (</w:t>
            </w:r>
            <w:r>
              <w:rPr>
                <w:rStyle w:val="SourceText"/>
              </w:rPr>
              <w:t>smb-protocols.nse</w:t>
            </w:r>
            <w:r>
              <w:rPr/>
              <w:t>), confirming that legacy SMBv1 was completely disabled and endpoint threat surfaces were minimized.</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rPr/>
            </w:pPr>
            <w:r>
              <w:rPr>
                <w:b/>
              </w:rPr>
              <w:t>Blocker:</w:t>
            </w:r>
            <w:r>
              <w:rPr/>
              <w:t xml:space="preserve"> None.</w:t>
            </w:r>
          </w:p>
          <w:p>
            <w:pPr>
              <w:pStyle w:val="BodyText"/>
              <w:spacing w:lineRule="auto" w:line="252"/>
              <w:rPr/>
            </w:pPr>
            <w:r>
              <w:rPr/>
            </w:r>
          </w:p>
          <w:p>
            <w:pPr>
              <w:pStyle w:val="BodyText"/>
              <w:spacing w:lineRule="auto" w:line="252" w:before="0" w:after="140"/>
              <w:rPr/>
            </w:pPr>
            <w:r>
              <w:rPr>
                <w:b/>
              </w:rPr>
              <w:t>Next Step:</w:t>
            </w:r>
            <w:r>
              <w:rPr/>
              <w:t xml:space="preserve"> Begin full-scale deployment of Wazuh SIEM architecture on Ubuntu Manager.</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1</Pages>
  <Words>155</Words>
  <Characters>983</Characters>
  <CharactersWithSpaces>1120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2026-09-26T15:31:52Z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