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Remediation and hardening of identified Ubuntu Server vulnerabilities. Applied patches for Kernel mitigations, updated Intel/AMD microcodes, disabled ICMP timestamp responses via IPtables, disabled TCP timestamps via sysctl, and restricted SSH to secure MAC algorithms.</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Re-executed a post-remediation scan on the target machine. Confirmed 100% resolution of all 5 vulnerabilities (Severity reduced to </w:t>
            </w:r>
            <w:r>
              <w:rPr>
                <w:b/>
              </w:rPr>
              <w:t>0.0 / Clean</w:t>
            </w:r>
            <w:r>
              <w:rPr/>
              <w:t>). Verified system services (</w:t>
            </w:r>
            <w:r>
              <w:rPr>
                <w:rStyle w:val="SourceText"/>
              </w:rPr>
              <w:t>sshd</w:t>
            </w:r>
            <w:r>
              <w:rPr/>
              <w:t>, Kernel microcode) are operating cleanly without errors.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Next Step:</w:t>
            </w:r>
            <w:r>
              <w:rPr/>
              <w:t xml:space="preserve"> Document Ubuntu Server hardening procedure and prepare for Windows Server assessment.</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LibreOffice/26.2.5.2$Linux_X86_64 LibreOffice_project/620$Build-2</Application>
  <AppVersion>15.0000</AppVersion>
  <Pages>1</Pages>
  <Words>146</Words>
  <Characters>868</Characters>
  <CharactersWithSpaces>998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2026-09-19T10:05:35Z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