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Team-159000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InsightStream Navigate The News Landscape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LEADER: SAMYUKHTHA S.N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1: SANDHIYA.M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2: PRIYADHARSHINI.M</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                                    TEAM MEMBER 3: SANTHOSH KUMAR.K</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3160" w:dyaOrig="6134">
          <v:rect xmlns:o="urn:schemas-microsoft-com:office:office" xmlns:v="urn:schemas-microsoft-com:vml" id="rectole0000000000" style="width:658.000000pt;height:30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3160" w:dyaOrig="3664">
          <v:rect xmlns:o="urn:schemas-microsoft-com:office:office" xmlns:v="urn:schemas-microsoft-com:vml" id="rectole0000000001" style="width:658.000000pt;height:183.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308"/>
        <w:gridCol w:w="1482"/>
        <w:gridCol w:w="1142"/>
        <w:gridCol w:w="1888"/>
        <w:gridCol w:w="1504"/>
        <w:gridCol w:w="1692"/>
      </w:tblGrid>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Stay updated with the latest news quickly</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news websites are cluttered with ads and unnecessary content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clean, distraction-free interface with only relevant news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unwilling to browse for long</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reader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news on topics I care about</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news feed is not personalized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an easy way to filter news based on my interests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and overwhelmed by irrelevant content</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Read news on the go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platforms are not mobile-friendly or take too long to load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smooth, fast-loading, and responsive experience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likely to leave the platform</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concerned about credibility</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reliable news from trusted sources</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lot of platforms spread misinformation or lack source transparency</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verified news from reputable sources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Skeptical and unsure which news to trust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