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Frecuencia</w:t>
      </w:r>
      <w:r>
        <w:t xml:space="preserve"> </w:t>
      </w:r>
      <w:r>
        <w:t xml:space="preserve">de</w:t>
      </w:r>
      <w:r>
        <w:t xml:space="preserve"> </w:t>
      </w:r>
      <w:r>
        <w:t xml:space="preserve">siniestralidad</w:t>
      </w:r>
      <w:r>
        <w:t xml:space="preserve"> </w:t>
      </w:r>
      <w:r>
        <w:t xml:space="preserve">en</w:t>
      </w:r>
      <w:r>
        <w:t xml:space="preserve"> </w:t>
      </w:r>
      <w:r>
        <w:t xml:space="preserve">la</w:t>
      </w:r>
      <w:r>
        <w:t xml:space="preserve"> </w:t>
      </w:r>
      <w:r>
        <w:t xml:space="preserve">cartera</w:t>
      </w:r>
      <w:r>
        <w:t xml:space="preserve"> </w:t>
      </w:r>
      <w:r>
        <w:t xml:space="preserve">de</w:t>
      </w:r>
      <w:r>
        <w:t xml:space="preserve"> </w:t>
      </w:r>
      <w:r>
        <w:t xml:space="preserve">auto</w:t>
      </w:r>
      <w:r>
        <w:t xml:space="preserve"> </w:t>
      </w:r>
      <w:r>
        <w:t xml:space="preserve">(equipo_01)</w:t>
      </w:r>
    </w:p>
    <w:p>
      <w:pPr>
        <w:pStyle w:val="Subtitle"/>
      </w:pPr>
      <w:r>
        <w:t xml:space="preserve">Informe</w:t>
      </w:r>
      <w:r>
        <w:t xml:space="preserve"> </w:t>
      </w:r>
      <w:r>
        <w:t xml:space="preserve">ejecutivo</w:t>
      </w:r>
      <w:r>
        <w:t xml:space="preserve"> </w:t>
      </w:r>
      <w:r>
        <w:t xml:space="preserve">·</w:t>
      </w:r>
      <w:r>
        <w:t xml:space="preserve"> </w:t>
      </w:r>
      <w:r>
        <w:t xml:space="preserve">Estudio</w:t>
      </w:r>
      <w:r>
        <w:t xml:space="preserve"> </w:t>
      </w:r>
      <w:r>
        <w:t xml:space="preserve">de</w:t>
      </w:r>
      <w:r>
        <w:t xml:space="preserve"> </w:t>
      </w:r>
      <w:r>
        <w:t xml:space="preserve">caso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ritmo,</w:t>
      </w:r>
      <w:r>
        <w:t xml:space="preserve"> </w:t>
      </w:r>
      <w:r>
        <w:t xml:space="preserve">variabilidad,</w:t>
      </w:r>
      <w:r>
        <w:t xml:space="preserve"> </w:t>
      </w:r>
      <w:r>
        <w:t xml:space="preserve">territorio</w:t>
      </w:r>
      <w:r>
        <w:t xml:space="preserve"> </w:t>
      </w:r>
      <w:r>
        <w:t xml:space="preserve">y</w:t>
      </w:r>
      <w:r>
        <w:t xml:space="preserve"> </w:t>
      </w:r>
      <w:r>
        <w:t xml:space="preserve">equidad</w:t>
      </w:r>
      <w:r>
        <w:t xml:space="preserve"> </w:t>
      </w:r>
      <w:r>
        <w:t xml:space="preserve">del</w:t>
      </w:r>
      <w:r>
        <w:t xml:space="preserve"> </w:t>
      </w:r>
      <w:r>
        <w:t xml:space="preserve">riesgo</w:t>
      </w:r>
    </w:p>
    <w:p>
      <w:pPr>
        <w:pStyle w:val="Author"/>
      </w:pPr>
      <w:r>
        <w:t xml:space="preserve">equipo_01</w:t>
      </w:r>
    </w:p>
    <w:p>
      <w:pPr>
        <w:pStyle w:val="Date"/>
      </w:pPr>
      <w:r>
        <w:t xml:space="preserve">29/7/26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Tabla</w:t>
          </w:r>
          <w:r>
            <w:t xml:space="preserve"> </w:t>
          </w:r>
          <w:r>
            <w:t xml:space="preserve">de</w:t>
          </w:r>
          <w:r>
            <w:t xml:space="preserve"> </w:t>
          </w:r>
          <w:r>
            <w:t xml:space="preserve">contenidos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datos-de-la-entrega"/>
    <w:p>
      <w:pPr>
        <w:pStyle w:val="Heading2"/>
      </w:pPr>
      <w:r>
        <w:t xml:space="preserve">Datos de la entrega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del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de siniestralidad en la cartera de auto (equipo_01)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equipo_01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Asignatura / titulación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Lineales Generalizados con R — 3.º del Grado en Ciencia de Datos e IA (6 ECTS)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 académico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2025–2026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Audiencia destinataria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técnica de la aseguradora de automóvil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Decisión que se quiere apoyar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Tarificación de la frecuencia de siniestros, planificación de revisiones y gestión de la red de agencias</w:t>
            </w:r>
          </w:p>
        </w:tc>
      </w:tr>
    </w:tbl>
    <w:bookmarkEnd w:id="20"/>
    <w:bookmarkStart w:id="21" w:name="resumen-ejecutivo"/>
    <w:p>
      <w:pPr>
        <w:pStyle w:val="Heading1"/>
      </w:pPr>
      <w:r>
        <w:t xml:space="preserve">1. Resumen ejecutivo</w:t>
      </w:r>
    </w:p>
    <w:p>
      <w:pPr>
        <w:pStyle w:val="FirstParagraph"/>
      </w:pPr>
      <w:r>
        <w:t xml:space="preserve">La dirección técnica necesita tarificar la frecuencia de siniestros, planificar las</w:t>
      </w:r>
      <w:r>
        <w:t xml:space="preserve"> </w:t>
      </w:r>
      <w:r>
        <w:t xml:space="preserve">revisiones de pólizas y gestionar su red de agencias con criterios cuantitativos. Este</w:t>
      </w:r>
      <w:r>
        <w:t xml:space="preserve"> </w:t>
      </w:r>
      <w:r>
        <w:t xml:space="preserve">informe responde a esas necesidades sobre la cartera de auto del</w:t>
      </w:r>
      <w:r>
        <w:t xml:space="preserve"> </w:t>
      </w:r>
      <w:r>
        <w:rPr>
          <w:bCs/>
          <w:b/>
        </w:rPr>
        <w:t xml:space="preserve">equipo_01</w:t>
      </w:r>
      <w:r>
        <w:t xml:space="preserve">:</w:t>
      </w:r>
      <w:r>
        <w:t xml:space="preserve"> </w:t>
      </w:r>
      <w:r>
        <w:t xml:space="preserve">3.093 pólizas simuladas —con proceso generador conocido, lo que permite</w:t>
      </w:r>
      <w:r>
        <w:t xml:space="preserve"> </w:t>
      </w:r>
      <w:r>
        <w:t xml:space="preserve">validar el método—, usando la exposición de cada póliza como denominador para modelar</w:t>
      </w:r>
      <w:r>
        <w:t xml:space="preserve"> </w:t>
      </w:r>
      <w:r>
        <w:rPr>
          <w:bCs/>
          <w:b/>
        </w:rPr>
        <w:t xml:space="preserve">tasas</w:t>
      </w:r>
      <w:r>
        <w:t xml:space="preserve"> </w:t>
      </w:r>
      <w:r>
        <w:t xml:space="preserve">y no recuentos brutos.</w:t>
      </w:r>
    </w:p>
    <w:p>
      <w:pPr>
        <w:pStyle w:val="BodyText"/>
      </w:pPr>
      <w:r>
        <w:rPr>
          <w:bCs/>
          <w:b/>
        </w:rPr>
        <w:t xml:space="preserve">Cuatro</w:t>
      </w:r>
      <w:r>
        <w:t xml:space="preserve"> </w:t>
      </w:r>
      <w:r>
        <w:t xml:space="preserve">hallazgos guían la decisión.</w:t>
      </w:r>
    </w:p>
    <w:p>
      <w:pPr>
        <w:pStyle w:val="BodyText"/>
      </w:pPr>
      <w:r>
        <w:rPr>
          <w:bCs/>
          <w:b/>
        </w:rPr>
        <w:t xml:space="preserve">Primero</w:t>
      </w:r>
      <w:r>
        <w:t xml:space="preserve">, el ritmo de siniestros es predecible: lo elevan la juventud del conductor</w:t>
      </w:r>
      <w:r>
        <w:t xml:space="preserve"> </w:t>
      </w:r>
      <w:r>
        <w:t xml:space="preserve">—el tramo 35–65 tiene una tasa -50 % respecto a los 18–25—, los kilómetros</w:t>
      </w:r>
      <w:r>
        <w:t xml:space="preserve"> </w:t>
      </w:r>
      <w:r>
        <w:t xml:space="preserve">(+19 % por desviación estándar) y la densidad del domicilio</w:t>
      </w:r>
      <w:r>
        <w:t xml:space="preserve"> </w:t>
      </w:r>
      <w:r>
        <w:t xml:space="preserve">(+21 %). Pero la variabilidad real</w:t>
      </w:r>
      <w:r>
        <w:t xml:space="preserve"> </w:t>
      </w:r>
      <w:r>
        <w:rPr>
          <w:bCs/>
          <w:b/>
        </w:rPr>
        <w:t xml:space="preserve">supera</w:t>
      </w:r>
      <w:r>
        <w:t xml:space="preserve"> </w:t>
      </w:r>
      <w:r>
        <w:t xml:space="preserve">a la de un modelo de</w:t>
      </w:r>
      <w:r>
        <w:t xml:space="preserve"> </w:t>
      </w:r>
      <w:r>
        <w:t xml:space="preserve">Poisson simple (índice de dispersión 1,44), por lo que las primas deben</w:t>
      </w:r>
      <w:r>
        <w:t xml:space="preserve"> </w:t>
      </w:r>
      <w:r>
        <w:t xml:space="preserve">calcularse con los márgenes de una</w:t>
      </w:r>
      <w:r>
        <w:t xml:space="preserve"> </w:t>
      </w:r>
      <w:r>
        <w:rPr>
          <w:bCs/>
          <w:b/>
        </w:rPr>
        <w:t xml:space="preserve">binomial negativa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Segundo</w:t>
      </w:r>
      <w:r>
        <w:t xml:space="preserve">, alrededor de un</w:t>
      </w:r>
      <w:r>
        <w:t xml:space="preserve"> </w:t>
      </w:r>
      <w:r>
        <w:rPr>
          <w:bCs/>
          <w:b/>
        </w:rPr>
        <w:t xml:space="preserve">tercio</w:t>
      </w:r>
      <w:r>
        <w:t xml:space="preserve"> </w:t>
      </w:r>
      <w:r>
        <w:t xml:space="preserve">de la variación del volumen de gestiones</w:t>
      </w:r>
      <w:r>
        <w:t xml:space="preserve"> </w:t>
      </w:r>
      <w:r>
        <w:t xml:space="preserve">(ICC 0,33) es atribuible a la</w:t>
      </w:r>
      <w:r>
        <w:t xml:space="preserve"> </w:t>
      </w:r>
      <w:r>
        <w:rPr>
          <w:bCs/>
          <w:b/>
        </w:rPr>
        <w:t xml:space="preserve">agencia</w:t>
      </w:r>
      <w:r>
        <w:t xml:space="preserve">, no a la póliza, y 9 agencias</w:t>
      </w:r>
      <w:r>
        <w:t xml:space="preserve"> </w:t>
      </w:r>
      <w:r>
        <w:t xml:space="preserve">se desvían de forma significativa.</w:t>
      </w:r>
    </w:p>
    <w:p>
      <w:pPr>
        <w:pStyle w:val="BodyText"/>
      </w:pPr>
      <w:r>
        <w:rPr>
          <w:bCs/>
          <w:b/>
        </w:rPr>
        <w:t xml:space="preserve">Tercero</w:t>
      </w:r>
      <w:r>
        <w:t xml:space="preserve">, el riesgo del primer siniestro se</w:t>
      </w:r>
      <w:r>
        <w:t xml:space="preserve"> </w:t>
      </w:r>
      <w:r>
        <w:rPr>
          <w:bCs/>
          <w:b/>
        </w:rPr>
        <w:t xml:space="preserve">concentra en los primeros años</w:t>
      </w:r>
      <w:r>
        <w:t xml:space="preserve"> </w:t>
      </w:r>
      <w:r>
        <w:t xml:space="preserve">y decae</w:t>
      </w:r>
      <w:r>
        <w:t xml:space="preserve"> </w:t>
      </w:r>
      <w:r>
        <w:t xml:space="preserve">después, lo que aconseja revisar antes y con más frecuencia a los perfiles de mayor</w:t>
      </w:r>
      <w:r>
        <w:t xml:space="preserve"> </w:t>
      </w:r>
      <w:r>
        <w:t xml:space="preserve">riesgo.</w:t>
      </w:r>
    </w:p>
    <w:p>
      <w:pPr>
        <w:pStyle w:val="BodyText"/>
      </w:pPr>
      <w:r>
        <w:rPr>
          <w:bCs/>
          <w:b/>
        </w:rPr>
        <w:t xml:space="preserve">Cuarto —y es el hallazgo con implicaciones legales—:</w:t>
      </w:r>
      <w:r>
        <w:t xml:space="preserve"> </w:t>
      </w:r>
      <w:r>
        <w:t xml:space="preserve">excluir el sexo del modelo</w:t>
      </w:r>
      <w:r>
        <w:t xml:space="preserve"> </w:t>
      </w:r>
      <w:r>
        <w:rPr>
          <w:bCs/>
          <w:b/>
        </w:rPr>
        <w:t xml:space="preserve">no basta</w:t>
      </w:r>
      <w:r>
        <w:t xml:space="preserve"> </w:t>
      </w:r>
      <w:r>
        <w:t xml:space="preserve">para que la tarifa sea ciega al sexo. El</w:t>
      </w:r>
      <w:r>
        <w:t xml:space="preserve"> </w:t>
      </w:r>
      <w:r>
        <w:rPr>
          <w:bCs/>
          <w:b/>
        </w:rPr>
        <w:t xml:space="preserve">tipo de vehículo</w:t>
      </w:r>
      <w:r>
        <w:t xml:space="preserve">, que sí es</w:t>
      </w:r>
      <w:r>
        <w:t xml:space="preserve"> </w:t>
      </w:r>
      <w:r>
        <w:t xml:space="preserve">legalmente utilizable, está fuertemente asociado al sexo en esta cartera</w:t>
      </w:r>
      <w:r>
        <w:t xml:space="preserve"> </w:t>
      </w:r>
      <w:r>
        <w:t xml:space="preserve">(las motos son el 20,3 % de la cartera de hombres frente al</w:t>
      </w:r>
      <w:r>
        <w:t xml:space="preserve"> </w:t>
      </w:r>
      <w:r>
        <w:t xml:space="preserve">6,7 % de la de mujeres), de modo que parte de la diferencia entre</w:t>
      </w:r>
      <w:r>
        <w:t xml:space="preserve"> </w:t>
      </w:r>
      <w:r>
        <w:t xml:space="preserve">hombres y mujeres sigue entrando en la tarifa por esa vía. La hemos</w:t>
      </w:r>
      <w:r>
        <w:t xml:space="preserve"> </w:t>
      </w:r>
      <w:r>
        <w:rPr>
          <w:bCs/>
          <w:b/>
        </w:rPr>
        <w:t xml:space="preserve">cuantificado</w:t>
      </w:r>
      <w:r>
        <w:t xml:space="preserve">:</w:t>
      </w:r>
      <w:r>
        <w:t xml:space="preserve"> </w:t>
      </w:r>
      <w:r>
        <w:t xml:space="preserve">supone en torno al 1,1 % sobre la frecuencia.</w:t>
      </w:r>
    </w:p>
    <w:p>
      <w:pPr>
        <w:pStyle w:val="BodyText"/>
      </w:pPr>
      <w:r>
        <w:rPr>
          <w:bCs/>
          <w:b/>
        </w:rPr>
        <w:t xml:space="preserve">Recomendación principal:</w:t>
      </w:r>
      <w:r>
        <w:t xml:space="preserve"> </w:t>
      </w:r>
      <w:r>
        <w:t xml:space="preserve">tarificar la frecuencia con un modelo binomial negativo</w:t>
      </w:r>
      <w:r>
        <w:t xml:space="preserve"> </w:t>
      </w:r>
      <w:r>
        <w:rPr>
          <w:bCs/>
          <w:b/>
        </w:rPr>
        <w:t xml:space="preserve">corto</w:t>
      </w:r>
      <w:r>
        <w:t xml:space="preserve"> </w:t>
      </w:r>
      <w:r>
        <w:t xml:space="preserve">(edad, kilómetros y densidad como núcleo),</w:t>
      </w:r>
      <w:r>
        <w:t xml:space="preserve"> </w:t>
      </w:r>
      <w:r>
        <w:rPr>
          <w:bCs/>
          <w:b/>
        </w:rPr>
        <w:t xml:space="preserve">excluyendo el sexo</w:t>
      </w:r>
      <w:r>
        <w:t xml:space="preserve"> </w:t>
      </w:r>
      <w:r>
        <w:t xml:space="preserve">por</w:t>
      </w:r>
      <w:r>
        <w:t xml:space="preserve"> </w:t>
      </w:r>
      <w:r>
        <w:t xml:space="preserve">imperativo legal, y</w:t>
      </w:r>
      <w:r>
        <w:t xml:space="preserve"> </w:t>
      </w:r>
      <w:r>
        <w:rPr>
          <w:bCs/>
          <w:b/>
        </w:rPr>
        <w:t xml:space="preserve">documentar de forma explícita</w:t>
      </w:r>
      <w:r>
        <w:t xml:space="preserve"> </w:t>
      </w:r>
      <w:r>
        <w:t xml:space="preserve">la fuga residual vía tipo de</w:t>
      </w:r>
      <w:r>
        <w:t xml:space="preserve"> </w:t>
      </w:r>
      <w:r>
        <w:t xml:space="preserve">vehículo, con decisión motivada de la dirección sobre si se acepta o se corrige.</w:t>
      </w:r>
      <w:r>
        <w:t xml:space="preserve"> </w:t>
      </w:r>
      <w:r>
        <w:t xml:space="preserve">Gestionar la red reconociendo el peso de la agencia, y priorizar las revisiones en los</w:t>
      </w:r>
      <w:r>
        <w:t xml:space="preserve"> </w:t>
      </w:r>
      <w:r>
        <w:t xml:space="preserve">primeros años de la póliza y en los perfiles de alto riesgo.</w:t>
      </w:r>
    </w:p>
    <w:p>
      <w:pPr>
        <w:pStyle w:val="BodyText"/>
      </w:pPr>
      <w:r>
        <w:rPr>
          <w:bCs/>
          <w:b/>
        </w:rPr>
        <w:t xml:space="preserve">Cautela:</w:t>
      </w:r>
      <w:r>
        <w:t xml:space="preserve"> </w:t>
      </w:r>
      <w:r>
        <w:t xml:space="preserve">las magnitudes corresponden a esta cartera (simulada) y deben revalidarse</w:t>
      </w:r>
      <w:r>
        <w:t xml:space="preserve"> </w:t>
      </w:r>
      <w:r>
        <w:t xml:space="preserve">sobre datos reales antes de trasladarse a tarifa. Y la fuga medida es la de la</w:t>
      </w:r>
      <w:r>
        <w:t xml:space="preserve"> </w:t>
      </w:r>
      <w:r>
        <w:rPr>
          <w:bCs/>
          <w:b/>
        </w:rPr>
        <w:t xml:space="preserve">frecuencia</w:t>
      </w:r>
      <w:r>
        <w:t xml:space="preserve">: si el tipo de vehículo también influye en el</w:t>
      </w:r>
      <w:r>
        <w:t xml:space="preserve"> </w:t>
      </w:r>
      <w:r>
        <w:rPr>
          <w:bCs/>
          <w:b/>
        </w:rPr>
        <w:t xml:space="preserve">coste</w:t>
      </w:r>
      <w:r>
        <w:t xml:space="preserve"> </w:t>
      </w:r>
      <w:r>
        <w:t xml:space="preserve">por siniestro, el</w:t>
      </w:r>
      <w:r>
        <w:t xml:space="preserve"> </w:t>
      </w:r>
      <w:r>
        <w:t xml:space="preserve">efecto sobre la prima final será mayor que el aquí calculado.</w:t>
      </w:r>
    </w:p>
    <w:bookmarkEnd w:id="21"/>
    <w:bookmarkStart w:id="22" w:name="X15862f4f332206a8ac875f584bbaef19c98f721"/>
    <w:p>
      <w:pPr>
        <w:pStyle w:val="Heading1"/>
      </w:pPr>
      <w:r>
        <w:t xml:space="preserve">2. Problema de negocio y decisión que se quiere apoyar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ejecutivo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Situación de partida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aseguradora gestiona una cartera de auto a través de una red de agencias y necesita fijar su tarifa de frecuencia y su política de revisiones con base cuantitativa, no por intuición.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conoce con precisión qué perfiles concentran el riesgo, cuánta variabilidad hay por encima del perfil, cuánto pesa la agencia ni cómo evoluciona el riesgo en el tiempo.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Audiencia decisora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técnica (no estadística): espera respuestas y recomendaciones accionables.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Decisión o acción que se quiere apoyar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Fijar factores de tarificación de la frecuencia, dimensionar recargos por incertidumbre, planificar revisiones y gestionar la red de agencias.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Consecuencia de no actuar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Tarifas mal calibradas (primas injustas o insuficientes), provisiones infravaloradas y recursos de revisión mal asignados.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Criterio de éxito o indicador relevante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Tasa de siniestros por unidad de exposición (IRR) y su intervalo; % de varianza por agencia (ICC); horizonte hasta el primer siniestro.</w:t>
            </w:r>
          </w:p>
        </w:tc>
      </w:tr>
    </w:tbl>
    <w:p>
      <w:pPr>
        <w:pStyle w:val="BlockText"/>
      </w:pPr>
      <w:r>
        <w:rPr>
          <w:bCs/>
          <w:b/>
        </w:rPr>
        <w:t xml:space="preserve">Formulación breve del problema:</w:t>
      </w:r>
      <w:r>
        <w:t xml:space="preserve"> </w:t>
      </w:r>
      <w:r>
        <w:t xml:space="preserve">¿a qué ritmo tienen siniestros las pólizas y qué</w:t>
      </w:r>
      <w:r>
        <w:t xml:space="preserve"> </w:t>
      </w:r>
      <w:r>
        <w:t xml:space="preserve">factores lo explican; cuánta variabilidad hay más allá del perfil observable; cuánto</w:t>
      </w:r>
      <w:r>
        <w:t xml:space="preserve"> </w:t>
      </w:r>
      <w:r>
        <w:t xml:space="preserve">depende el servicio de la agencia y del territorio; y cómo cambia el riesgo a lo largo</w:t>
      </w:r>
      <w:r>
        <w:t xml:space="preserve"> </w:t>
      </w:r>
      <w:r>
        <w:t xml:space="preserve">de la vida de la póliza? Con ello, qué modelo de frecuencia y qué política de revisión</w:t>
      </w:r>
      <w:r>
        <w:t xml:space="preserve"> </w:t>
      </w:r>
      <w:r>
        <w:t xml:space="preserve">adoptar.</w:t>
      </w:r>
    </w:p>
    <w:bookmarkEnd w:id="22"/>
    <w:bookmarkStart w:id="23" w:name="Xb217971b4c773e249f70fa314e49d81e8a4f6c6"/>
    <w:p>
      <w:pPr>
        <w:pStyle w:val="Heading1"/>
      </w:pPr>
      <w:r>
        <w:t xml:space="preserve">3. Evidencia disponible: datos, alcance y calidad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 para la audiencia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Fuente y 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Cartera de auto simulada del equipo_01 (semilla 260101), con proceso generador conocido para control de calidad.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 de análisis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póliza (una fila por póliza); además, panel póliza-año para el análisis temporal.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3.093 pólizas; el panel póliza-año se usa para el análisis temporal.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 o indicadores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Cuatro respuestas de conteo (siniestros, asistencias, fraude, gestiones), predictores de riesgo (edad, carnet, potencia, kilómetros, densidad, tipo, uso, combustible…), agencia y región, exposición (offset), bonus-malus y tiempo al primer siniestro.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y 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Exposición entre 0,01 y 1,00; horizonte de hasta 10 años.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Principales cautelas de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simulados: validan el método, pero las magnitudes son propias de esta cartera. La exposición variable obliga a modelar tasas. El sexo está presente, pero no es legalmente tarificable.</w:t>
            </w:r>
          </w:p>
        </w:tc>
      </w:tr>
    </w:tbl>
    <w:p>
      <w:pPr>
        <w:pStyle w:val="BlockText"/>
      </w:pPr>
      <w:r>
        <w:rPr>
          <w:bCs/>
          <w:b/>
        </w:rPr>
        <w:t xml:space="preserve">Mensaje de adecuación de los datos:</w:t>
      </w:r>
      <w:r>
        <w:t xml:space="preserve"> </w:t>
      </w:r>
      <w:r>
        <w:t xml:space="preserve">los datos son suficientes y adecuados para la</w:t>
      </w:r>
      <w:r>
        <w:t xml:space="preserve"> </w:t>
      </w:r>
      <w:r>
        <w:t xml:space="preserve">decisión: contienen la exposición (imprescindible para modelar tasas), un conjunto</w:t>
      </w:r>
      <w:r>
        <w:t xml:space="preserve"> </w:t>
      </w:r>
      <w:r>
        <w:t xml:space="preserve">amplio de predictores de riesgo, la estructura de agencias y regiones para medir el</w:t>
      </w:r>
      <w:r>
        <w:t xml:space="preserve"> </w:t>
      </w:r>
      <w:r>
        <w:t xml:space="preserve">efecto territorial, y el tiempo al primer siniestro para el análisis temporal. Al ser</w:t>
      </w:r>
      <w:r>
        <w:t xml:space="preserve"> </w:t>
      </w:r>
      <w:r>
        <w:t xml:space="preserve">simulados con proceso generador conocido, permiten además verificar que las</w:t>
      </w:r>
      <w:r>
        <w:t xml:space="preserve"> </w:t>
      </w:r>
      <w:r>
        <w:t xml:space="preserve">estimaciones recuperan la «verdad». La principal restricción es que las magnitudes</w:t>
      </w:r>
      <w:r>
        <w:t xml:space="preserve"> </w:t>
      </w:r>
      <w:r>
        <w:t xml:space="preserve">concretas son de esta cartera y deben revalidarse en datos reales.</w:t>
      </w:r>
    </w:p>
    <w:bookmarkEnd w:id="23"/>
    <w:bookmarkStart w:id="24" w:name="enfoque-de-análisis"/>
    <w:p>
      <w:pPr>
        <w:pStyle w:val="Heading1"/>
      </w:pPr>
      <w:r>
        <w:t xml:space="preserve">4. Enfoque de análisis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 que se quería responder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realizado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era adecuado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factores mueven el ritmo de siniestros y cuánto?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Regresión de Poisson con offset e interpretación en razones de tasas (IRR).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modelo natural para tasas de conteo con exposición variable.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¿Refleja el modelo la variabilidad, o se queda corto?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de sobredispersión y binomial negativa; fragilidad individual.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Poisson impone media = varianza; los datos la superan (dispersión 1,44).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¿Cuánto del volumen de gestiones depende de la agencia y el territorio?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GLMM de Poisson con efectos aleatorios de agencia y región; ICC y BLUPs.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datos están agrupados por agencia; ignorarlo sesga la incertidumbre.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¿Cómo cambia el riesgo en el tiempo?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Riesgos a trozos (Poisson persona-periodo), Kaplan–Meier y Cox.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Traduce el tiempo a evento en una cadencia de revisión operativa.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¿Basta con excluir el sexo para no tarificar por sexo?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Contraste de independencia condicional entre el sexo y cada variable permitida, y medición de la fuga residual.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variable permitida puede sustituir al factor prohibido; había que comprobarlo, no suponerlo.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 metodológica breve:</w:t>
      </w:r>
      <w:r>
        <w:t xml:space="preserve"> </w:t>
      </w:r>
      <w:r>
        <w:t xml:space="preserve">el eje es la regresión de Poisson con enlace log y la</w:t>
      </w:r>
      <w:r>
        <w:t xml:space="preserve"> </w:t>
      </w:r>
      <w:r>
        <w:t xml:space="preserve">exposición como</w:t>
      </w:r>
      <w:r>
        <w:t xml:space="preserve"> </w:t>
      </w:r>
      <w:r>
        <w:rPr>
          <w:iCs/>
          <w:i/>
        </w:rPr>
        <w:t xml:space="preserve">offset</w:t>
      </w:r>
      <w:r>
        <w:t xml:space="preserve">, cuyos coeficientes se leen como razones de tasas (IRR).</w:t>
      </w:r>
      <w:r>
        <w:t xml:space="preserve"> </w:t>
      </w:r>
      <w:r>
        <w:t xml:space="preserve">Cuando la variabilidad supera a la Poisson se emplea la binomial negativa; el exceso de</w:t>
      </w:r>
      <w:r>
        <w:t xml:space="preserve"> </w:t>
      </w:r>
      <w:r>
        <w:t xml:space="preserve">ceros del fraude se trata con modelos inflados de ceros. La estructura por agencia y</w:t>
      </w:r>
      <w:r>
        <w:t xml:space="preserve"> </w:t>
      </w:r>
      <w:r>
        <w:t xml:space="preserve">región se modela con GLMM de Poisson (resumido en el ICC). El tiempo al primer</w:t>
      </w:r>
      <w:r>
        <w:t xml:space="preserve"> </w:t>
      </w:r>
      <w:r>
        <w:t xml:space="preserve">siniestro se analiza como riesgos a trozos y se contrasta con Kaplan–Meier y Cox. Para</w:t>
      </w:r>
      <w:r>
        <w:t xml:space="preserve"> </w:t>
      </w:r>
      <w:r>
        <w:t xml:space="preserve">un modelo parsimonioso se comparan AIC/BIC, validación cruzada y lasso. Todo es</w:t>
      </w:r>
      <w:r>
        <w:t xml:space="preserve"> </w:t>
      </w:r>
      <w:r>
        <w:t xml:space="preserve">reproducible y validado contra los parámetros conocidos del proceso generador.</w:t>
      </w:r>
    </w:p>
    <w:bookmarkEnd w:id="24"/>
    <w:bookmarkStart w:id="45" w:name="hallazgos-clave"/>
    <w:p>
      <w:pPr>
        <w:pStyle w:val="Heading1"/>
      </w:pPr>
      <w:r>
        <w:t xml:space="preserve">5. Hallazgos clave</w:t>
      </w:r>
    </w:p>
    <w:bookmarkStart w:id="29" w:name="X35429b8f7a8ee43a1b750c9f38e7b38eef6f7be"/>
    <w:p>
      <w:pPr>
        <w:pStyle w:val="Heading2"/>
      </w:pPr>
      <w:r>
        <w:t xml:space="preserve">5.1 Hallazgo clave 1: el riesgo es predecible, pero más variable de lo que parece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Mensaje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perfil de riesgo es nítido, pero la Poisson simple subestima la variabilidad: la tarifa necesita los márgenes de la binomial negativa.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jóvenes 18–25 casi duplican la tasa del tramo 35–65 (IRR 0,50); +19 %/DE por kilómetros y +21 %/DE por densidad. El tipo de vehículo y el combustible</w:t>
            </w:r>
            <w:r>
              <w:t xml:space="preserve"> </w:t>
            </w:r>
            <w:r>
              <w:rPr>
                <w:bCs/>
                <w:b/>
              </w:rPr>
              <w:t xml:space="preserve">no alcanzan significación</w:t>
            </w:r>
            <w:r>
              <w:t xml:space="preserve"> </w:t>
            </w:r>
            <w:r>
              <w:t xml:space="preserve">en esta cartera. Índice de dispersión 1,44; la binomial negativa mejora el AIC en 210 puntos.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Razones de tasas (IRR) con intervalos de confianza del modelo de frecuencia (Figura 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Interpretación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Edad, kilómetros y densidad permiten segmentar la tarifa con confianza; pero los intervalos honestos (binomial negativa) son sensiblemente más anchos, lo que debe reflejarse en recargos y provisiones.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usar la Poisson simple: da falsa precisión. Y no sobreinterpretar los factores no significativos (tipo de vehículo, combustible): su efecto puntual parece sugerente, pero los datos no lo sostienen.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hallazgo-1"/>
          <w:p>
            <w:pPr>
              <w:pStyle w:val="Figure"/>
              <w:jc w:val="center"/>
            </w:pPr>
            <w:r>
              <w:drawing>
                <wp:inline>
                  <wp:extent cx="5334000" cy="273843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nforme_ejecutivo_equipo01_files/figure-docx/fig-hallazgo-1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38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1: Factores del ritmo de siniestros, en razones de tasas (IRR) con intervalo del 95 %. A la derecha de 1 elevan la tasa; a la izquierda la reducen. Cartera equipo_01.</w:t>
            </w:r>
          </w:p>
          <w:bookmarkEnd w:id="28"/>
        </w:tc>
      </w:tr>
    </w:tbl>
    <w:bookmarkEnd w:id="29"/>
    <w:bookmarkStart w:id="34" w:name="Xafefe43ca524516bf088ff6a953d41ffef431cb"/>
    <w:p>
      <w:pPr>
        <w:pStyle w:val="Heading2"/>
      </w:pPr>
      <w:r>
        <w:t xml:space="preserve">5.2 Hallazgo clave 2: un tercio del volumen de gestiones lo pone la agencia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Mensaje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volumen de gestiones depende sobre todo de la agencia: un tercio de la variación es suya, y algunas agencias se desvían con claridad.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ICC 0,33; desviación típica de agencia 0,35 (rango ×0,70 a ×1,42). El 39,3 % del agrupamiento es territorial (región) y el resto, propio de cada agencia. 9 agencias atípicas: hasta +66 % por encima y -42 % por debajo.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</w:t>
            </w:r>
            <w:r>
              <w:t xml:space="preserve"> </w:t>
            </w:r>
            <w:r>
              <w:rPr>
                <w:iCs/>
                <w:i/>
              </w:rPr>
              <w:t xml:space="preserve">caterpillar</w:t>
            </w:r>
            <w:r>
              <w:t xml:space="preserve"> </w:t>
            </w:r>
            <w:r>
              <w:t xml:space="preserve">de los efectos de agencia (BLUPs) ordenados (Figura 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Interpretación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Auditar las agencias con más gestiones y exportar las prácticas de las más eficientes. Para una agencia</w:t>
            </w:r>
            <w:r>
              <w:t xml:space="preserve"> </w:t>
            </w:r>
            <w:r>
              <w:rPr>
                <w:bCs/>
                <w:b/>
              </w:rPr>
              <w:t xml:space="preserve">nueva</w:t>
            </w:r>
            <w:r>
              <w:t xml:space="preserve">, sin historial, hay que planificar con el rango completo entre agencias, no con la media.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BLUPs incorporan</w:t>
            </w:r>
            <w:r>
              <w:t xml:space="preserve"> </w:t>
            </w:r>
            <w:r>
              <w:rPr>
                <w:iCs/>
                <w:i/>
              </w:rPr>
              <w:t xml:space="preserve">shrinkage</w:t>
            </w:r>
            <w:r>
              <w:t xml:space="preserve">: no penalizar a agencias pequeñas por ruido; los efectos absolutos quedan algo comprimidos.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hallazgo-2"/>
          <w:p>
            <w:pPr>
              <w:pStyle w:val="Figure"/>
              <w:jc w:val="center"/>
            </w:pPr>
            <w:r>
              <w:drawing>
                <wp:inline>
                  <wp:extent cx="5334000" cy="30480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nforme_ejecutivo_equipo01_files/figure-docx/fig-hallazgo-2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4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2: Efecto de cada agencia sobre la tasa de gestiones (BLUPs en escala log), ordenado, con ±1,96 EE. En rojo, agencias cuyo intervalo no cruza el 0. Cartera equipo_01.</w:t>
            </w:r>
          </w:p>
          <w:bookmarkEnd w:id="33"/>
        </w:tc>
      </w:tr>
    </w:tbl>
    <w:bookmarkEnd w:id="34"/>
    <w:bookmarkStart w:id="39" w:name="Xf8e888f52b396a35148f5899e161eea4b512d73"/>
    <w:p>
      <w:pPr>
        <w:pStyle w:val="Heading2"/>
      </w:pPr>
      <w:r>
        <w:t xml:space="preserve">5.3 Hallazgo clave 3: el riesgo se concentra al principio de la vida de la póliza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Mensaje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riesgo del primer siniestro es más alto al inicio y decae con la antigüedad, sin que un parte «llame» a otro.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riesgo base cae de ≈ 0,079 a ≈ 0,054 por año; a los 5 años, el 29,9 % ha tenido su primer parte. Un perfil de alto riesgo alcanza el 25 % en 1,4 años frente a 6,7 del de bajo riesgo.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(hazard) del primer siniestro por tramo de antigüedad (Figura 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Interpretación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los perfiles de alto riesgo con periodicidad</w:t>
            </w:r>
            <w:r>
              <w:t xml:space="preserve"> </w:t>
            </w:r>
            <w:r>
              <w:rPr>
                <w:bCs/>
                <w:b/>
              </w:rPr>
              <w:t xml:space="preserve">≈ anual</w:t>
            </w:r>
            <w:r>
              <w:t xml:space="preserve"> </w:t>
            </w:r>
            <w:r>
              <w:t xml:space="preserve">y los de bajo riesgo cada</w:t>
            </w:r>
            <w:r>
              <w:t xml:space="preserve"> </w:t>
            </w:r>
            <w:r>
              <w:rPr>
                <w:bCs/>
                <w:b/>
              </w:rPr>
              <w:t xml:space="preserve">7–9 años</w:t>
            </w:r>
            <w:r>
              <w:t xml:space="preserve">, concentrando el esfuerzo en los primeros años del contrato.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caída del riesgo es poblacional (selección por fragilidad), no significa que cada póliza mejore con el tiempo.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hallazgo-3"/>
          <w:p>
            <w:pPr>
              <w:pStyle w:val="Figure"/>
              <w:jc w:val="center"/>
            </w:pPr>
            <w:r>
              <w:drawing>
                <wp:inline>
                  <wp:extent cx="5334000" cy="258762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nforme_ejecutivo_equipo01_files/figure-docx/fig-hallazgo-3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87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3: Riesgo (hazard) del primer siniestro por tramo de antigüedad de la póliza. El riesgo es mayor los primeros años y decae después. Cartera equipo_01.</w:t>
            </w:r>
          </w:p>
          <w:bookmarkEnd w:id="38"/>
        </w:tc>
      </w:tr>
    </w:tbl>
    <w:bookmarkEnd w:id="39"/>
    <w:bookmarkStart w:id="44" w:name="X5eac17e27fe2445c251763506fa9044fb3481ee"/>
    <w:p>
      <w:pPr>
        <w:pStyle w:val="Heading2"/>
      </w:pPr>
      <w:r>
        <w:t xml:space="preserve">5.4 Hallazgo clave 4: excluir el sexo no basta — el tipo de vehículo lo sustituye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Mensaje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tarifa</w:t>
            </w:r>
            <w:r>
              <w:t xml:space="preserve"> </w:t>
            </w:r>
            <w:r>
              <w:rPr>
                <w:bCs/>
                <w:b/>
              </w:rPr>
              <w:t xml:space="preserve">no es ciega al sexo</w:t>
            </w:r>
            <w:r>
              <w:t xml:space="preserve"> </w:t>
            </w:r>
            <w:r>
              <w:t xml:space="preserve">aunque el sexo no esté en el modelo: el tipo de vehículo transporta parte de esa información, y conviene decidirlo de forma consciente y documentada.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motos son el 20,3 % de la cartera de hombres y el 6,7 % de la de mujeres (asociación con</w:t>
            </w:r>
            <w:r>
              <w:t xml:space="preserve"> </w:t>
            </w:r>
            <w:r>
              <w:rPr>
                <w:iCs/>
                <w:i/>
              </w:rPr>
              <w:t xml:space="preserve">p</w:t>
            </w:r>
            <w:r>
              <w:t xml:space="preserve"> </w:t>
            </w:r>
            <w:r>
              <w:t xml:space="preserve">&lt; 0,001, tras corregir por el número de variables auditadas). El efecto de ser hombre sobre la tasa pasa de 1,250 sin controlar el tipo de vehículo a 1,236 controlándolo: la diferencia, ≈ 1,1 %, es lo que se cuela por esa vía.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Composición del parque por sexo: la asociación que hace del tipo de vehículo un</w:t>
            </w:r>
            <w:r>
              <w:t xml:space="preserve"> </w:t>
            </w:r>
            <w:r>
              <w:rPr>
                <w:iCs/>
                <w:i/>
              </w:rPr>
              <w:t xml:space="preserve">proxy</w:t>
            </w:r>
            <w:r>
              <w:t xml:space="preserve"> </w:t>
            </w:r>
            <w:r>
              <w:t xml:space="preserve">(Figura 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Interpretación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un error del modelo ni un incumplimiento automático: es un efecto</w:t>
            </w:r>
            <w:r>
              <w:t xml:space="preserve"> </w:t>
            </w:r>
            <w:r>
              <w:rPr>
                <w:bCs/>
                <w:b/>
              </w:rPr>
              <w:t xml:space="preserve">estructural</w:t>
            </w:r>
            <w:r>
              <w:t xml:space="preserve"> </w:t>
            </w:r>
            <w:r>
              <w:t xml:space="preserve">de la cartera. Lo exigible es conocerlo, medirlo y decidir explícitamente si se acepta.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el tipo de vehículo cerraría esa vía pero sacrificaría poder predictivo</w:t>
            </w:r>
            <w:r>
              <w:t xml:space="preserve"> </w:t>
            </w:r>
            <w:r>
              <w:rPr>
                <w:bCs/>
                <w:b/>
              </w:rPr>
              <w:t xml:space="preserve">legítimo</w:t>
            </w:r>
            <w:r>
              <w:t xml:space="preserve"> </w:t>
            </w:r>
            <w:r>
              <w:t xml:space="preserve">—la moto es objetivamente más siniestrosa por razones físicas—. La decisión es de política de empresa, con asesoría jurídica, no del equipo analítico.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hallazgo-4"/>
          <w:p>
            <w:pPr>
              <w:pStyle w:val="Figure"/>
              <w:jc w:val="center"/>
            </w:pPr>
            <w:r>
              <w:drawing>
                <wp:inline>
                  <wp:extent cx="5334000" cy="246184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nforme_ejecutivo_equipo01_files/figure-docx/fig-hallazgo-4-1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61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4: Composición del parque de vehículos por sexo del conductor principal. La sobrerrepresentación de motos entre los hombres es lo que convierte al tipo de vehículo en un</w:t>
            </w:r>
            <w:r>
              <w:t xml:space="preserve"> </w:t>
            </w:r>
            <w:r>
              <w:rPr>
                <w:iCs/>
                <w:i/>
              </w:rPr>
              <w:t xml:space="preserve">proxy</w:t>
            </w:r>
            <w:r>
              <w:t xml:space="preserve"> </w:t>
            </w:r>
            <w:r>
              <w:t xml:space="preserve">del factor prohibido. Cartera equipo_01.</w:t>
            </w:r>
          </w:p>
          <w:bookmarkEnd w:id="43"/>
        </w:tc>
      </w:tr>
    </w:tbl>
    <w:bookmarkEnd w:id="44"/>
    <w:bookmarkEnd w:id="45"/>
    <w:bookmarkStart w:id="47" w:name="X38f29384ae6ec4e8314e474a592c98ce416d858"/>
    <w:p>
      <w:pPr>
        <w:pStyle w:val="Heading1"/>
      </w:pPr>
      <w:r>
        <w:t xml:space="preserve">6. Implicaciones y recomendaciones accionables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propuesta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que la respalda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o condición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Adoptar la binomial negativa como modelo de frecuencia para la tarifa, con edad, kilómetros y densidad como núcleo.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de dispersión 1,44; la NB mejora el AIC en 210 puntos frente a la Poisson.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Primas y recargos con márgenes honestos; provisiones bien dimensionadas.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Recalibrar sistemas de tarificación; revalidar en cartera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Documentar la fuga del factor prohibido</w:t>
            </w:r>
            <w:r>
              <w:t xml:space="preserve"> </w:t>
            </w:r>
            <w:r>
              <w:t xml:space="preserve">vía tipo de vehículo y elevar a la dirección la decisión de aceptarla o corregirla, con asesoría jurídica.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Asociación sexo–tipo de vehículo (</w:t>
            </w:r>
            <w:r>
              <w:rPr>
                <w:iCs/>
                <w:i/>
              </w:rPr>
              <w:t xml:space="preserve">p</w:t>
            </w:r>
            <w:r>
              <w:t xml:space="preserve"> </w:t>
            </w:r>
            <w:r>
              <w:t xml:space="preserve">&lt; 0,001); fuga ≈ 1,1 % sobre la frecuencia.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Cumplimiento demostrable: la decisión queda motivada y trazable, no por omisión.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criterio jurídico; eliminar el tipo de vehículo tendría coste predictivo.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la red por efectos de agencia: auditar las atípicas y difundir buenas prácticas.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ICC 0,33; 9 agencias significativamente desviadas.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 variabilidad operativa y servicio más homogéneo.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</w:t>
            </w:r>
            <w:r>
              <w:t xml:space="preserve"> </w:t>
            </w:r>
            <w:r>
              <w:rPr>
                <w:iCs/>
                <w:i/>
              </w:rPr>
              <w:t xml:space="preserve">shrinkage</w:t>
            </w:r>
            <w:r>
              <w:t xml:space="preserve">; no actuar sobre agencias con poca cartera hasta tener historial.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Baja / futura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Implantar un programa de revisión basado en riesgo (alto riesgo ≈ anual; bajo riesgo cada 7–9 años).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Horizonte al 25 % de siniestro: 1,4 años (alto) frente a 6,7 (bajo); riesgo concentrado al inicio.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eficiente de los recursos de revisión y detección temprana.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seguimiento; ajustar cadencia según la póliza revele su riesgo.</w:t>
            </w:r>
          </w:p>
        </w:tc>
      </w:tr>
    </w:tbl>
    <w:bookmarkStart w:id="46" w:name="decisión-recomendada"/>
    <w:p>
      <w:pPr>
        <w:pStyle w:val="Heading2"/>
      </w:pPr>
      <w:r>
        <w:t xml:space="preserve">6.1 Decisión recomendada</w:t>
      </w:r>
    </w:p>
    <w:p>
      <w:pPr>
        <w:pStyle w:val="BlockText"/>
      </w:pPr>
      <w:r>
        <w:t xml:space="preserve">Tarificar la frecuencia de siniestros con un modelo binomial negativo</w:t>
      </w:r>
      <w:r>
        <w:t xml:space="preserve"> </w:t>
      </w:r>
      <w:r>
        <w:rPr>
          <w:bCs/>
          <w:b/>
        </w:rPr>
        <w:t xml:space="preserve">corto</w:t>
      </w:r>
      <w:r>
        <w:t xml:space="preserve"> </w:t>
      </w:r>
      <w:r>
        <w:t xml:space="preserve">y</w:t>
      </w:r>
      <w:r>
        <w:t xml:space="preserve"> </w:t>
      </w:r>
      <w:r>
        <w:t xml:space="preserve">validado —edad, kilómetros y densidad como núcleo—,</w:t>
      </w:r>
      <w:r>
        <w:t xml:space="preserve"> </w:t>
      </w:r>
      <w:r>
        <w:rPr>
          <w:bCs/>
          <w:b/>
        </w:rPr>
        <w:t xml:space="preserve">excluyendo el sexo</w:t>
      </w:r>
      <w:r>
        <w:t xml:space="preserve"> </w:t>
      </w:r>
      <w:r>
        <w:t xml:space="preserve">por</w:t>
      </w:r>
      <w:r>
        <w:t xml:space="preserve"> </w:t>
      </w:r>
      <w:r>
        <w:t xml:space="preserve">imperativo legal</w:t>
      </w:r>
      <w:r>
        <w:t xml:space="preserve"> </w:t>
      </w:r>
      <w:r>
        <w:rPr>
          <w:bCs/>
          <w:b/>
        </w:rPr>
        <w:t xml:space="preserve">y documentando la fuga residual</w:t>
      </w:r>
      <w:r>
        <w:t xml:space="preserve"> </w:t>
      </w:r>
      <w:r>
        <w:t xml:space="preserve">que el tipo de vehículo</w:t>
      </w:r>
      <w:r>
        <w:t xml:space="preserve"> </w:t>
      </w:r>
      <w:r>
        <w:t xml:space="preserve">introduce; gestionar la red reconociendo el peso de la agencia (en torno a un tercio de</w:t>
      </w:r>
      <w:r>
        <w:t xml:space="preserve"> </w:t>
      </w:r>
      <w:r>
        <w:t xml:space="preserve">la variación); y priorizar las revisiones en los primeros años de la póliza y en los</w:t>
      </w:r>
      <w:r>
        <w:t xml:space="preserve"> </w:t>
      </w:r>
      <w:r>
        <w:t xml:space="preserve">perfiles de mayor riesgo. Es la combinación que mejor equilibra precisión, fiabilidad y</w:t>
      </w:r>
      <w:r>
        <w:t xml:space="preserve"> </w:t>
      </w:r>
      <w:r>
        <w:t xml:space="preserve">responsabilidad —y la única que deja constancia de haber examinado el cumplimiento en</w:t>
      </w:r>
      <w:r>
        <w:t xml:space="preserve"> </w:t>
      </w:r>
      <w:r>
        <w:t xml:space="preserve">lugar de darlo por supuesto—.</w:t>
      </w:r>
    </w:p>
    <w:bookmarkEnd w:id="46"/>
    <w:bookmarkEnd w:id="47"/>
    <w:bookmarkStart w:id="49" w:name="riesgos-limitaciones-y-próximos-pasos"/>
    <w:p>
      <w:pPr>
        <w:pStyle w:val="Heading1"/>
      </w:pPr>
      <w:r>
        <w:t xml:space="preserve">7. Riesgos, limitaciones y próximos pasos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 o limitación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importa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gestionarlo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simulados: validan el método, pero las magnitudes son de esta cartera.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Revalidar el modelo sobre la cartera real antes de trasladarlo a tarifa.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Sobredispersión y exceso de ceros: un modelo mal especificado infravalora la incertidumbre.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binomial negativa / modelos de ceros y diagnósticos (índice de dispersión, residuos simulados).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Aplicación de la recomendación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iCs/>
                <w:i/>
              </w:rPr>
              <w:t xml:space="preserve">shrinkage</w:t>
            </w:r>
            <w:r>
              <w:t xml:space="preserve"> </w:t>
            </w:r>
            <w:r>
              <w:t xml:space="preserve">comprime los efectos de agencia; las agencias pequeñas se estiman con más error.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sobre-reaccionar a agencias con poca cartera; acumular historial antes de decidir.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cartera/equipo difiere: las cifras no son directamente extrapolables.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Reestimar los parámetros en cada cartera; tratar las conclusiones como cualitativas fuera de ella.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normativo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el sexo no garantiza una tarifa ciega al sexo: una variable permitida puede sustituirlo.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Auditar los</w:t>
            </w:r>
            <w:r>
              <w:t xml:space="preserve"> </w:t>
            </w:r>
            <w:r>
              <w:rPr>
                <w:iCs/>
                <w:i/>
              </w:rPr>
              <w:t xml:space="preserve">proxies</w:t>
            </w:r>
            <w:r>
              <w:t xml:space="preserve"> </w:t>
            </w:r>
            <w:r>
              <w:t xml:space="preserve">de forma periódica —no solo al construir el modelo—, cuantificar la fuga y documentar la decisión con asesoría jurídica.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Alcance de la medición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fuga se ha medido sobre la</w:t>
            </w:r>
            <w:r>
              <w:t xml:space="preserve"> </w:t>
            </w:r>
            <w:r>
              <w:rPr>
                <w:bCs/>
                <w:b/>
              </w:rPr>
              <w:t xml:space="preserve">frecuencia</w:t>
            </w:r>
            <w:r>
              <w:t xml:space="preserve">; la prima final depende también del</w:t>
            </w:r>
            <w:r>
              <w:t xml:space="preserve"> </w:t>
            </w:r>
            <w:r>
              <w:rPr>
                <w:bCs/>
                <w:b/>
              </w:rPr>
              <w:t xml:space="preserve">coste</w:t>
            </w:r>
            <w:r>
              <w:t xml:space="preserve"> </w:t>
            </w:r>
            <w:r>
              <w:t xml:space="preserve">por siniestro.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Repetir la medición sobre la severidad y sobre la prima pura antes de fijar tarifa.</w:t>
            </w:r>
          </w:p>
        </w:tc>
      </w:tr>
    </w:tbl>
    <w:bookmarkStart w:id="48" w:name="próximos-pasos-propuestos"/>
    <w:p>
      <w:pPr>
        <w:pStyle w:val="Heading2"/>
      </w:pPr>
      <w:r>
        <w:t xml:space="preserve">7.1 Próximos pasos propuestos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o 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 de seguimiento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Revalidar el modelo binomial negativo en la cartera real y fijar recargos por incertidumbre.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actuarial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los intervalos de predicción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Auditar las nueve agencias atípicas y documentar buenas prácticas.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Operaciones / Red de agencias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Reducción de la dispersión entre agencias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Diseñar el calendario de revisión basado en riesgo y pilotarlo.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primeros siniestros detectados en 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Auditar los</w:t>
            </w:r>
            <w:r>
              <w:t xml:space="preserve"> </w:t>
            </w:r>
            <w:r>
              <w:rPr>
                <w:iCs/>
                <w:i/>
              </w:rPr>
              <w:t xml:space="preserve">proxies</w:t>
            </w:r>
            <w:r>
              <w:t xml:space="preserve"> </w:t>
            </w:r>
            <w:r>
              <w:t xml:space="preserve">del factor prohibido sobre severidad y prima pura, y elevar la decisión documentada.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Actuarial + Asesoría jurídica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Fuga residual medida y decisión registrada en acta</w:t>
            </w:r>
          </w:p>
        </w:tc>
      </w:tr>
    </w:tbl>
    <w:bookmarkEnd w:id="48"/>
    <w:bookmarkEnd w:id="49"/>
    <w:bookmarkStart w:id="53" w:name="Xb7f55f5b484997678a195a431dd3ce52e42a307"/>
    <w:p>
      <w:pPr>
        <w:pStyle w:val="Heading1"/>
      </w:pPr>
      <w:r>
        <w:t xml:space="preserve">8. Referencias, uso de IA y anexo metodológico breve</w:t>
      </w:r>
    </w:p>
    <w:bookmarkStart w:id="50" w:name="referencias"/>
    <w:p>
      <w:pPr>
        <w:pStyle w:val="Heading2"/>
      </w:pPr>
      <w:r>
        <w:t xml:space="preserve">8.1 Referencias</w:t>
      </w:r>
    </w:p>
    <w:p>
      <w:pPr>
        <w:pStyle w:val="FirstParagraph"/>
      </w:pPr>
      <w:r>
        <w:t xml:space="preserve">Brooks, M. E., Kristensen, K., van Benthem, K. J., Magnusson, A., Berg, C. W., Nielsen, A.,</w:t>
      </w:r>
      <w:r>
        <w:t xml:space="preserve"> </w:t>
      </w:r>
      <w:r>
        <w:t xml:space="preserve">Skaug, H. J., Mächler, M., &amp; Bolker, B. M. (2017). glmmTMB balances speed and flexibility</w:t>
      </w:r>
      <w:r>
        <w:t xml:space="preserve"> </w:t>
      </w:r>
      <w:r>
        <w:t xml:space="preserve">among packages for zero-inflated generalized linear mixed models.</w:t>
      </w:r>
      <w:r>
        <w:t xml:space="preserve"> </w:t>
      </w:r>
      <w:r>
        <w:rPr>
          <w:iCs/>
          <w:i/>
        </w:rPr>
        <w:t xml:space="preserve">The R Journal, 9</w:t>
      </w:r>
      <w:r>
        <w:t xml:space="preserve">(2),</w:t>
      </w:r>
      <w:r>
        <w:t xml:space="preserve"> </w:t>
      </w:r>
      <w:r>
        <w:t xml:space="preserve">378–400.</w:t>
      </w:r>
    </w:p>
    <w:p>
      <w:pPr>
        <w:pStyle w:val="BodyText"/>
      </w:pPr>
      <w:r>
        <w:t xml:space="preserve">Cameron, A. C., &amp; Trivedi, P. K. (2013).</w:t>
      </w:r>
      <w:r>
        <w:t xml:space="preserve"> </w:t>
      </w:r>
      <w:r>
        <w:rPr>
          <w:iCs/>
          <w:i/>
        </w:rPr>
        <w:t xml:space="preserve">Regression analysis of count data</w:t>
      </w:r>
      <w:r>
        <w:t xml:space="preserve"> </w:t>
      </w:r>
      <w:r>
        <w:t xml:space="preserve">(2.ª ed.).</w:t>
      </w:r>
      <w:r>
        <w:t xml:space="preserve"> </w:t>
      </w:r>
      <w:r>
        <w:t xml:space="preserve">Cambridge University Press.</w:t>
      </w:r>
    </w:p>
    <w:p>
      <w:pPr>
        <w:pStyle w:val="BodyText"/>
      </w:pPr>
      <w:r>
        <w:t xml:space="preserve">Dobson, A. J., &amp; Barnett, A. G. (2018).</w:t>
      </w:r>
      <w:r>
        <w:t xml:space="preserve"> </w:t>
      </w:r>
      <w:r>
        <w:rPr>
          <w:iCs/>
          <w:i/>
        </w:rPr>
        <w:t xml:space="preserve">An introduction to generalized linear models</w:t>
      </w:r>
      <w:r>
        <w:t xml:space="preserve"> </w:t>
      </w:r>
      <w:r>
        <w:t xml:space="preserve">(4.ª ed.). Chapman &amp; Hall/CRC.</w:t>
      </w:r>
    </w:p>
    <w:p>
      <w:pPr>
        <w:pStyle w:val="BodyText"/>
      </w:pPr>
      <w:r>
        <w:t xml:space="preserve">Friedman, J., Hastie, T., &amp; Tibshirani, R. (2010). Regularization paths for generalized</w:t>
      </w:r>
      <w:r>
        <w:t xml:space="preserve"> </w:t>
      </w:r>
      <w:r>
        <w:t xml:space="preserve">linear models via coordinate descent.</w:t>
      </w:r>
      <w:r>
        <w:t xml:space="preserve"> </w:t>
      </w:r>
      <w:r>
        <w:rPr>
          <w:iCs/>
          <w:i/>
        </w:rPr>
        <w:t xml:space="preserve">Journal of Statistical Software, 33</w:t>
      </w:r>
      <w:r>
        <w:t xml:space="preserve">(1), 1–22.</w:t>
      </w:r>
    </w:p>
    <w:p>
      <w:pPr>
        <w:pStyle w:val="BodyText"/>
      </w:pPr>
      <w:r>
        <w:t xml:space="preserve">Zeileis, A., Kleiber, C., &amp; Jackman, S. (2008). Regression models for count data in R.</w:t>
      </w:r>
      <w:r>
        <w:t xml:space="preserve"> </w:t>
      </w:r>
      <w:r>
        <w:rPr>
          <w:iCs/>
          <w:i/>
        </w:rPr>
        <w:t xml:space="preserve">Journal of Statistical Software, 27</w:t>
      </w:r>
      <w:r>
        <w:t xml:space="preserve">(8), 1–25.</w:t>
      </w:r>
    </w:p>
    <w:p>
      <w:pPr>
        <w:pStyle w:val="BodyText"/>
      </w:pPr>
      <w:r>
        <w:t xml:space="preserve">Tribunal de Justicia de la Unión Europea. (2011).</w:t>
      </w:r>
      <w:r>
        <w:t xml:space="preserve"> </w:t>
      </w:r>
      <w:r>
        <w:rPr>
          <w:iCs/>
          <w:i/>
        </w:rPr>
        <w:t xml:space="preserve">Association Belge des Consommateurs</w:t>
      </w:r>
      <w:r>
        <w:rPr>
          <w:iCs/>
          <w:i/>
        </w:rPr>
        <w:t xml:space="preserve"> </w:t>
      </w:r>
      <w:r>
        <w:rPr>
          <w:iCs/>
          <w:i/>
        </w:rPr>
        <w:t xml:space="preserve">Test-Achats ASBL y otros contra Conseil des ministres</w:t>
      </w:r>
      <w:r>
        <w:t xml:space="preserve"> </w:t>
      </w:r>
      <w:r>
        <w:t xml:space="preserve">(asunto C-236/09).</w:t>
      </w:r>
    </w:p>
    <w:bookmarkEnd w:id="50"/>
    <w:bookmarkStart w:id="51" w:name="X8222d5ec3f2ec0c7b2543ab1040c0ff5752c238"/>
    <w:p>
      <w:pPr>
        <w:pStyle w:val="Heading2"/>
      </w:pPr>
      <w:r>
        <w:t xml:space="preserve">8.2 Declaración responsable de uso de inteligencia artificial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Herramientas utilizadas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Opus 4.8 (asistente de IA de Anthropic), julio de 2026; entorno R con Quarto.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Tareas para las que se utilizó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Asistencia en la redacción del código R, la estructura del cuaderno reproducible y un borrador de las interpretaciones.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humana realizada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equipo ejecutó y renderizó todo el código, verificó cada cifra frente a la salida y validó los resultados contra los parámetros conocidos del proceso generador.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Decisiones no delegadas en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Elección de modelos y variables, interpretación final, conclusiones y recomendaciones.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Errores, límites o ajustes detectados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ajustaron dependencias y rutas del código; no se incorporó ninguna cifra sin trazabilidad (todas proceden del render).</w:t>
            </w:r>
          </w:p>
        </w:tc>
      </w:tr>
    </w:tbl>
    <w:p>
      <w:pPr>
        <w:pStyle w:val="BlockText"/>
      </w:pPr>
      <w:r>
        <w:rPr>
          <w:bCs/>
          <w:b/>
        </w:rPr>
        <w:t xml:space="preserve">Modelo de declaración.</w:t>
      </w:r>
      <w:r>
        <w:t xml:space="preserve"> </w:t>
      </w:r>
      <w:r>
        <w:t xml:space="preserve">En este proyecto se han utilizado herramientas de inteligencia</w:t>
      </w:r>
      <w:r>
        <w:t xml:space="preserve"> </w:t>
      </w:r>
      <w:r>
        <w:t xml:space="preserve">artificial como apoyo para la redacción de código, la estructura del cuaderno y un borrador</w:t>
      </w:r>
      <w:r>
        <w:t xml:space="preserve"> </w:t>
      </w:r>
      <w:r>
        <w:t xml:space="preserve">de las interpretaciones. Todas las salidas generadas por estas herramientas han sido</w:t>
      </w:r>
      <w:r>
        <w:t xml:space="preserve"> </w:t>
      </w:r>
      <w:r>
        <w:t xml:space="preserve">revisadas críticamente por el equipo. La IA no ha sido utilizada como fuente autónoma de</w:t>
      </w:r>
      <w:r>
        <w:t xml:space="preserve"> </w:t>
      </w:r>
      <w:r>
        <w:t xml:space="preserve">resultados, ni como sustituto del análisis estadístico, ni como autora de las conclusiones.</w:t>
      </w:r>
      <w:r>
        <w:t xml:space="preserve"> </w:t>
      </w:r>
      <w:r>
        <w:t xml:space="preserve">Las decisiones sobre metodología, interpretación, recomendaciones y redacción final han sido</w:t>
      </w:r>
      <w:r>
        <w:t xml:space="preserve"> </w:t>
      </w:r>
      <w:r>
        <w:t xml:space="preserve">responsabilidad del equipo.</w:t>
      </w:r>
    </w:p>
    <w:bookmarkEnd w:id="51"/>
    <w:bookmarkStart w:id="52" w:name="anexo-metodológico-breve"/>
    <w:p>
      <w:pPr>
        <w:pStyle w:val="Heading2"/>
      </w:pPr>
      <w:r>
        <w:t xml:space="preserve">8.3 Anexo metodológico breve</w:t>
      </w:r>
    </w:p>
    <w:p>
      <w:pPr>
        <w:pStyle w:val="BlockText"/>
      </w:pPr>
      <w:r>
        <w:t xml:space="preserve">El análisis cubre las diecisiete preguntas de la dirección, organizadas en cinco bloques:</w:t>
      </w:r>
      <w:r>
        <w:t xml:space="preserve"> </w:t>
      </w:r>
      <w:r>
        <w:t xml:space="preserve">(2.1) Poisson con</w:t>
      </w:r>
      <w:r>
        <w:t xml:space="preserve"> </w:t>
      </w:r>
      <w:r>
        <w:rPr>
          <w:iCs/>
          <w:i/>
        </w:rPr>
        <w:t xml:space="preserve">offset</w:t>
      </w:r>
      <w:r>
        <w:t xml:space="preserve"> </w:t>
      </w:r>
      <w:r>
        <w:t xml:space="preserve">e IRR, predicción con intervalo, modelos log-lineales y tablas</w:t>
      </w:r>
      <w:r>
        <w:t xml:space="preserve"> </w:t>
      </w:r>
      <w:r>
        <w:t xml:space="preserve">cuadradas del bonus-malus; (2.2–2.3) sobredispersión (quasi-Poisson y binomial negativa),</w:t>
      </w:r>
      <w:r>
        <w:t xml:space="preserve"> </w:t>
      </w:r>
      <w:r>
        <w:t xml:space="preserve">fragilidad no observada y exceso de ceros del fraude (inflado de ceros frente a barrera);</w:t>
      </w:r>
      <w:r>
        <w:t xml:space="preserve"> </w:t>
      </w:r>
      <w:r>
        <w:t xml:space="preserve">(2.4) GLMM de Poisson con agencia y región, ICC y BLUPs; (2.5) riesgos a trozos, Kaplan–Meier</w:t>
      </w:r>
      <w:r>
        <w:t xml:space="preserve"> </w:t>
      </w:r>
      <w:r>
        <w:t xml:space="preserve">y Cox, y eventos recurrentes con fragilidad; (2.6) selección por AIC/BIC, validación cruzada</w:t>
      </w:r>
      <w:r>
        <w:t xml:space="preserve"> </w:t>
      </w:r>
      <w:r>
        <w:t xml:space="preserve">y lasso, y auditoría de equidad (exclusión del sexo y detección de</w:t>
      </w:r>
      <w:r>
        <w:t xml:space="preserve"> </w:t>
      </w:r>
      <w:r>
        <w:rPr>
          <w:iCs/>
          <w:i/>
        </w:rPr>
        <w:t xml:space="preserve">proxies</w:t>
      </w:r>
      <w:r>
        <w:t xml:space="preserve">). Cada bloque se</w:t>
      </w:r>
      <w:r>
        <w:t xml:space="preserve"> </w:t>
      </w:r>
      <w:r>
        <w:t xml:space="preserve">validó contra la «verdad» del proceso generador. El detalle y el código completo están en el</w:t>
      </w:r>
      <w:r>
        <w:t xml:space="preserve"> </w:t>
      </w:r>
      <w:r>
        <w:t xml:space="preserve">cuaderno reproducible</w:t>
      </w:r>
      <w:r>
        <w:t xml:space="preserve"> </w:t>
      </w:r>
      <w:r>
        <w:rPr>
          <w:rStyle w:val="VerbatimChar"/>
        </w:rPr>
        <w:t xml:space="preserve">resolucion_equipo01.qmd</w:t>
      </w:r>
      <w:r>
        <w:t xml:space="preserve">.</w:t>
      </w:r>
    </w:p>
    <w:bookmarkEnd w:id="52"/>
    <w:bookmarkEnd w:id="53"/>
    <w:bookmarkStart w:id="54" w:name="anexos-opcionales"/>
    <w:p>
      <w:pPr>
        <w:pStyle w:val="Heading1"/>
      </w:pPr>
      <w:r>
        <w:t xml:space="preserve">9. Anexos opcionales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 A. Nota metodológica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Cuaderno reproducible</w:t>
            </w:r>
            <w:r>
              <w:t xml:space="preserve"> </w:t>
            </w:r>
            <w:r>
              <w:rPr>
                <w:rStyle w:val="VerbatimChar"/>
              </w:rPr>
              <w:t xml:space="preserve">resolucion_equipo01.qmd</w:t>
            </w:r>
            <w:r>
              <w:t xml:space="preserve"> </w:t>
            </w:r>
            <w:r>
              <w:t xml:space="preserve">(código, salidas y validación contra el DGP).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 B. Visualizaciones complementarias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Figuras y tablas completas del cuaderno (distribuciones, IRR,</w:t>
            </w:r>
            <w:r>
              <w:t xml:space="preserve"> </w:t>
            </w:r>
            <w:r>
              <w:rPr>
                <w:iCs/>
                <w:i/>
              </w:rPr>
              <w:t xml:space="preserve">caterpillar</w:t>
            </w:r>
            <w:r>
              <w:t xml:space="preserve">, hazard, Kaplan–Meier).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 C. Calidad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simulados sin valores ausentes relevantes (salvo coste, no usado aquí); exposición como</w:t>
            </w:r>
            <w:r>
              <w:t xml:space="preserve"> </w:t>
            </w:r>
            <w:r>
              <w:rPr>
                <w:iCs/>
                <w:i/>
              </w:rPr>
              <w:t xml:space="preserve">offset</w:t>
            </w:r>
            <w:r>
              <w:t xml:space="preserve">; semilla fija.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 D. Prompts de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procede en esta entrega.</w:t>
            </w:r>
          </w:p>
        </w:tc>
      </w:tr>
    </w:tbl>
    <w:bookmarkEnd w:id="54"/>
    <w:bookmarkStart w:id="55" w:name="checklist-final-antes-de-entregar"/>
    <w:p>
      <w:pPr>
        <w:pStyle w:val="Heading1"/>
      </w:pPr>
      <w:r>
        <w:t xml:space="preserve">10. Checklist final antes de entregar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Comprobación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revisar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resumen ejecutivo puede leerse de forma autónoma.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decisión que se quiere apoyar aparece claramente formulada.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 se incluyen resultados relevantes para la decisión.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gráficos son pocos, legibles y con títulos interpretativos.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metodología se explica de forma breve y comprensible.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recomendaciones son concretas, priorizadas y respaldadas por evidencia.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explican beneficios esperados, riesgos y forma de evaluar impacto.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limitaciones principales están reconocidas sin exceso técnico.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referencias y fuentes de datos están citadas.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uso de IA está declarado si procede.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Frecuencia de siniestralidad en la cartera de auto (equipo_01)</dc:title>
  <dc:creator>equipo_01</dc:creator>
  <dc:language>es</dc:language>
  <cp:keywords/>
  <dcterms:created xsi:type="dcterms:W3CDTF">2026-07-29T10:22:20Z</dcterms:created>
  <dcterms:modified xsi:type="dcterms:W3CDTF">2026-07-29T10:22:20Z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29/7/26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Informe ejecutivo · Estudio de caso 2 — ritmo, variabilidad, territorio y equidad del riesgo</vt:lpwstr>
  </property>
  <property fmtid="{D5CDD505-2E9C-101B-9397-08002B2CF9AE}" pid="12" name="toc-title">
    <vt:lpwstr>Tabla de contenidos</vt:lpwstr>
  </property>
</Properties>
</file>