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técnico</w:t>
      </w:r>
      <w:r>
        <w:t xml:space="preserve"> </w:t>
      </w:r>
      <w:r>
        <w:t xml:space="preserve">—</w:t>
      </w:r>
      <w:r>
        <w:t xml:space="preserve"> </w:t>
      </w:r>
      <w:r>
        <w:t xml:space="preserve">Riesgo</w:t>
      </w:r>
      <w:r>
        <w:t xml:space="preserve"> </w:t>
      </w:r>
      <w:r>
        <w:t xml:space="preserve">de</w:t>
      </w:r>
      <w:r>
        <w:t xml:space="preserve"> </w:t>
      </w:r>
      <w:r>
        <w:t xml:space="preserve">fractura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red</w:t>
      </w:r>
      <w:r>
        <w:t xml:space="preserve"> </w:t>
      </w:r>
      <w:r>
        <w:t xml:space="preserve">OsteoRed</w:t>
      </w:r>
    </w:p>
    <w:p>
      <w:pPr>
        <w:pStyle w:val="Subtitle"/>
      </w:pPr>
      <w:r>
        <w:t xml:space="preserve">Estudio</w:t>
      </w:r>
      <w:r>
        <w:t xml:space="preserve"> </w:t>
      </w:r>
      <w:r>
        <w:t xml:space="preserve">de</w:t>
      </w:r>
      <w:r>
        <w:t xml:space="preserve"> </w:t>
      </w:r>
      <w:r>
        <w:t xml:space="preserve">caso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Cohorte</w:t>
      </w:r>
      <w:r>
        <w:t xml:space="preserve"> </w:t>
      </w:r>
      <w:r>
        <w:t xml:space="preserve">del</w:t>
      </w:r>
      <w:r>
        <w:t xml:space="preserve"> </w:t>
      </w:r>
      <w:r>
        <w:t xml:space="preserve">equipo_10</w:t>
      </w:r>
    </w:p>
    <w:p>
      <w:pPr>
        <w:pStyle w:val="Author"/>
      </w:pPr>
      <w:r>
        <w:t xml:space="preserve">A.</w:t>
      </w:r>
      <w:r>
        <w:t xml:space="preserve"> </w:t>
      </w:r>
      <w:r>
        <w:t xml:space="preserve">Martínez</w:t>
      </w:r>
      <w:r>
        <w:t xml:space="preserve"> </w:t>
      </w:r>
      <w:r>
        <w:t xml:space="preserve">Mayoral</w:t>
      </w:r>
      <w:r>
        <w:t xml:space="preserve"> </w:t>
      </w:r>
      <w:r>
        <w:t xml:space="preserve">(solución</w:t>
      </w:r>
      <w:r>
        <w:t xml:space="preserve"> </w:t>
      </w:r>
      <w:r>
        <w:t xml:space="preserve">de</w:t>
      </w:r>
      <w:r>
        <w:t xml:space="preserve"> </w:t>
      </w:r>
      <w:r>
        <w:t xml:space="preserve">referencia</w:t>
      </w:r>
      <w:r>
        <w:t xml:space="preserve"> </w:t>
      </w:r>
      <w:r>
        <w:t xml:space="preserve">del</w:t>
      </w:r>
      <w:r>
        <w:t xml:space="preserve"> </w:t>
      </w:r>
      <w:r>
        <w:t xml:space="preserve">profesorado)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de</w:t>
      </w:r>
      <w:r>
        <w:t xml:space="preserve"> </w:t>
      </w:r>
      <w:r>
        <w:t xml:space="preserve">julio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</w:rPr>
        <w:t xml:space="preserve">Título del proyecto:</w:t>
      </w:r>
      <w:r>
        <w:t xml:space="preserve"> </w:t>
      </w:r>
      <w:r>
        <w:t xml:space="preserve">¿Ocurre la fractura? ¿Y cuándo? Análisis de riesgo, plazos, tipo y gravedad en la red OsteoRed.</w:t>
      </w:r>
    </w:p>
    <w:p>
      <w:pPr>
        <w:pStyle w:val="BodyText"/>
      </w:pPr>
      <w:r>
        <w:rPr>
          <w:b/>
        </w:rPr>
        <w:t xml:space="preserve">Equipo:</w:t>
      </w:r>
      <w:r>
        <w:t xml:space="preserve"> </w:t>
      </w:r>
      <w:r>
        <w:t xml:space="preserve">A. Martínez Mayoral (solución de referencia del profesorado).</w:t>
      </w:r>
    </w:p>
    <w:p>
      <w:pPr>
        <w:pStyle w:val="BodyText"/>
      </w:pPr>
      <w:r>
        <w:rPr>
          <w:b/>
        </w:rPr>
        <w:t xml:space="preserve">Asignatura / titulación:</w:t>
      </w:r>
      <w:r>
        <w:t xml:space="preserve"> </w:t>
      </w:r>
      <w:r>
        <w:t xml:space="preserve">Modelos Lineales Generalizados con R · 3.er curso, Grado en Ciencia de Datos e Inteligencia Artificial (6 ECTS).</w:t>
      </w:r>
    </w:p>
    <w:p>
      <w:pPr>
        <w:pStyle w:val="BodyText"/>
      </w:pPr>
      <w:r>
        <w:rPr>
          <w:b/>
        </w:rPr>
        <w:t xml:space="preserve">Curso académico:</w:t>
      </w:r>
      <w:r>
        <w:t xml:space="preserve"> </w:t>
      </w:r>
      <w:r>
        <w:t xml:space="preserve">2025–2026.</w:t>
      </w:r>
    </w:p>
    <w:p>
      <w:pPr>
        <w:pStyle w:val="BodyText"/>
      </w:pPr>
      <w:r>
        <w:rPr>
          <w:b/>
        </w:rPr>
        <w:t xml:space="preserve">Audiencia destinataria:</w:t>
      </w:r>
      <w:r>
        <w:t xml:space="preserve"> </w:t>
      </w:r>
      <w:r>
        <w:t xml:space="preserve">dirección médica de OsteoRed (lectura ejecutiva de las recomendaciones) y profesorado / equipo técnico que audita y reproduce el análisis.</w:t>
      </w:r>
    </w:p>
    <w:p>
      <w:pPr>
        <w:pStyle w:val="BodyText"/>
      </w:pPr>
      <w:r>
        <w:rPr>
          <w:b/>
        </w:rPr>
        <w:t xml:space="preserve">Versión / fecha:</w:t>
      </w:r>
      <w:r>
        <w:t xml:space="preserve"> </w:t>
      </w:r>
      <w:r>
        <w:t xml:space="preserve">v1.0 · 22 de julio de 2026.</w:t>
      </w:r>
    </w:p>
    <w:p>
      <w:pPr>
        <w:pStyle w:val="Heading1"/>
      </w:pPr>
      <w:bookmarkStart w:id="20" w:name="resumen-técnico"/>
      <w:r>
        <w:t xml:space="preserve">Resumen técnico</w:t>
      </w:r>
      <w:bookmarkEnd w:id="20"/>
    </w:p>
    <w:p>
      <w:pPr>
        <w:pStyle w:val="FirstParagraph"/>
      </w:pPr>
      <w:r>
        <w:t xml:space="preserve">La dirección de</w:t>
      </w:r>
      <w:r>
        <w:t xml:space="preserve"> </w:t>
      </w:r>
      <w:r>
        <w:rPr>
          <w:b/>
        </w:rPr>
        <w:t xml:space="preserve">OsteoRed</w:t>
      </w:r>
      <w:r>
        <w:t xml:space="preserve">, red de 24 clínicas de salud ósea, siguió durante seis años (hasta seis revisiones anuales) a una cohorte de</w:t>
      </w:r>
      <w:r>
        <w:t xml:space="preserve"> </w:t>
      </w:r>
      <w:r>
        <w:rPr>
          <w:b/>
        </w:rPr>
        <w:t xml:space="preserve">893 mujeres</w:t>
      </w:r>
      <w:r>
        <w:t xml:space="preserve"> </w:t>
      </w:r>
      <w:r>
        <w:t xml:space="preserve">para entender su riesgo de fractura y decidir a quién vigilar, con qué frecuencia citarla y qué esperar de cada clínica. De cada paciente se dispone de su</w:t>
      </w:r>
      <w:r>
        <w:t xml:space="preserve"> </w:t>
      </w:r>
      <w:r>
        <w:rPr>
          <w:b/>
        </w:rPr>
        <w:t xml:space="preserve">fragilidad ósea</w:t>
      </w:r>
      <w:r>
        <w:t xml:space="preserve"> </w:t>
      </w:r>
      <w:r>
        <w:t xml:space="preserve">(</w:t>
      </w:r>
      <w:r>
        <w:rPr>
          <w:rStyle w:val="VerbatimChar"/>
        </w:rPr>
        <w:t xml:space="preserve">x1</w:t>
      </w:r>
      <w:r>
        <w:t xml:space="preserve">, marcador de densidad mineral estandarizado), si sigue el</w:t>
      </w:r>
      <w:r>
        <w:t xml:space="preserve"> </w:t>
      </w:r>
      <w:r>
        <w:rPr>
          <w:b/>
        </w:rPr>
        <w:t xml:space="preserve">tratamiento preventivo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x2</w:t>
      </w:r>
      <w:r>
        <w:t xml:space="preserve">), la</w:t>
      </w:r>
      <w:r>
        <w:t xml:space="preserve"> </w:t>
      </w:r>
      <w:r>
        <w:rPr>
          <w:b/>
        </w:rPr>
        <w:t xml:space="preserve">clínica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centro</w:t>
      </w:r>
      <w:r>
        <w:t xml:space="preserve">), el desenlace de fractura y su momento (</w:t>
      </w:r>
      <w:r>
        <w:rPr>
          <w:rStyle w:val="VerbatimChar"/>
        </w:rPr>
        <w:t xml:space="preserve">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), y —de forma basal— el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clase_nom</w:t>
      </w:r>
      <w:r>
        <w:t xml:space="preserve">: A/B/C) y la</w:t>
      </w:r>
      <w:r>
        <w:t xml:space="preserve"> </w:t>
      </w:r>
      <w:r>
        <w:rPr>
          <w:b/>
        </w:rPr>
        <w:t xml:space="preserve">gravedad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sever_ord</w:t>
      </w:r>
      <w:r>
        <w:t xml:space="preserve">: Leve/Moderada/Grave). La cohorte es</w:t>
      </w:r>
      <w:r>
        <w:t xml:space="preserve"> </w:t>
      </w:r>
      <w:r>
        <w:rPr>
          <w:b/>
        </w:rPr>
        <w:t xml:space="preserve">simulada</w:t>
      </w:r>
      <w:r>
        <w:t xml:space="preserve"> </w:t>
      </w:r>
      <w:r>
        <w:t xml:space="preserve">con un proceso generador de datos (DGP) conocido, lo que permite un control de calidad final frente a la</w:t>
      </w:r>
      <w:r>
        <w:t xml:space="preserve"> </w:t>
      </w:r>
      <w:r>
        <w:t xml:space="preserve">“</w:t>
      </w:r>
      <w:r>
        <w:t xml:space="preserve">verdad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Se tradujeron las cinco preguntas de la dirección a objetivos analíticos y, para cada uno, se eligió el modelo lineal generalizado adecuado a su tipo de respuesta:</w:t>
      </w:r>
      <w:r>
        <w:t xml:space="preserve"> </w:t>
      </w:r>
      <w:r>
        <w:rPr>
          <w:b/>
        </w:rPr>
        <w:t xml:space="preserve">regresión logística</w:t>
      </w:r>
      <w:r>
        <w:t xml:space="preserve"> </w:t>
      </w:r>
      <w:r>
        <w:t xml:space="preserve">para el riesgo binario,</w:t>
      </w:r>
      <w:r>
        <w:t xml:space="preserve"> </w:t>
      </w:r>
      <w:r>
        <w:rPr>
          <w:b/>
        </w:rPr>
        <w:t xml:space="preserve">modelo de riesgo en tiempo discreto con enlace complementario log-log</w:t>
      </w:r>
      <w:r>
        <w:t xml:space="preserve"> </w:t>
      </w:r>
      <w:r>
        <w:t xml:space="preserve">sobre datos persona-periodo para el</w:t>
      </w:r>
      <w:r>
        <w:t xml:space="preserve"> </w:t>
      </w:r>
      <w:r>
        <w:t xml:space="preserve">“</w:t>
      </w:r>
      <w:r>
        <w:t xml:space="preserve">cuándo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logit multinomial</w:t>
      </w:r>
      <w:r>
        <w:t xml:space="preserve"> </w:t>
      </w:r>
      <w:r>
        <w:t xml:space="preserve">para el tipo,</w:t>
      </w:r>
      <w:r>
        <w:t xml:space="preserve"> </w:t>
      </w:r>
      <w:r>
        <w:rPr>
          <w:b/>
        </w:rPr>
        <w:t xml:space="preserve">logit acumulado de odds proporcionales</w:t>
      </w:r>
      <w:r>
        <w:t xml:space="preserve"> </w:t>
      </w:r>
      <w:r>
        <w:t xml:space="preserve">para la gravedad y</w:t>
      </w:r>
      <w:r>
        <w:t xml:space="preserve"> </w:t>
      </w:r>
      <w:r>
        <w:rPr>
          <w:b/>
        </w:rPr>
        <w:t xml:space="preserve">modelo lineal generalizado mixto</w:t>
      </w:r>
      <w:r>
        <w:t xml:space="preserve"> </w:t>
      </w:r>
      <w:r>
        <w:t xml:space="preserve">con intercepto aleatorio por clínica para el peso del centro. Cada análisis se acompañó de diagnóstico (residuos, calibración, AUC, contraste de supuestos), selección por verosimilitud (LRT, AIC/BIC) e interpretación en la escala del cliente.</w:t>
      </w:r>
    </w:p>
    <w:p>
      <w:pPr>
        <w:pStyle w:val="BodyText"/>
      </w:pPr>
      <w:r>
        <w:rPr>
          <w:b/>
        </w:rPr>
        <w:t xml:space="preserve">Hallazgos principales.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fragilidad ósea es el factor dominante</w:t>
      </w:r>
      <w:r>
        <w:t xml:space="preserve">: cada desviación típica multiplica por 2,6 las odds de fractura (por 2,2 el riesgo instantáneo). El</w:t>
      </w:r>
      <w:r>
        <w:t xml:space="preserve"> </w:t>
      </w:r>
      <w:r>
        <w:rPr>
          <w:b/>
        </w:rPr>
        <w:t xml:space="preserve">tratamiento reduce el riesgo de forma sustancial y homogénea</w:t>
      </w:r>
      <w:r>
        <w:t xml:space="preserve"> </w:t>
      </w:r>
      <w:r>
        <w:t xml:space="preserve">(odds a 0,39; hazard a 0,44) y</w:t>
      </w:r>
      <w:r>
        <w:t xml:space="preserve"> </w:t>
      </w:r>
      <w:r>
        <w:rPr>
          <w:b/>
        </w:rPr>
        <w:t xml:space="preserve">retrasa</w:t>
      </w:r>
      <w:r>
        <w:t xml:space="preserve"> </w:t>
      </w:r>
      <w:r>
        <w:t xml:space="preserve">la fractura de manera proporcional en el tiempo; su beneficio absoluto es mayor cuanto más frágil es la paciente. El riesgo</w:t>
      </w:r>
      <w:r>
        <w:t xml:space="preserve"> </w:t>
      </w:r>
      <w:r>
        <w:rPr>
          <w:b/>
        </w:rPr>
        <w:t xml:space="preserve">no se concentra en un año</w:t>
      </w:r>
      <w:r>
        <w:t xml:space="preserve">: el hazard es sostenido (≈7–10 % anual en la paciente tipo), lo que justifica</w:t>
      </w:r>
      <w:r>
        <w:t xml:space="preserve"> </w:t>
      </w:r>
      <w:r>
        <w:rPr>
          <w:b/>
        </w:rPr>
        <w:t xml:space="preserve">mantener la revisión anual</w:t>
      </w:r>
      <w:r>
        <w:t xml:space="preserve"> </w:t>
      </w:r>
      <w:r>
        <w:t xml:space="preserve">durante todo el seguimiento. El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de fractura solo puede anticiparse de forma limitada (acierto ~50 %). La</w:t>
      </w:r>
      <w:r>
        <w:t xml:space="preserve"> </w:t>
      </w:r>
      <w:r>
        <w:rPr>
          <w:b/>
        </w:rPr>
        <w:t xml:space="preserve">gravedad</w:t>
      </w:r>
      <w:r>
        <w:t xml:space="preserve"> </w:t>
      </w:r>
      <w:r>
        <w:t xml:space="preserve">basal aumenta con la fragilidad y se asocia a grados más leves en las tratadas. El</w:t>
      </w:r>
      <w:r>
        <w:t xml:space="preserve"> </w:t>
      </w:r>
      <w:r>
        <w:rPr>
          <w:b/>
        </w:rPr>
        <w:t xml:space="preserve">8–9 %</w:t>
      </w:r>
      <w:r>
        <w:t xml:space="preserve"> </w:t>
      </w:r>
      <w:r>
        <w:t xml:space="preserve">del riesgo depende de la</w:t>
      </w:r>
      <w:r>
        <w:t xml:space="preserve"> </w:t>
      </w:r>
      <w:r>
        <w:rPr>
          <w:b/>
        </w:rPr>
        <w:t xml:space="preserve">clínica</w:t>
      </w:r>
      <w:r>
        <w:t xml:space="preserve"> </w:t>
      </w:r>
      <w:r>
        <w:t xml:space="preserve">(el resto, de la paciente), con un gradiente entre centros modesto e incierto. El control de calidad confirma una</w:t>
      </w:r>
      <w:r>
        <w:t xml:space="preserve"> </w:t>
      </w:r>
      <w:r>
        <w:rPr>
          <w:b/>
        </w:rPr>
        <w:t xml:space="preserve">buena recuperación</w:t>
      </w:r>
      <w:r>
        <w:t xml:space="preserve"> </w:t>
      </w:r>
      <w:r>
        <w:t xml:space="preserve">de los parámetros verdaderos.</w:t>
      </w:r>
    </w:p>
    <w:p>
      <w:pPr>
        <w:pStyle w:val="BodyText"/>
      </w:pPr>
      <w:r>
        <w:rPr>
          <w:b/>
        </w:rPr>
        <w:t xml:space="preserve">Cautelas.</w:t>
      </w:r>
      <w:r>
        <w:t xml:space="preserve"> </w:t>
      </w:r>
      <w:r>
        <w:t xml:space="preserve">Las relaciones del tratamiento con el tipo y la gravedad son</w:t>
      </w:r>
      <w:r>
        <w:t xml:space="preserve"> </w:t>
      </w:r>
      <w:r>
        <w:rPr>
          <w:b/>
        </w:rPr>
        <w:t xml:space="preserve">asociativas</w:t>
      </w:r>
      <w:r>
        <w:t xml:space="preserve"> </w:t>
      </w:r>
      <w:r>
        <w:t xml:space="preserve">(indicación/selección), no causales. El AUC (0,75) y el Brier son medidas</w:t>
      </w:r>
      <w:r>
        <w:t xml:space="preserve"> </w:t>
      </w:r>
      <w:r>
        <w:rPr>
          <w:b/>
        </w:rPr>
        <w:t xml:space="preserve">dentro de muestra</w:t>
      </w:r>
      <w:r>
        <w:t xml:space="preserve">; la validación fuera de muestra queda como línea de continuidad. Las conclusiones numéricas son específicas de esta cohorte.</w:t>
      </w:r>
    </w:p>
    <w:p>
      <w:pPr>
        <w:pStyle w:val="Heading1"/>
      </w:pPr>
      <w:bookmarkStart w:id="21" w:name="X42a6b3948f90e2ecf35b08bc56ce4295ee6e795"/>
      <w:r>
        <w:t xml:space="preserve">1. Contexto, problema, objetivos y preguntas del análisis</w:t>
      </w:r>
      <w:bookmarkEnd w:id="21"/>
    </w:p>
    <w:p>
      <w:pPr>
        <w:pStyle w:val="Heading2"/>
      </w:pPr>
      <w:bookmarkStart w:id="22" w:name="Xa44c12f7fe35b0bdb88e42e3bfe1f5e76237b12"/>
      <w:r>
        <w:t xml:space="preserve">1.1. Contexto, audiencia y necesidad de análisis</w:t>
      </w:r>
      <w:bookmarkEnd w:id="22"/>
    </w:p>
    <w:tbl>
      <w:tblPr>
        <w:tblStyle w:val="Table"/>
        <w:tblW w:type="pct" w:w="500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Contexto del proyecto</w:t>
            </w:r>
          </w:p>
        </w:tc>
        <w:tc>
          <w:p>
            <w:pPr>
              <w:pStyle w:val="Compact"/>
              <w:jc w:val="left"/>
            </w:pPr>
            <w:r>
              <w:t xml:space="preserve">OsteoRed, red de 24 clínicas de salud ósea, ejecuta un programa de prevención de fracturas y ha seguido seis años a una cohorte de mujeres. Necesita convertir sus datos en decisiones clínicas y organizativas.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Audiencia destinataria</w:t>
            </w:r>
          </w:p>
        </w:tc>
        <w:tc>
          <w:p>
            <w:pPr>
              <w:pStyle w:val="Compact"/>
              <w:jc w:val="left"/>
            </w:pPr>
            <w:r>
              <w:t xml:space="preserve">Dirección médica (no estadística) para las recomendaciones; profesorado y equipo técnico para la auditoría y reproducción.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Decisión que se quiere apoyar</w:t>
            </w:r>
          </w:p>
        </w:tc>
        <w:tc>
          <w:p>
            <w:pPr>
              <w:pStyle w:val="Compact"/>
              <w:jc w:val="left"/>
            </w:pPr>
            <w:r>
              <w:t xml:space="preserve">A quién vigilar, con qué frecuencia citar a revisión, cómo usar el tratamiento, cómo leer las diferencias entre clínicas y qué esperar al abrir un centro nuevo.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Consecuencia de no abordarlo</w:t>
            </w:r>
          </w:p>
        </w:tc>
        <w:tc>
          <w:p>
            <w:pPr>
              <w:pStyle w:val="Compact"/>
              <w:jc w:val="left"/>
            </w:pPr>
            <w:r>
              <w:t xml:space="preserve">Vigilancia mal focalizada, calendarios de revisión ineficientes, infrautilización del tratamiento en quienes más se benefician y comparaciones injustas entre clínicas.</w:t>
            </w:r>
          </w:p>
        </w:tc>
      </w:tr>
    </w:tbl>
    <w:p>
      <w:pPr>
        <w:pStyle w:val="Heading2"/>
      </w:pPr>
      <w:bookmarkStart w:id="23" w:name="problema-de-análisis"/>
      <w:r>
        <w:t xml:space="preserve">1.2. Problema de análisis</w:t>
      </w:r>
      <w:bookmarkEnd w:id="23"/>
    </w:p>
    <w:p>
      <w:pPr>
        <w:pStyle w:val="FirstParagraph"/>
      </w:pPr>
      <w:r>
        <w:t xml:space="preserve">Cuantificar y explicar el riesgo de fractura de las pacientes de OsteoRed en función de su fragilidad ósea, su tratamiento y su clínica; caracterizar</w:t>
      </w:r>
      <w:r>
        <w:t xml:space="preserve"> </w:t>
      </w:r>
      <w:r>
        <w:rPr>
          <w:b/>
        </w:rPr>
        <w:t xml:space="preserve">si</w:t>
      </w:r>
      <w:r>
        <w:t xml:space="preserve"> </w:t>
      </w:r>
      <w:r>
        <w:t xml:space="preserve">ocurre la fractura,</w:t>
      </w:r>
      <w:r>
        <w:t xml:space="preserve"> </w:t>
      </w:r>
      <w:r>
        <w:rPr>
          <w:b/>
        </w:rPr>
        <w:t xml:space="preserve">cuándo</w:t>
      </w:r>
      <w:r>
        <w:t xml:space="preserve">, de</w:t>
      </w:r>
      <w:r>
        <w:t xml:space="preserve"> </w:t>
      </w:r>
      <w:r>
        <w:rPr>
          <w:b/>
        </w:rPr>
        <w:t xml:space="preserve">qué tipo</w:t>
      </w:r>
      <w:r>
        <w:t xml:space="preserve"> </w:t>
      </w:r>
      <w:r>
        <w:t xml:space="preserve">y con qué</w:t>
      </w:r>
      <w:r>
        <w:t xml:space="preserve"> </w:t>
      </w:r>
      <w:r>
        <w:rPr>
          <w:b/>
        </w:rPr>
        <w:t xml:space="preserve">gravedad</w:t>
      </w:r>
      <w:r>
        <w:t xml:space="preserve">; y devolver a la dirección recomendaciones accionables con su incertidumbre.</w:t>
      </w:r>
    </w:p>
    <w:p>
      <w:pPr>
        <w:pStyle w:val="Heading2"/>
      </w:pPr>
      <w:bookmarkStart w:id="24" w:name="objetivos-del-análisis"/>
      <w:r>
        <w:t xml:space="preserve">1.3. Objetivos del análisis</w:t>
      </w:r>
      <w:bookmarkEnd w:id="24"/>
    </w:p>
    <w:tbl>
      <w:tblPr>
        <w:tblStyle w:val="Table"/>
        <w:tblW w:type="pct" w:w="500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Redacción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Objetivo general</w:t>
            </w:r>
          </w:p>
        </w:tc>
        <w:tc>
          <w:p>
            <w:pPr>
              <w:pStyle w:val="Compact"/>
              <w:jc w:val="left"/>
            </w:pPr>
            <w:r>
              <w:t xml:space="preserve">Modelizar el riesgo de fractura y sus dimensiones (ocurrencia, tiempo, tipo y gravedad) reconociendo la estructura por clínica, e interpretarlo para la toma de decisiones.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Específico 1</w:t>
            </w:r>
          </w:p>
        </w:tc>
        <w:tc>
          <w:p>
            <w:pPr>
              <w:pStyle w:val="Compact"/>
              <w:jc w:val="left"/>
            </w:pPr>
            <w:r>
              <w:t xml:space="preserve">Estimar el efecto de la fragilidad y del tratamiento sobre la probabilidad de fractura y predecir el riesgo de una paciente nueva (P1).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Específico 2</w:t>
            </w:r>
          </w:p>
        </w:tc>
        <w:tc>
          <w:p>
            <w:pPr>
              <w:pStyle w:val="Compact"/>
              <w:jc w:val="left"/>
            </w:pPr>
            <w:r>
              <w:t xml:space="preserve">Describir la evolución del riesgo en el tiempo, el efecto del tratamiento sobre los plazos y un calendario de revisión, tratando la censura (P2).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Específico 3</w:t>
            </w:r>
          </w:p>
        </w:tc>
        <w:tc>
          <w:p>
            <w:pPr>
              <w:pStyle w:val="Compact"/>
              <w:jc w:val="left"/>
            </w:pPr>
            <w:r>
              <w:t xml:space="preserve">Analizar qué factores empujan hacia cada tipo de fractura y su previsibilidad (P3), y qué agrava la fractura (P4).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Específico 4</w:t>
            </w:r>
          </w:p>
        </w:tc>
        <w:tc>
          <w:p>
            <w:pPr>
              <w:pStyle w:val="Compact"/>
              <w:jc w:val="left"/>
            </w:pPr>
            <w:r>
              <w:t xml:space="preserve">Cuantificar cuánto del riesgo depende de la clínica y anticipar el comportamiento de un centro nuevo (P5).</w:t>
            </w:r>
          </w:p>
        </w:tc>
      </w:tr>
    </w:tbl>
    <w:p>
      <w:pPr>
        <w:pStyle w:val="Heading2"/>
      </w:pPr>
      <w:bookmarkStart w:id="25" w:name="X9a24a82974bb4596991b6d5425f63774067ad82"/>
      <w:r>
        <w:t xml:space="preserve">1.4. Preguntas de negocio y preguntas analíticas</w:t>
      </w:r>
      <w:bookmarkEnd w:id="25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 de negocio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 analítica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Datos necesarios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Decisión que apoya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¿Quién se fracturará y cuánto influyen fragilidad y tratamiento?</w:t>
            </w:r>
          </w:p>
        </w:tc>
        <w:tc>
          <w:p>
            <w:pPr>
              <w:pStyle w:val="Compact"/>
              <w:jc w:val="left"/>
            </w:pPr>
            <w:r>
              <w:t xml:space="preserve">GLM binomial (logit): P(fractura) ~ x1, x2, con interacción x1·x2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Focalizar vigilancia; calculadora de riesgo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¿Cuándo se fractura y cada cuánto citar?</w:t>
            </w:r>
          </w:p>
        </w:tc>
        <w:tc>
          <w:p>
            <w:pPr>
              <w:pStyle w:val="Compact"/>
              <w:jc w:val="left"/>
            </w:pPr>
            <w:r>
              <w:t xml:space="preserve">Riesgo en tiempo discreto (cloglog) sobre persona-periodo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periodo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Calendario de revisiones; uso del tratamiento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¿De qué tipo será la fractura?</w:t>
            </w:r>
          </w:p>
        </w:tc>
        <w:tc>
          <w:p>
            <w:pPr>
              <w:pStyle w:val="Compact"/>
              <w:jc w:val="left"/>
            </w:pPr>
            <w:r>
              <w:t xml:space="preserve">Logit multinomial (ref. A): P(tipo) ~ x1, x2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clase_nom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Orientar sospecha del tipo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¿Qué agrava la fractura?</w:t>
            </w:r>
          </w:p>
        </w:tc>
        <w:tc>
          <w:p>
            <w:pPr>
              <w:pStyle w:val="Compact"/>
              <w:jc w:val="left"/>
            </w:pPr>
            <w:r>
              <w:t xml:space="preserve">Logit acumulado de odds proporcionales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sever_ord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Homogeneizar estadiaje; lectura del tratamiento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¿Cuánto pesa la clínica?</w:t>
            </w:r>
          </w:p>
        </w:tc>
        <w:tc>
          <w:p>
            <w:pPr>
              <w:pStyle w:val="Compact"/>
              <w:jc w:val="left"/>
            </w:pPr>
            <w:r>
              <w:t xml:space="preserve">GLMM logístico con intercepto aleatorio por centro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</w:t>
            </w:r>
          </w:p>
        </w:tc>
        <w:tc>
          <w:p>
            <w:pPr>
              <w:pStyle w:val="Compact"/>
              <w:jc w:val="left"/>
            </w:pPr>
            <w:r>
              <w:t xml:space="preserve">Auditoría de centros; expectativa de centro nuevo</w:t>
            </w:r>
          </w:p>
        </w:tc>
      </w:tr>
    </w:tbl>
    <w:p>
      <w:pPr>
        <w:pStyle w:val="Heading1"/>
      </w:pPr>
      <w:bookmarkStart w:id="26" w:name="X38da185df6704e8970adf3d705e5fee64995ae0"/>
      <w:r>
        <w:t xml:space="preserve">2. Datos, preparación y calidad de la evidencia</w:t>
      </w:r>
      <w:bookmarkEnd w:id="26"/>
    </w:p>
    <w:p>
      <w:pPr>
        <w:pStyle w:val="Heading2"/>
      </w:pPr>
      <w:bookmarkStart w:id="27" w:name="descripción-de-los-datos"/>
      <w:r>
        <w:t xml:space="preserve">2.1. Descripción de los datos</w:t>
      </w:r>
      <w:bookmarkEnd w:id="27"/>
    </w:p>
    <w:tbl>
      <w:tblPr>
        <w:tblStyle w:val="Table"/>
        <w:tblW w:type="pct" w:w="500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Información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Fuente de los datos</w:t>
            </w:r>
          </w:p>
        </w:tc>
        <w:tc>
          <w:p>
            <w:pPr>
              <w:pStyle w:val="Compact"/>
              <w:jc w:val="left"/>
            </w:pPr>
            <w:r>
              <w:t xml:space="preserve">Cohorte</w:t>
            </w:r>
            <w:r>
              <w:t xml:space="preserve"> </w:t>
            </w:r>
            <w:r>
              <w:rPr>
                <w:b/>
              </w:rPr>
              <w:t xml:space="preserve">simulada</w:t>
            </w:r>
            <w:r>
              <w:t xml:space="preserve"> </w:t>
            </w:r>
            <w:r>
              <w:t xml:space="preserve">con proceso generador conocido (DGP del curso), inspirada en el estudio GLOW. Datos del equipo_10.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Periodo analizado</w:t>
            </w:r>
          </w:p>
        </w:tc>
        <w:tc>
          <w:p>
            <w:pPr>
              <w:pStyle w:val="Compact"/>
              <w:jc w:val="left"/>
            </w:pPr>
            <w:r>
              <w:t xml:space="preserve">Seguimiento de hasta 6 revisiones anuales (6 periodos discretos).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Unidad de análisis</w:t>
            </w:r>
          </w:p>
        </w:tc>
        <w:tc>
          <w:p>
            <w:pPr>
              <w:pStyle w:val="Compact"/>
              <w:jc w:val="left"/>
            </w:pPr>
            <w:r>
              <w:t xml:space="preserve">La paciente (nivel individuo); para la supervivencia, la</w:t>
            </w:r>
            <w:r>
              <w:t xml:space="preserve"> </w:t>
            </w:r>
            <w:r>
              <w:rPr>
                <w:b/>
              </w:rPr>
              <w:t xml:space="preserve">paciente-periodo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Número de observaciones</w:t>
            </w:r>
          </w:p>
        </w:tc>
        <w:tc>
          <w:p>
            <w:pPr>
              <w:pStyle w:val="Compact"/>
              <w:jc w:val="left"/>
            </w:pPr>
            <w:r>
              <w:t xml:space="preserve">893 pacientes; 3 583 filas en formato persona-periodo.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Número de variables</w:t>
            </w:r>
          </w:p>
        </w:tc>
        <w:tc>
          <w:p>
            <w:pPr>
              <w:pStyle w:val="Compact"/>
              <w:jc w:val="left"/>
            </w:pPr>
            <w:r>
              <w:t xml:space="preserve">9 sustantivas (más identificadores).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objetivo</w:t>
            </w:r>
          </w:p>
        </w:tc>
        <w:tc>
          <w:p>
            <w:pPr>
              <w:pStyle w:val="Compact"/>
              <w:jc w:val="left"/>
            </w:pPr>
            <w:r>
              <w:t xml:space="preserve">Según pregunta:</w:t>
            </w:r>
            <w:r>
              <w:t xml:space="preserve"> </w:t>
            </w: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(binaria),</w:t>
            </w:r>
            <w:r>
              <w:t xml:space="preserve"> </w:t>
            </w:r>
            <w:r>
              <w:rPr>
                <w:rStyle w:val="VerbatimChar"/>
              </w:rPr>
              <w:t xml:space="preserve">tiempo</w:t>
            </w:r>
            <w:r>
              <w:t xml:space="preserve">/</w:t>
            </w:r>
            <w:r>
              <w:rPr>
                <w:rStyle w:val="VerbatimChar"/>
              </w:rPr>
              <w:t xml:space="preserve">evento</w:t>
            </w:r>
            <w:r>
              <w:t xml:space="preserve"> </w:t>
            </w:r>
            <w:r>
              <w:t xml:space="preserve">(supervivencia),</w:t>
            </w:r>
            <w:r>
              <w:t xml:space="preserve"> </w:t>
            </w:r>
            <w:r>
              <w:rPr>
                <w:rStyle w:val="VerbatimChar"/>
              </w:rPr>
              <w:t xml:space="preserve">clase_nom</w:t>
            </w:r>
            <w:r>
              <w:t xml:space="preserve"> </w:t>
            </w:r>
            <w:r>
              <w:t xml:space="preserve">(nominal),</w:t>
            </w:r>
            <w:r>
              <w:t xml:space="preserve"> </w:t>
            </w:r>
            <w:r>
              <w:rPr>
                <w:rStyle w:val="VerbatimChar"/>
              </w:rPr>
              <w:t xml:space="preserve">sever_ord</w:t>
            </w:r>
            <w:r>
              <w:t xml:space="preserve"> </w:t>
            </w:r>
            <w:r>
              <w:t xml:space="preserve">(ordinal).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Criterios de inclusión/exclusión</w:t>
            </w:r>
          </w:p>
        </w:tc>
        <w:tc>
          <w:p>
            <w:pPr>
              <w:pStyle w:val="Compact"/>
              <w:jc w:val="left"/>
            </w:pPr>
            <w:r>
              <w:t xml:space="preserve">Todas las pacientes de la cohorte; sin exclusiones.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Nivel de agregación</w:t>
            </w:r>
          </w:p>
        </w:tc>
        <w:tc>
          <w:p>
            <w:pPr>
              <w:pStyle w:val="Compact"/>
              <w:jc w:val="left"/>
            </w:pPr>
            <w:r>
              <w:t xml:space="preserve">Individuo y, por expansión, individuo × periodo en riesgo.</w:t>
            </w:r>
          </w:p>
        </w:tc>
      </w:tr>
    </w:tbl>
    <w:p>
      <w:pPr>
        <w:pStyle w:val="Heading2"/>
      </w:pPr>
      <w:bookmarkStart w:id="28" w:name="Xd1b682647f6079db413af46c77e220e43b1679b"/>
      <w:r>
        <w:t xml:space="preserve">2.2. Variables principales (diccionario resumido)</w:t>
      </w:r>
      <w:bookmarkEnd w:id="28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x1</w:t>
            </w:r>
          </w:p>
        </w:tc>
        <w:tc>
          <w:p>
            <w:pPr>
              <w:pStyle w:val="Compact"/>
              <w:jc w:val="left"/>
            </w:pPr>
            <w:r>
              <w:t xml:space="preserve">Continua (z)</w:t>
            </w:r>
          </w:p>
        </w:tc>
        <w:tc>
          <w:p>
            <w:pPr>
              <w:pStyle w:val="Compact"/>
              <w:jc w:val="left"/>
            </w:pPr>
            <w:r>
              <w:t xml:space="preserve">Fragilidad ósea (densidad mineral estandarizada); a mayor valor, más riesgo</w:t>
            </w:r>
          </w:p>
        </w:tc>
        <w:tc>
          <w:p>
            <w:pPr>
              <w:pStyle w:val="Compact"/>
              <w:jc w:val="left"/>
            </w:pPr>
            <w:r>
              <w:t xml:space="preserve">P1–P5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Binaria (0/1)</w:t>
            </w:r>
          </w:p>
        </w:tc>
        <w:tc>
          <w:p>
            <w:pPr>
              <w:pStyle w:val="Compact"/>
              <w:jc w:val="left"/>
            </w:pPr>
            <w:r>
              <w:t xml:space="preserve">Tratamiento preventivo (1 = lo recibe)</w:t>
            </w:r>
          </w:p>
        </w:tc>
        <w:tc>
          <w:p>
            <w:pPr>
              <w:pStyle w:val="Compact"/>
              <w:jc w:val="left"/>
            </w:pPr>
            <w:r>
              <w:t xml:space="preserve">P1–P5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</w:t>
            </w:r>
          </w:p>
        </w:tc>
        <w:tc>
          <w:p>
            <w:pPr>
              <w:pStyle w:val="Compact"/>
              <w:jc w:val="left"/>
            </w:pPr>
            <w:r>
              <w:t xml:space="preserve">Factor (24)</w:t>
            </w:r>
          </w:p>
        </w:tc>
        <w:tc>
          <w:p>
            <w:pPr>
              <w:pStyle w:val="Compact"/>
              <w:jc w:val="left"/>
            </w:pPr>
            <w:r>
              <w:t xml:space="preserve">Clínica de seguimiento (grupo del efecto aleatorio)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</w:p>
        </w:tc>
        <w:tc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p>
            <w:pPr>
              <w:pStyle w:val="Compact"/>
              <w:jc w:val="left"/>
            </w:pPr>
            <w:r>
              <w:t xml:space="preserve">¿Hubo fractura durante el seguimiento?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tiempo</w:t>
            </w:r>
          </w:p>
        </w:tc>
        <w:tc>
          <w:p>
            <w:pPr>
              <w:pStyle w:val="Compact"/>
              <w:jc w:val="left"/>
            </w:pPr>
            <w:r>
              <w:t xml:space="preserve">Entero (1–6)</w:t>
            </w:r>
          </w:p>
        </w:tc>
        <w:tc>
          <w:p>
            <w:pPr>
              <w:pStyle w:val="Compact"/>
              <w:jc w:val="left"/>
            </w:pPr>
            <w:r>
              <w:t xml:space="preserve">Periodo en que termina la observación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</w:t>
            </w:r>
          </w:p>
        </w:tc>
        <w:tc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p>
            <w:pPr>
              <w:pStyle w:val="Compact"/>
              <w:jc w:val="left"/>
            </w:pPr>
            <w:r>
              <w:t xml:space="preserve">1 = fractura observada; 0 = censura administrativa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clase_nom</w:t>
            </w:r>
          </w:p>
        </w:tc>
        <w:tc>
          <w:p>
            <w:pPr>
              <w:pStyle w:val="Compact"/>
              <w:jc w:val="left"/>
            </w:pPr>
            <w:r>
              <w:t xml:space="preserve">Factor (A/B/C)</w:t>
            </w:r>
          </w:p>
        </w:tc>
        <w:tc>
          <w:p>
            <w:pPr>
              <w:pStyle w:val="Compact"/>
              <w:jc w:val="left"/>
            </w:pPr>
            <w:r>
              <w:t xml:space="preserve">Tipo/fenotipo de fractura (sin orden)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sever_ord</w:t>
            </w:r>
          </w:p>
        </w:tc>
        <w:tc>
          <w:p>
            <w:pPr>
              <w:pStyle w:val="Compact"/>
              <w:jc w:val="left"/>
            </w:pPr>
            <w:r>
              <w:t xml:space="preserve">Ordinal (Leve&lt;Moderado&lt;Grave)</w:t>
            </w:r>
          </w:p>
        </w:tc>
        <w:tc>
          <w:p>
            <w:pPr>
              <w:pStyle w:val="Compact"/>
              <w:jc w:val="left"/>
            </w:pPr>
            <w:r>
              <w:t xml:space="preserve">Gravedad/estadio basal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</w:tr>
    </w:tbl>
    <w:p>
      <w:pPr>
        <w:pStyle w:val="Heading2"/>
      </w:pPr>
      <w:bookmarkStart w:id="29" w:name="preparación-y-calidad-de-los-datos"/>
      <w:r>
        <w:t xml:space="preserve">2.3. Preparación y calidad de los datos</w:t>
      </w:r>
      <w:bookmarkEnd w:id="29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se detectó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Tratamiento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Impacto/cautela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Valores perdidos</w:t>
            </w:r>
          </w:p>
        </w:tc>
        <w:tc>
          <w:p>
            <w:pPr>
              <w:pStyle w:val="Compact"/>
              <w:jc w:val="left"/>
            </w:pPr>
            <w:r>
              <w:t xml:space="preserve">Ninguno en las variables analizadas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Sin imputación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Rango de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</w:p>
        </w:tc>
        <w:tc>
          <w:p>
            <w:pPr>
              <w:pStyle w:val="Compact"/>
              <w:jc w:val="left"/>
            </w:pPr>
            <w:r>
              <w:t xml:space="preserve">−3,3 a 3,1, centrada en 0</w:t>
            </w:r>
          </w:p>
        </w:tc>
        <w:tc>
          <w:p>
            <w:pPr>
              <w:pStyle w:val="Compact"/>
              <w:jc w:val="left"/>
            </w:pPr>
            <w:r>
              <w:t xml:space="preserve">Coherente con estandarización; se mantiene</w:t>
            </w:r>
          </w:p>
        </w:tc>
        <w:tc>
          <w:p>
            <w:pPr>
              <w:pStyle w:val="Compact"/>
              <w:jc w:val="left"/>
            </w:pPr>
            <w:r>
              <w:t xml:space="preserve">Interpretación por desviación típica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Codificación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</w:t>
            </w:r>
            <w:r>
              <w:t xml:space="preserve"> </w:t>
            </w:r>
            <w:r>
              <w:t xml:space="preserve">como enteros;</w:t>
            </w:r>
            <w:r>
              <w:t xml:space="preserve"> </w:t>
            </w:r>
            <w:r>
              <w:rPr>
                <w:rStyle w:val="VerbatimChar"/>
              </w:rPr>
              <w:t xml:space="preserve">sever_ord</w:t>
            </w:r>
            <w:r>
              <w:t xml:space="preserve">/</w:t>
            </w:r>
            <w:r>
              <w:rPr>
                <w:rStyle w:val="VerbatimChar"/>
              </w:rPr>
              <w:t xml:space="preserve">clase_nom</w:t>
            </w:r>
            <w:r>
              <w:t xml:space="preserve"> </w:t>
            </w:r>
            <w:r>
              <w:t xml:space="preserve">como factores</w:t>
            </w:r>
          </w:p>
        </w:tc>
        <w:tc>
          <w:p>
            <w:pPr>
              <w:pStyle w:val="Compact"/>
              <w:jc w:val="left"/>
            </w:pPr>
            <w:r>
              <w:t xml:space="preserve">Recodificación a factores legibles y orden explícito</w:t>
            </w:r>
          </w:p>
        </w:tc>
        <w:tc>
          <w:p>
            <w:pPr>
              <w:pStyle w:val="Compact"/>
              <w:jc w:val="left"/>
            </w:pPr>
            <w:r>
              <w:t xml:space="preserve">Correcta lectura de niveles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Censura</w:t>
            </w:r>
          </w:p>
        </w:tc>
        <w:tc>
          <w:p>
            <w:pPr>
              <w:pStyle w:val="Compact"/>
              <w:jc w:val="left"/>
            </w:pPr>
            <w:r>
              <w:t xml:space="preserve">74,1 % termina sin fractura</w:t>
            </w:r>
          </w:p>
        </w:tc>
        <w:tc>
          <w:p>
            <w:pPr>
              <w:pStyle w:val="Compact"/>
              <w:jc w:val="left"/>
            </w:pPr>
            <w:r>
              <w:t xml:space="preserve">Expansión persona-periodo (una fila por periodo en riesgo)</w:t>
            </w:r>
          </w:p>
        </w:tc>
        <w:tc>
          <w:p>
            <w:pPr>
              <w:pStyle w:val="Compact"/>
              <w:jc w:val="left"/>
            </w:pPr>
            <w:r>
              <w:t xml:space="preserve">Censura tratada sin sesgo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Consistencia</w:t>
            </w:r>
          </w:p>
        </w:tc>
        <w:tc>
          <w:p>
            <w:pPr>
              <w:pStyle w:val="Compact"/>
              <w:jc w:val="left"/>
            </w:pPr>
            <w:r>
              <w:t xml:space="preserve">Eventos en cohorte (231) = eventos en persona-periodo (231)</w:t>
            </w:r>
          </w:p>
        </w:tc>
        <w:tc>
          <w:p>
            <w:pPr>
              <w:pStyle w:val="Compact"/>
              <w:jc w:val="left"/>
            </w:pPr>
            <w:r>
              <w:t xml:space="preserve">Verificación cruzada</w:t>
            </w:r>
          </w:p>
        </w:tc>
        <w:tc>
          <w:p>
            <w:pPr>
              <w:pStyle w:val="Compact"/>
              <w:jc w:val="left"/>
            </w:pPr>
            <w:r>
              <w:t xml:space="preserve">Expansión correcta</w:t>
            </w:r>
          </w:p>
        </w:tc>
      </w:tr>
    </w:tbl>
    <w:p>
      <w:pPr>
        <w:pStyle w:val="Heading2"/>
      </w:pPr>
      <w:bookmarkStart w:id="30" w:name="valoración-de-adecuación-de-los-datos"/>
      <w:r>
        <w:t xml:space="preserve">2.4. Valoración de adecuación de los datos</w:t>
      </w:r>
      <w:bookmarkEnd w:id="30"/>
    </w:p>
    <w:p>
      <w:pPr>
        <w:pStyle w:val="FirstParagraph"/>
      </w:pPr>
      <w:r>
        <w:t xml:space="preserve">Los datos son</w:t>
      </w:r>
      <w:r>
        <w:t xml:space="preserve"> </w:t>
      </w:r>
      <w:r>
        <w:rPr>
          <w:b/>
        </w:rPr>
        <w:t xml:space="preserve">suficientes y pertinentes</w:t>
      </w:r>
      <w:r>
        <w:t xml:space="preserve"> </w:t>
      </w:r>
      <w:r>
        <w:t xml:space="preserve">para las cinco preguntas: hay respuesta para cada tipo de análisis (binaria, tiempo-a-evento, nominal, ordinal), covariables con variación adecuada (</w:t>
      </w:r>
      <w:r>
        <w:rPr>
          <w:rStyle w:val="VerbatimChar"/>
        </w:rPr>
        <w:t xml:space="preserve">x2</w:t>
      </w:r>
      <w:r>
        <w:t xml:space="preserve"> </w:t>
      </w:r>
      <w:r>
        <w:t xml:space="preserve">presente en el 48,2 %) y estructura de agrupamiento (24 clínicas) que permite estimar el componente entre centros. La principal limitación es de</w:t>
      </w:r>
      <w:r>
        <w:t xml:space="preserve"> </w:t>
      </w:r>
      <w:r>
        <w:rPr>
          <w:b/>
        </w:rPr>
        <w:t xml:space="preserve">cobertura de predictores</w:t>
      </w:r>
      <w:r>
        <w:t xml:space="preserve">: solo dos covariables sustantivas (</w:t>
      </w:r>
      <w:r>
        <w:rPr>
          <w:rStyle w:val="VerbatimChar"/>
        </w:rPr>
        <w:t xml:space="preserve">x1</w:t>
      </w:r>
      <w:r>
        <w:t xml:space="preserve">,</w:t>
      </w:r>
      <w:r>
        <w:t xml:space="preserve"> </w:t>
      </w:r>
      <w:r>
        <w:rPr>
          <w:rStyle w:val="VerbatimChar"/>
        </w:rPr>
        <w:t xml:space="preserve">x2</w:t>
      </w:r>
      <w:r>
        <w:t xml:space="preserve">), lo que acota la previsibilidad del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de fractura (P3).</w:t>
      </w:r>
    </w:p>
    <w:p>
      <w:pPr>
        <w:pStyle w:val="Heading1"/>
      </w:pPr>
      <w:bookmarkStart w:id="31" w:name="metodología-y-criterios-de-análisis"/>
      <w:r>
        <w:t xml:space="preserve">3. Metodología y criterios de análisis</w:t>
      </w:r>
      <w:bookmarkEnd w:id="31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 es adecuada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 de evaluación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GLM binomial, enlace logit (+ interacción)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es binaria; el logit da odds ratios interpretables y probabilidades</w:t>
            </w:r>
          </w:p>
        </w:tc>
        <w:tc>
          <w:p>
            <w:pPr>
              <w:pStyle w:val="Compact"/>
              <w:jc w:val="left"/>
            </w:pPr>
            <w:r>
              <w:t xml:space="preserve">LRT/AIC/BIC de la interacción; AUC; calibración; DHARMa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GLM binomial, enlace cloglog, persona-periodo</w:t>
            </w:r>
          </w:p>
        </w:tc>
        <w:tc>
          <w:p>
            <w:pPr>
              <w:pStyle w:val="Compact"/>
              <w:jc w:val="left"/>
            </w:pPr>
            <w:r>
              <w:t xml:space="preserve">Tiempo discreto con censura;</w:t>
            </w:r>
            <w:r>
              <w:t xml:space="preserve"> </w:t>
            </w:r>
            <w:r>
              <w:rPr>
                <w:rStyle w:val="VerbatimChar"/>
              </w:rPr>
              <w:t xml:space="preserve">exp(β)</w:t>
            </w:r>
            <w:r>
              <w:t xml:space="preserve"> </w:t>
            </w:r>
            <w:r>
              <w:t xml:space="preserve">= hazard ratio; conecta con riesgos proporcionales</w:t>
            </w:r>
          </w:p>
        </w:tc>
        <w:tc>
          <w:p>
            <w:pPr>
              <w:pStyle w:val="Compact"/>
              <w:jc w:val="left"/>
            </w:pPr>
            <w:r>
              <w:t xml:space="preserve">Forma del hazard base; LRT de no proporcionalidad; contraste con Cox (</w:t>
            </w:r>
            <w:r>
              <w:rPr>
                <w:rStyle w:val="VerbatimChar"/>
              </w:rPr>
              <w:t xml:space="preserve">cox.zph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Logit multinomial (ref. A)</w:t>
            </w:r>
          </w:p>
        </w:tc>
        <w:tc>
          <w:p>
            <w:pPr>
              <w:pStyle w:val="Compact"/>
              <w:jc w:val="left"/>
            </w:pPr>
            <w:r>
              <w:t xml:space="preserve">Respuesta nominal sin orden; efectos específicos por categoría</w:t>
            </w:r>
          </w:p>
        </w:tc>
        <w:tc>
          <w:p>
            <w:pPr>
              <w:pStyle w:val="Compact"/>
              <w:jc w:val="left"/>
            </w:pPr>
            <w:r>
              <w:t xml:space="preserve">LRT vs nulo; AIC; Brier multiclase; acierto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Logit acumulado de odds proporcionales (+ mixto)</w:t>
            </w:r>
          </w:p>
        </w:tc>
        <w:tc>
          <w:p>
            <w:pPr>
              <w:pStyle w:val="Compact"/>
              <w:jc w:val="left"/>
            </w:pPr>
            <w:r>
              <w:t xml:space="preserve">Respuesta ordinal; un OR por variable si se cumple proporcionalidad</w:t>
            </w:r>
          </w:p>
        </w:tc>
        <w:tc>
          <w:p>
            <w:pPr>
              <w:pStyle w:val="Compact"/>
              <w:jc w:val="left"/>
            </w:pPr>
            <w:r>
              <w:t xml:space="preserve">Test de odds proporcionales; varianza entre centros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GLMM logístico, intercepto aleatorio por centro</w:t>
            </w:r>
          </w:p>
        </w:tc>
        <w:tc>
          <w:p>
            <w:pPr>
              <w:pStyle w:val="Compact"/>
              <w:jc w:val="left"/>
            </w:pPr>
            <w:r>
              <w:t xml:space="preserve">Separa variación paciente vs clínica; da ICC y efectos por centro</w:t>
            </w:r>
          </w:p>
        </w:tc>
        <w:tc>
          <w:p>
            <w:pPr>
              <w:pStyle w:val="Compact"/>
              <w:jc w:val="left"/>
            </w:pPr>
            <w:r>
              <w:t xml:space="preserve">Componentes de varianza; ICC; comparación fijo vs mixto</w:t>
            </w:r>
          </w:p>
        </w:tc>
      </w:tr>
    </w:tbl>
    <w:p>
      <w:pPr>
        <w:pStyle w:val="Heading2"/>
      </w:pPr>
      <w:bookmarkStart w:id="32" w:name="Xf6c584f510f1b2e48c0349d53a54edaa62de3d9"/>
      <w:r>
        <w:t xml:space="preserve">3.1. Supuestos, decisiones y limitaciones metodológicas</w:t>
      </w:r>
      <w:bookmarkEnd w:id="32"/>
    </w:p>
    <w:p>
      <w:pPr>
        <w:pStyle w:val="FirstParagraph"/>
      </w:pPr>
      <w:r>
        <w:t xml:space="preserve">Se ajustó</w:t>
      </w:r>
      <w:r>
        <w:t xml:space="preserve"> </w:t>
      </w:r>
      <w:r>
        <w:rPr>
          <w:b/>
        </w:rPr>
        <w:t xml:space="preserve">a ciegas</w:t>
      </w:r>
      <w:r>
        <w:t xml:space="preserve"> </w:t>
      </w:r>
      <w:r>
        <w:t xml:space="preserve">(sin mirar la</w:t>
      </w:r>
      <w:r>
        <w:t xml:space="preserve"> </w:t>
      </w:r>
      <w:r>
        <w:t xml:space="preserve">“</w:t>
      </w:r>
      <w:r>
        <w:t xml:space="preserve">verdad</w:t>
      </w:r>
      <w:r>
        <w:t xml:space="preserve">”</w:t>
      </w:r>
      <w:r>
        <w:t xml:space="preserve"> </w:t>
      </w:r>
      <w:r>
        <w:t xml:space="preserve">del DGP) y solo al final se comparó. La estandarización de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permite leer los efectos</w:t>
      </w:r>
      <w:r>
        <w:t xml:space="preserve"> </w:t>
      </w:r>
      <w:r>
        <w:t xml:space="preserve">“</w:t>
      </w:r>
      <w:r>
        <w:t xml:space="preserve">por desviación típica</w:t>
      </w:r>
      <w:r>
        <w:t xml:space="preserve">”</w:t>
      </w:r>
      <w:r>
        <w:t xml:space="preserve">. En P1 se retuvo el modelo de efectos principales por parsimonia (la interacción no fue significativa). En P2,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 </w:t>
      </w:r>
      <w:r>
        <w:t xml:space="preserve">entra como factor para un hazard base flexible; la censura administrativa se trata mediante la expansión persona-periodo. En P4 se comprobó la proporcionalidad de odds y se ajustó además la versión mixta. En P5, el efecto de clínica se modela como intercepto aleatorio (24 grupos). Las asociaciones del tratamiento con el tipo (P3) y la gravedad (P4) se interpretan como</w:t>
      </w:r>
      <w:r>
        <w:t xml:space="preserve"> </w:t>
      </w:r>
      <w:r>
        <w:rPr>
          <w:b/>
        </w:rPr>
        <w:t xml:space="preserve">de indicación</w:t>
      </w:r>
      <w:r>
        <w:t xml:space="preserve">, no causales.</w:t>
      </w:r>
    </w:p>
    <w:p>
      <w:pPr>
        <w:pStyle w:val="Heading2"/>
      </w:pPr>
      <w:bookmarkStart w:id="33" w:name="evaluación-validación-o-comprobaciones"/>
      <w:r>
        <w:t xml:space="preserve">3.2. Evaluación, validación o comprobaciones</w:t>
      </w:r>
      <w:bookmarkEnd w:id="33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AUC (P1)</w:t>
            </w:r>
          </w:p>
        </w:tc>
        <w:tc>
          <w:p>
            <w:pPr>
              <w:pStyle w:val="Compact"/>
              <w:jc w:val="left"/>
            </w:pPr>
            <w:r>
              <w:t xml:space="preserve">0,75</w:t>
            </w:r>
          </w:p>
        </w:tc>
        <w:tc>
          <w:p>
            <w:pPr>
              <w:pStyle w:val="Compact"/>
              <w:jc w:val="left"/>
            </w:pPr>
            <w:r>
              <w:t xml:space="preserve">Discriminación aceptable</w:t>
            </w:r>
          </w:p>
        </w:tc>
        <w:tc>
          <w:p>
            <w:pPr>
              <w:pStyle w:val="Compact"/>
              <w:jc w:val="left"/>
            </w:pPr>
            <w:r>
              <w:t xml:space="preserve">Modelo útil para priorizar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Calibración por deciles (P1)</w:t>
            </w:r>
          </w:p>
        </w:tc>
        <w:tc>
          <w:p>
            <w:pPr>
              <w:pStyle w:val="Compact"/>
              <w:jc w:val="left"/>
            </w:pPr>
            <w:r>
              <w:t xml:space="preserve">Observado ≈ predicho</w:t>
            </w:r>
          </w:p>
        </w:tc>
        <w:tc>
          <w:p>
            <w:pPr>
              <w:pStyle w:val="Compact"/>
              <w:jc w:val="left"/>
            </w:pPr>
            <w:r>
              <w:t xml:space="preserve">Buen ajuste de probabilidades</w:t>
            </w:r>
          </w:p>
        </w:tc>
        <w:tc>
          <w:p>
            <w:pPr>
              <w:pStyle w:val="Compact"/>
              <w:jc w:val="left"/>
            </w:pPr>
            <w:r>
              <w:t xml:space="preserve">Riesgos fiables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DHARMa / binned residuals (P1)</w:t>
            </w:r>
          </w:p>
        </w:tc>
        <w:tc>
          <w:p>
            <w:pPr>
              <w:pStyle w:val="Compact"/>
              <w:jc w:val="left"/>
            </w:pPr>
            <w:r>
              <w:t xml:space="preserve">Sin desviaciones sistemáticas</w:t>
            </w:r>
          </w:p>
        </w:tc>
        <w:tc>
          <w:p>
            <w:pPr>
              <w:pStyle w:val="Compact"/>
              <w:jc w:val="left"/>
            </w:pPr>
            <w:r>
              <w:t xml:space="preserve">No hay mala especificación evidente</w:t>
            </w:r>
          </w:p>
        </w:tc>
        <w:tc>
          <w:p>
            <w:pPr>
              <w:pStyle w:val="Compact"/>
              <w:jc w:val="left"/>
            </w:pPr>
            <w:r>
              <w:t xml:space="preserve">Modelo adecuado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cox.zph</w:t>
            </w:r>
            <w:r>
              <w:t xml:space="preserve"> </w:t>
            </w:r>
            <w:r>
              <w:t xml:space="preserve">(P2)</w:t>
            </w:r>
          </w:p>
        </w:tc>
        <w:tc>
          <w:p>
            <w:pPr>
              <w:pStyle w:val="Compact"/>
              <w:jc w:val="left"/>
            </w:pPr>
            <w:r>
              <w:t xml:space="preserve">p = 0,86 (global)</w:t>
            </w:r>
          </w:p>
        </w:tc>
        <w:tc>
          <w:p>
            <w:pPr>
              <w:pStyle w:val="Compact"/>
              <w:jc w:val="left"/>
            </w:pPr>
            <w:r>
              <w:t xml:space="preserve">Riesgos proporcionales</w:t>
            </w:r>
          </w:p>
        </w:tc>
        <w:tc>
          <w:p>
            <w:pPr>
              <w:pStyle w:val="Compact"/>
              <w:jc w:val="left"/>
            </w:pPr>
            <w:r>
              <w:t xml:space="preserve">HR estables en el tiempo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LRT</w:t>
            </w:r>
            <w:r>
              <w:t xml:space="preserve"> </w:t>
            </w:r>
            <w:r>
              <w:rPr>
                <w:rStyle w:val="VerbatimChar"/>
              </w:rPr>
              <w:t xml:space="preserve">periodo·x2</w:t>
            </w:r>
            <w:r>
              <w:t xml:space="preserve"> </w:t>
            </w:r>
            <w:r>
              <w:t xml:space="preserve">(P2)</w:t>
            </w:r>
          </w:p>
        </w:tc>
        <w:tc>
          <w:p>
            <w:pPr>
              <w:pStyle w:val="Compact"/>
              <w:jc w:val="left"/>
            </w:pPr>
            <w:r>
              <w:t xml:space="preserve">p = 0,65</w:t>
            </w:r>
          </w:p>
        </w:tc>
        <w:tc>
          <w:p>
            <w:pPr>
              <w:pStyle w:val="Compact"/>
              <w:jc w:val="left"/>
            </w:pPr>
            <w:r>
              <w:t xml:space="preserve">Efecto del tratamiento constante</w:t>
            </w:r>
          </w:p>
        </w:tc>
        <w:tc>
          <w:p>
            <w:pPr>
              <w:pStyle w:val="Compact"/>
              <w:jc w:val="left"/>
            </w:pPr>
            <w:r>
              <w:t xml:space="preserve">Protección proporcional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odds proporcionales (P4)</w:t>
            </w:r>
          </w:p>
        </w:tc>
        <w:tc>
          <w:p>
            <w:pPr>
              <w:pStyle w:val="Compact"/>
              <w:jc w:val="left"/>
            </w:pPr>
            <w:r>
              <w:t xml:space="preserve">x1 p = 0,34; x2 p = 0,29</w:t>
            </w:r>
          </w:p>
        </w:tc>
        <w:tc>
          <w:p>
            <w:pPr>
              <w:pStyle w:val="Compact"/>
              <w:jc w:val="left"/>
            </w:pPr>
            <w:r>
              <w:t xml:space="preserve">Supuesto sostenido</w:t>
            </w:r>
          </w:p>
        </w:tc>
        <w:tc>
          <w:p>
            <w:pPr>
              <w:pStyle w:val="Compact"/>
              <w:jc w:val="left"/>
            </w:pPr>
            <w:r>
              <w:t xml:space="preserve">Un OR por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 (P5)</w:t>
            </w:r>
          </w:p>
        </w:tc>
        <w:tc>
          <w:p>
            <w:pPr>
              <w:pStyle w:val="Compact"/>
              <w:jc w:val="left"/>
            </w:pPr>
            <w:r>
              <w:t xml:space="preserve">0,085</w:t>
            </w:r>
          </w:p>
        </w:tc>
        <w:tc>
          <w:p>
            <w:pPr>
              <w:pStyle w:val="Compact"/>
              <w:jc w:val="left"/>
            </w:pPr>
            <w:r>
              <w:t xml:space="preserve">~8,5 % depende del centro</w:t>
            </w:r>
          </w:p>
        </w:tc>
        <w:tc>
          <w:p>
            <w:pPr>
              <w:pStyle w:val="Compact"/>
              <w:jc w:val="left"/>
            </w:pPr>
            <w:r>
              <w:t xml:space="preserve">Riesgo sobre todo de la paciente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Cotejo con DGP (QC)</w:t>
            </w:r>
          </w:p>
        </w:tc>
        <w:tc>
          <w:p>
            <w:pPr>
              <w:pStyle w:val="Compact"/>
              <w:jc w:val="left"/>
            </w:pPr>
            <w:r>
              <w:t xml:space="preserve">Buena recuperación</w:t>
            </w:r>
          </w:p>
        </w:tc>
        <w:tc>
          <w:p>
            <w:pPr>
              <w:pStyle w:val="Compact"/>
              <w:jc w:val="left"/>
            </w:pPr>
            <w:r>
              <w:t xml:space="preserve">Metodología válida</w:t>
            </w:r>
          </w:p>
        </w:tc>
        <w:tc>
          <w:p>
            <w:pPr>
              <w:pStyle w:val="Compact"/>
              <w:jc w:val="left"/>
            </w:pPr>
            <w:r>
              <w:t xml:space="preserve">Confianza reforzada</w:t>
            </w:r>
          </w:p>
        </w:tc>
      </w:tr>
    </w:tbl>
    <w:p>
      <w:pPr>
        <w:pStyle w:val="Heading1"/>
      </w:pPr>
      <w:bookmarkStart w:id="34" w:name="resultados-evaluación-e-interpretación"/>
      <w:r>
        <w:t xml:space="preserve">4. Resultados, evaluación e interpretación</w:t>
      </w:r>
      <w:bookmarkEnd w:id="34"/>
    </w:p>
    <w:p>
      <w:pPr>
        <w:pStyle w:val="Heading2"/>
      </w:pPr>
      <w:bookmarkStart w:id="35" w:name="Xf3634a73477249888c374eaaae9055350a21279"/>
      <w:r>
        <w:t xml:space="preserve">4.1. Resultado clave 1 — Quién se fractura: fragilidad y tratamiento (P1)</w:t>
      </w:r>
      <w:bookmarkEnd w:id="35"/>
    </w:p>
    <w:p>
      <w:pPr>
        <w:pStyle w:val="FirstParagraph"/>
      </w:pPr>
      <w:r>
        <w:t xml:space="preserve">La regresión logística retiene los efectos principales: la</w:t>
      </w:r>
      <w:r>
        <w:t xml:space="preserve"> </w:t>
      </w:r>
      <w:r>
        <w:rPr>
          <w:b/>
        </w:rPr>
        <w:t xml:space="preserve">interacción</w:t>
      </w:r>
      <w:r>
        <w:rPr>
          <w:b/>
        </w:rPr>
        <w:t xml:space="preserve"> </w:t>
      </w:r>
      <w:r>
        <w:rPr>
          <w:rStyle w:val="VerbatimChar"/>
          <w:b/>
        </w:rPr>
        <w:t xml:space="preserve">x1·x2</w:t>
      </w:r>
      <w:r>
        <w:rPr>
          <w:b/>
        </w:rPr>
        <w:t xml:space="preserve"> </w:t>
      </w:r>
      <w:r>
        <w:rPr>
          <w:b/>
        </w:rPr>
        <w:t xml:space="preserve">no es significativa</w:t>
      </w:r>
      <w:r>
        <w:t xml:space="preserve"> </w:t>
      </w:r>
      <w:r>
        <w:t xml:space="preserve">(LRT: Δdeviance = 3,26; 1 g.l.;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= 0,071; BIC 896,2 → 899,7), por lo que</w:t>
      </w:r>
      <w:r>
        <w:t xml:space="preserve"> </w:t>
      </w:r>
      <w:r>
        <w:rPr>
          <w:b/>
        </w:rPr>
        <w:t xml:space="preserve">el tratamiento protege por igual</w:t>
      </w:r>
      <w:r>
        <w:t xml:space="preserve"> </w:t>
      </w:r>
      <w:r>
        <w:t xml:space="preserve">en todo el rango de fragilidad. La</w:t>
      </w:r>
      <w:r>
        <w:t xml:space="preserve"> </w:t>
      </w:r>
      <w:r>
        <w:rPr>
          <w:b/>
        </w:rPr>
        <w:t xml:space="preserve">fragilidad</w:t>
      </w:r>
      <w:r>
        <w:t xml:space="preserve"> </w:t>
      </w:r>
      <w:r>
        <w:t xml:space="preserve">tiene un OR de</w:t>
      </w:r>
      <w:r>
        <w:t xml:space="preserve"> </w:t>
      </w:r>
      <w:r>
        <w:rPr>
          <w:b/>
        </w:rPr>
        <w:t xml:space="preserve">2,60</w:t>
      </w:r>
      <w:r>
        <w:t xml:space="preserve"> </w:t>
      </w:r>
      <w:r>
        <w:t xml:space="preserve">(IC 95 % 2,15–3,17) —cada desviación típica multiplica por 2,6 las odds de fractura— y el</w:t>
      </w:r>
      <w:r>
        <w:t xml:space="preserve"> </w:t>
      </w:r>
      <w:r>
        <w:rPr>
          <w:b/>
        </w:rPr>
        <w:t xml:space="preserve">tratamiento</w:t>
      </w:r>
      <w:r>
        <w:t xml:space="preserve"> </w:t>
      </w:r>
      <w:r>
        <w:t xml:space="preserve">un OR de</w:t>
      </w:r>
      <w:r>
        <w:t xml:space="preserve"> </w:t>
      </w:r>
      <w:r>
        <w:rPr>
          <w:b/>
        </w:rPr>
        <w:t xml:space="preserve">0,39</w:t>
      </w:r>
      <w:r>
        <w:t xml:space="preserve"> </w:t>
      </w:r>
      <w:r>
        <w:t xml:space="preserve">(IC 95 % 0,28–0,55), es decir,</w:t>
      </w:r>
      <w:r>
        <w:t xml:space="preserve"> </w:t>
      </w:r>
      <w:r>
        <w:rPr>
          <w:b/>
        </w:rPr>
        <w:t xml:space="preserve">reduce las odds ~61 %</w:t>
      </w:r>
      <w:r>
        <w:t xml:space="preserve">. En probabilidad, cada punto z de fragilidad añade ~15,4 puntos porcentuales de riesgo y el tratamiento resta ~15,2. Para una</w:t>
      </w:r>
      <w:r>
        <w:t xml:space="preserve"> </w:t>
      </w:r>
      <w:r>
        <w:rPr>
          <w:b/>
        </w:rPr>
        <w:t xml:space="preserve">paciente nueva de fragilidad alta</w:t>
      </w:r>
      <w:r>
        <w:t xml:space="preserve"> </w:t>
      </w:r>
      <w:r>
        <w:t xml:space="preserve">(</w:t>
      </w:r>
      <w:r>
        <w:rPr>
          <w:rStyle w:val="VerbatimChar"/>
        </w:rPr>
        <w:t xml:space="preserve">x1</w:t>
      </w:r>
      <w:r>
        <w:t xml:space="preserve"> </w:t>
      </w:r>
      <w:r>
        <w:t xml:space="preserve">= 1,5), el riesgo estimado es</w:t>
      </w:r>
      <w:r>
        <w:t xml:space="preserve"> </w:t>
      </w:r>
      <w:r>
        <w:rPr>
          <w:b/>
        </w:rPr>
        <w:t xml:space="preserve">64,9 % sin tratamiento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41,9 % con tratamiento</w:t>
      </w:r>
      <w:r>
        <w:t xml:space="preserve">. El modelo discrimina de forma aceptable (</w:t>
      </w:r>
      <w:r>
        <w:rPr>
          <w:b/>
        </w:rPr>
        <w:t xml:space="preserve">AUC = 0,75</w:t>
      </w:r>
      <w:r>
        <w:t xml:space="preserve">) y está</w:t>
      </w:r>
      <w:r>
        <w:t xml:space="preserve"> </w:t>
      </w:r>
      <w:r>
        <w:rPr>
          <w:b/>
        </w:rPr>
        <w:t xml:space="preserve">bien calibrado</w:t>
      </w:r>
      <w:r>
        <w:t xml:space="preserve">.</w:t>
      </w:r>
    </w:p>
    <w:p>
      <w:pPr>
        <w:pStyle w:val="CaptionedFigure"/>
      </w:pPr>
      <w:r>
        <w:drawing>
          <wp:inline>
            <wp:extent cx="6324600" cy="3952875"/>
            <wp:effectExtent b="0" l="0" r="0" t="0"/>
            <wp:docPr descr="Riesgo de fractura predicho según fragilidad ósea y tratamiento (IC 95 %)." title="" id="1" name="Picture"/>
            <a:graphic>
              <a:graphicData uri="http://schemas.openxmlformats.org/drawingml/2006/picture">
                <pic:pic>
                  <pic:nvPicPr>
                    <pic:cNvPr descr="/sessions/determined-wonderful-darwin/mnt/GLM/caso1/resolucion_ec1/informe_osteored_ec1_files/figure-html/fig-p1-pre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Riesgo de fractura predicho según fragilidad ósea y tratamiento (IC 95 %).</w:t>
      </w:r>
    </w:p>
    <w:p>
      <w:pPr>
        <w:pStyle w:val="BodyText"/>
      </w:pPr>
      <w:r>
        <w:rPr>
          <w:i/>
        </w:rPr>
        <w:t xml:space="preserve">Cautela:</w:t>
      </w:r>
      <w:r>
        <w:t xml:space="preserve"> </w:t>
      </w:r>
      <w:r>
        <w:rPr>
          <w:rStyle w:val="VerbatimChar"/>
        </w:rPr>
        <w:t xml:space="preserve">ever</w:t>
      </w:r>
      <w:r>
        <w:t xml:space="preserve"> </w:t>
      </w:r>
      <w:r>
        <w:t xml:space="preserve">mide la fractura observada dentro de la ventana de seguimiento (con censura), por lo que es una lectura marginal; el</w:t>
      </w:r>
      <w:r>
        <w:t xml:space="preserve"> </w:t>
      </w:r>
      <w:r>
        <w:t xml:space="preserve">“</w:t>
      </w:r>
      <w:r>
        <w:t xml:space="preserve">cuándo</w:t>
      </w:r>
      <w:r>
        <w:t xml:space="preserve">”</w:t>
      </w:r>
      <w:r>
        <w:t xml:space="preserve"> </w:t>
      </w:r>
      <w:r>
        <w:t xml:space="preserve">limpio de censura se aborda en P2.</w:t>
      </w:r>
    </w:p>
    <w:p>
      <w:pPr>
        <w:pStyle w:val="Heading2"/>
      </w:pPr>
      <w:bookmarkStart w:id="37" w:name="Xeeb9b9dcba23ef08dcb2d0878039391216b8ce5"/>
      <w:r>
        <w:t xml:space="preserve">4.2. Resultado clave 2 — Cuándo se fractura y calendario de revisión (P2)</w:t>
      </w:r>
      <w:bookmarkEnd w:id="37"/>
    </w:p>
    <w:p>
      <w:pPr>
        <w:pStyle w:val="FirstParagraph"/>
      </w:pPr>
      <w:r>
        <w:t xml:space="preserve">El modelo de riesgo en tiempo discreto (cloglog) estima</w:t>
      </w:r>
      <w:r>
        <w:t xml:space="preserve"> </w:t>
      </w:r>
      <w:r>
        <w:rPr>
          <w:b/>
        </w:rPr>
        <w:t xml:space="preserve">hazard ratios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2,18</w:t>
      </w:r>
      <w:r>
        <w:t xml:space="preserve"> </w:t>
      </w:r>
      <w:r>
        <w:t xml:space="preserve">(IC 95 % 1,90–2,51) para la fragilidad y</w:t>
      </w:r>
      <w:r>
        <w:t xml:space="preserve"> </w:t>
      </w:r>
      <w:r>
        <w:rPr>
          <w:b/>
        </w:rPr>
        <w:t xml:space="preserve">0,44</w:t>
      </w:r>
      <w:r>
        <w:t xml:space="preserve"> </w:t>
      </w:r>
      <w:r>
        <w:t xml:space="preserve">(IC 95 % 0,33–0,58) para el tratamiento: el tratamiento</w:t>
      </w:r>
      <w:r>
        <w:t xml:space="preserve"> </w:t>
      </w:r>
      <w:r>
        <w:rPr>
          <w:b/>
        </w:rPr>
        <w:t xml:space="preserve">reduce el riesgo instantáneo ~56 % en cada revisión</w:t>
      </w:r>
      <w:r>
        <w:t xml:space="preserve">. El</w:t>
      </w:r>
      <w:r>
        <w:t xml:space="preserve"> </w:t>
      </w:r>
      <w:r>
        <w:rPr>
          <w:b/>
        </w:rPr>
        <w:t xml:space="preserve">hazard base es aproximadamente constante</w:t>
      </w:r>
      <w:r>
        <w:t xml:space="preserve"> </w:t>
      </w:r>
      <w:r>
        <w:t xml:space="preserve">(≈7–10 % anual en la paciente de referencia), con un leve máximo hacia el 4.º periodo;</w:t>
      </w:r>
      <w:r>
        <w:t xml:space="preserve"> </w:t>
      </w:r>
      <w:r>
        <w:rPr>
          <w:b/>
        </w:rPr>
        <w:t xml:space="preserve">el riesgo no se concentra en un año</w:t>
      </w:r>
      <w:r>
        <w:t xml:space="preserve">. El efecto del tratamiento es</w:t>
      </w:r>
      <w:r>
        <w:t xml:space="preserve"> </w:t>
      </w:r>
      <w:r>
        <w:rPr>
          <w:b/>
        </w:rPr>
        <w:t xml:space="preserve">proporcional en el tiempo</w:t>
      </w:r>
      <w:r>
        <w:t xml:space="preserve"> </w:t>
      </w:r>
      <w:r>
        <w:t xml:space="preserve">(LRT</w:t>
      </w:r>
      <w:r>
        <w:t xml:space="preserve"> </w:t>
      </w:r>
      <w:r>
        <w:rPr>
          <w:rStyle w:val="VerbatimChar"/>
        </w:rPr>
        <w:t xml:space="preserve">periodo·x2</w:t>
      </w:r>
      <w:r>
        <w:t xml:space="preserve">: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= 0,65). A fragilidad alta, la probabilidad de llegar sin fractura a la 6.ª revisión pasa del</w:t>
      </w:r>
      <w:r>
        <w:t xml:space="preserve"> </w:t>
      </w:r>
      <w:r>
        <w:rPr>
          <w:b/>
        </w:rPr>
        <w:t xml:space="preserve">34 % sin tratamiento al 63 % con tratamiento</w:t>
      </w:r>
      <w:r>
        <w:t xml:space="preserve">. El</w:t>
      </w:r>
      <w:r>
        <w:t xml:space="preserve"> </w:t>
      </w:r>
      <w:r>
        <w:rPr>
          <w:b/>
        </w:rPr>
        <w:t xml:space="preserve">modelo de Cox</w:t>
      </w:r>
      <w:r>
        <w:t xml:space="preserve"> </w:t>
      </w:r>
      <w:r>
        <w:t xml:space="preserve">arroja HR casi idénticos (2,18 y 0,44) y no detecta violación de proporcionalidad (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global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= 0,86), lo que refuerza las conclusiones.</w:t>
      </w:r>
    </w:p>
    <w:p>
      <w:pPr>
        <w:pStyle w:val="CaptionedFigure"/>
      </w:pPr>
      <w:r>
        <w:drawing>
          <wp:inline>
            <wp:extent cx="6324600" cy="3952875"/>
            <wp:effectExtent b="0" l="0" r="0" t="0"/>
            <wp:docPr descr="Supervivencia (probabilidad de seguir sin fractura) a fragilidad alta, con y sin tratamiento." title="" id="1" name="Picture"/>
            <a:graphic>
              <a:graphicData uri="http://schemas.openxmlformats.org/drawingml/2006/picture">
                <pic:pic>
                  <pic:nvPicPr>
                    <pic:cNvPr descr="/sessions/determined-wonderful-darwin/mnt/GLM/caso1/resolucion_ec1/informe_osteored_ec1_files/figure-html/fig-p2-super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Supervivencia (probabilidad de seguir sin fractura) a fragilidad alta, con y sin tratamiento.</w:t>
      </w:r>
    </w:p>
    <w:p>
      <w:pPr>
        <w:pStyle w:val="Heading2"/>
      </w:pPr>
      <w:bookmarkStart w:id="39" w:name="X9202633942f6476928f5781f2d0f415b9c1728f"/>
      <w:r>
        <w:t xml:space="preserve">4.3. Resultado clave 3 — Tipo y gravedad de la fractura (P3 y P4)</w:t>
      </w:r>
      <w:bookmarkEnd w:id="39"/>
    </w:p>
    <w:p>
      <w:pPr>
        <w:pStyle w:val="FirstParagraph"/>
      </w:pPr>
      <w:r>
        <w:rPr>
          <w:b/>
        </w:rPr>
        <w:t xml:space="preserve">Tipo (P3).</w:t>
      </w:r>
      <w:r>
        <w:t xml:space="preserve"> </w:t>
      </w:r>
      <w:r>
        <w:t xml:space="preserve">El logit multinomial mejora claramente al nulo (LRT = 113,8; 4 g.l.;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&lt; 0,001). La</w:t>
      </w:r>
      <w:r>
        <w:t xml:space="preserve"> </w:t>
      </w:r>
      <w:r>
        <w:rPr>
          <w:b/>
        </w:rPr>
        <w:t xml:space="preserve">fragilidad</w:t>
      </w:r>
      <w:r>
        <w:t xml:space="preserve"> </w:t>
      </w:r>
      <w:r>
        <w:t xml:space="preserve">aleja del tipo A hacia B y sobre todo C (RRR C|A = 2,43); el</w:t>
      </w:r>
      <w:r>
        <w:t xml:space="preserve"> </w:t>
      </w:r>
      <w:r>
        <w:rPr>
          <w:b/>
        </w:rPr>
        <w:t xml:space="preserve">tratamiento</w:t>
      </w:r>
      <w:r>
        <w:t xml:space="preserve"> </w:t>
      </w:r>
      <w:r>
        <w:t xml:space="preserve">separa fenotipos: reduce la preferencia por B (RRR = 0,67) y la aumenta por C (RRR = 1,55). Sin embargo, la</w:t>
      </w:r>
      <w:r>
        <w:t xml:space="preserve"> </w:t>
      </w:r>
      <w:r>
        <w:rPr>
          <w:b/>
        </w:rPr>
        <w:t xml:space="preserve">previsibilidad es limitada</w:t>
      </w:r>
      <w:r>
        <w:t xml:space="preserve">: el Brier multiclase apenas baja del nulo (0,646 → 0,604) y el acierto es del</w:t>
      </w:r>
      <w:r>
        <w:t xml:space="preserve"> </w:t>
      </w:r>
      <w:r>
        <w:rPr>
          <w:b/>
        </w:rPr>
        <w:t xml:space="preserve">50 %</w:t>
      </w:r>
      <w:r>
        <w:t xml:space="preserve">. No es posible anticipar el tipo con fiabilidad usando solo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x2</w:t>
      </w:r>
      <w:r>
        <w:t xml:space="preserve">.</w:t>
      </w:r>
    </w:p>
    <w:p>
      <w:pPr>
        <w:pStyle w:val="BodyText"/>
      </w:pPr>
      <w:r>
        <w:rPr>
          <w:b/>
        </w:rPr>
        <w:t xml:space="preserve">Gravedad (P4).</w:t>
      </w:r>
      <w:r>
        <w:t xml:space="preserve"> </w:t>
      </w:r>
      <w:r>
        <w:t xml:space="preserve">En el logit acumulado, la</w:t>
      </w:r>
      <w:r>
        <w:t xml:space="preserve"> </w:t>
      </w:r>
      <w:r>
        <w:rPr>
          <w:b/>
        </w:rPr>
        <w:t xml:space="preserve">fragilidad</w:t>
      </w:r>
      <w:r>
        <w:t xml:space="preserve"> </w:t>
      </w:r>
      <w:r>
        <w:t xml:space="preserve">tiene OR</w:t>
      </w:r>
      <w:r>
        <w:t xml:space="preserve"> </w:t>
      </w:r>
      <w:r>
        <w:rPr>
          <w:b/>
        </w:rPr>
        <w:t xml:space="preserve">2,06</w:t>
      </w:r>
      <w:r>
        <w:t xml:space="preserve"> </w:t>
      </w:r>
      <w:r>
        <w:t xml:space="preserve">(IC 95 % 1,80–2,37) —duplica las odds de mayor gravedad— y el</w:t>
      </w:r>
      <w:r>
        <w:t xml:space="preserve"> </w:t>
      </w:r>
      <w:r>
        <w:rPr>
          <w:b/>
        </w:rPr>
        <w:t xml:space="preserve">tratamiento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0,49</w:t>
      </w:r>
      <w:r>
        <w:t xml:space="preserve"> </w:t>
      </w:r>
      <w:r>
        <w:t xml:space="preserve">(IC 95 % 0,38–0,63) —las reduce a la mitad—. El supuesto de</w:t>
      </w:r>
      <w:r>
        <w:t xml:space="preserve"> </w:t>
      </w:r>
      <w:r>
        <w:rPr>
          <w:b/>
        </w:rPr>
        <w:t xml:space="preserve">odds proporcionales se sostiene</w:t>
      </w:r>
      <w:r>
        <w:t xml:space="preserve"> </w:t>
      </w:r>
      <w:r>
        <w:t xml:space="preserve">(x1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= 0,34; x2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= 0,29) y ~</w:t>
      </w:r>
      <w:r>
        <w:rPr>
          <w:b/>
        </w:rPr>
        <w:t xml:space="preserve">11 %</w:t>
      </w:r>
      <w:r>
        <w:t xml:space="preserve"> </w:t>
      </w:r>
      <w:r>
        <w:t xml:space="preserve">de la gravedad basal varía entre clínicas. A fragilidad alta, la probabilidad de cuadro</w:t>
      </w:r>
      <w:r>
        <w:t xml:space="preserve"> </w:t>
      </w:r>
      <w:r>
        <w:rPr>
          <w:b/>
        </w:rPr>
        <w:t xml:space="preserve">Grave</w:t>
      </w:r>
      <w:r>
        <w:t xml:space="preserve"> </w:t>
      </w:r>
      <w:r>
        <w:t xml:space="preserve">cae del</w:t>
      </w:r>
      <w:r>
        <w:t xml:space="preserve"> </w:t>
      </w:r>
      <w:r>
        <w:rPr>
          <w:b/>
        </w:rPr>
        <w:t xml:space="preserve">53 % al 36 %</w:t>
      </w:r>
      <w:r>
        <w:t xml:space="preserve"> </w:t>
      </w:r>
      <w:r>
        <w:t xml:space="preserve">entre no tratadas y tratadas.</w:t>
      </w:r>
    </w:p>
    <w:p>
      <w:pPr>
        <w:pStyle w:val="CaptionedFigure"/>
      </w:pPr>
      <w:r>
        <w:drawing>
          <wp:inline>
            <wp:extent cx="6324600" cy="3952875"/>
            <wp:effectExtent b="0" l="0" r="0" t="0"/>
            <wp:docPr descr="Probabilidad de cada grado de gravedad según fragilidad y tratamiento." title="" id="1" name="Picture"/>
            <a:graphic>
              <a:graphicData uri="http://schemas.openxmlformats.org/drawingml/2006/picture">
                <pic:pic>
                  <pic:nvPicPr>
                    <pic:cNvPr descr="/sessions/determined-wonderful-darwin/mnt/GLM/caso1/resolucion_ec1/informe_osteored_ec1_files/figure-html/fig-p4-pre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Probabilidad de cada grado de gravedad según fragilidad y tratamiento.</w:t>
      </w:r>
    </w:p>
    <w:p>
      <w:pPr>
        <w:pStyle w:val="BodyText"/>
      </w:pPr>
      <w:r>
        <w:rPr>
          <w:i/>
        </w:rPr>
        <w:t xml:space="preserve">Cautela:</w:t>
      </w:r>
      <w:r>
        <w:t xml:space="preserve"> </w:t>
      </w:r>
      <w:r>
        <w:t xml:space="preserve">la gravedad es</w:t>
      </w:r>
      <w:r>
        <w:t xml:space="preserve"> </w:t>
      </w:r>
      <w:r>
        <w:rPr>
          <w:b/>
        </w:rPr>
        <w:t xml:space="preserve">basal</w:t>
      </w:r>
      <w:r>
        <w:t xml:space="preserve"> </w:t>
      </w:r>
      <w:r>
        <w:t xml:space="preserve">y su relación con el tratamiento es</w:t>
      </w:r>
      <w:r>
        <w:t xml:space="preserve"> </w:t>
      </w:r>
      <w:r>
        <w:rPr>
          <w:b/>
        </w:rPr>
        <w:t xml:space="preserve">asociativa</w:t>
      </w:r>
      <w:r>
        <w:t xml:space="preserve"> </w:t>
      </w:r>
      <w:r>
        <w:t xml:space="preserve">(indicación), no un efecto causal sobre una fractura concreta.</w:t>
      </w:r>
    </w:p>
    <w:p>
      <w:pPr>
        <w:pStyle w:val="Heading2"/>
      </w:pPr>
      <w:bookmarkStart w:id="41" w:name="resultado-clave-4-peso-de-la-clínica-p5"/>
      <w:r>
        <w:t xml:space="preserve">4.4. Resultado clave 4 — Peso de la clínica (P5)</w:t>
      </w:r>
      <w:bookmarkEnd w:id="41"/>
    </w:p>
    <w:p>
      <w:pPr>
        <w:pStyle w:val="FirstParagraph"/>
      </w:pPr>
      <w:r>
        <w:t xml:space="preserve">El GLMM logístico estima una</w:t>
      </w:r>
      <w:r>
        <w:t xml:space="preserve"> </w:t>
      </w:r>
      <w:r>
        <w:rPr>
          <w:b/>
        </w:rPr>
        <w:t xml:space="preserve">desviación entre centros de 0,55</w:t>
      </w:r>
      <w:r>
        <w:t xml:space="preserve"> </w:t>
      </w:r>
      <w:r>
        <w:t xml:space="preserve">(logit) y un</w:t>
      </w:r>
      <w:r>
        <w:t xml:space="preserve"> </w:t>
      </w:r>
      <w:r>
        <w:rPr>
          <w:b/>
        </w:rPr>
        <w:t xml:space="preserve">ICC ≈ 8,5 %</w:t>
      </w:r>
      <w:r>
        <w:t xml:space="preserve">: a igualdad de paciente, en torno al 8–9 % del riesgo depende de la clínica y el resto de la paciente. Los OR apenas cambian del modelo fijo al mixto (</w:t>
      </w:r>
      <w:r>
        <w:rPr>
          <w:rStyle w:val="VerbatimChar"/>
        </w:rPr>
        <w:t xml:space="preserve">x1</w:t>
      </w:r>
      <w:r>
        <w:t xml:space="preserve"> </w:t>
      </w:r>
      <w:r>
        <w:t xml:space="preserve">2,60 → 2,73;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0,39 → 0,37), lo que confirma la</w:t>
      </w:r>
      <w:r>
        <w:t xml:space="preserve"> </w:t>
      </w:r>
      <w:r>
        <w:rPr>
          <w:b/>
        </w:rPr>
        <w:t xml:space="preserve">robustez</w:t>
      </w:r>
      <w:r>
        <w:t xml:space="preserve"> </w:t>
      </w:r>
      <w:r>
        <w:t xml:space="preserve">de P1. Hay un</w:t>
      </w:r>
      <w:r>
        <w:t xml:space="preserve"> </w:t>
      </w:r>
      <w:r>
        <w:rPr>
          <w:b/>
        </w:rPr>
        <w:t xml:space="preserve">gradiente entre centros</w:t>
      </w:r>
      <w:r>
        <w:t xml:space="preserve"> </w:t>
      </w:r>
      <w:r>
        <w:t xml:space="preserve">(clínicas 20, 8 y 6 con más riesgo basal; 1, 21 y 9 con menos), pero con intervalos anchos y solapados: pocas diferencias son individualmente concluyentes. Para una</w:t>
      </w:r>
      <w:r>
        <w:t xml:space="preserve"> </w:t>
      </w:r>
      <w:r>
        <w:rPr>
          <w:b/>
        </w:rPr>
        <w:t xml:space="preserve">clínica nueva</w:t>
      </w:r>
      <w:r>
        <w:t xml:space="preserve">, el riesgo esperado de la paciente tipo es del</w:t>
      </w:r>
      <w:r>
        <w:t xml:space="preserve"> </w:t>
      </w:r>
      <w:r>
        <w:rPr>
          <w:b/>
        </w:rPr>
        <w:t xml:space="preserve">29–31 %</w:t>
      </w:r>
      <w:r>
        <w:t xml:space="preserve">, con un rango plausible del</w:t>
      </w:r>
      <w:r>
        <w:t xml:space="preserve"> </w:t>
      </w:r>
      <w:r>
        <w:rPr>
          <w:b/>
        </w:rPr>
        <w:t xml:space="preserve">14 % al 51 %</w:t>
      </w:r>
      <w:r>
        <w:t xml:space="preserve">.</w:t>
      </w:r>
    </w:p>
    <w:p>
      <w:pPr>
        <w:pStyle w:val="CaptionedFigure"/>
      </w:pPr>
      <w:r>
        <w:drawing>
          <wp:inline>
            <wp:extent cx="6324600" cy="3952875"/>
            <wp:effectExtent b="0" l="0" r="0" t="0"/>
            <wp:docPr descr="Efectos aleatorios por clínica (caterpillar): intercepto de riesgo en escala logit, IC 95 %." title="" id="1" name="Picture"/>
            <a:graphic>
              <a:graphicData uri="http://schemas.openxmlformats.org/drawingml/2006/picture">
                <pic:pic>
                  <pic:nvPicPr>
                    <pic:cNvPr descr="/sessions/determined-wonderful-darwin/mnt/GLM/caso1/resolucion_ec1/informe_osteored_ec1_files/figure-html/fig-p5-caterpillar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Efectos aleatorios por clínica (caterpillar): intercepto de riesgo en escala logit, IC 95 %.</w:t>
      </w:r>
    </w:p>
    <w:p>
      <w:pPr>
        <w:pStyle w:val="Heading2"/>
      </w:pPr>
      <w:bookmarkStart w:id="43" w:name="síntesis-técnica-de-hallazgos"/>
      <w:r>
        <w:t xml:space="preserve">4.5. Síntesis técnica de hallazgos</w:t>
      </w:r>
      <w:bookmarkEnd w:id="43"/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</w:rPr>
        <w:t xml:space="preserve">fragilidad ósea</w:t>
      </w:r>
      <w:r>
        <w:t xml:space="preserve"> </w:t>
      </w:r>
      <w:r>
        <w:t xml:space="preserve">es el principal determinante del riesgo, del ritmo y de la gravedad. 2. El</w:t>
      </w:r>
      <w:r>
        <w:t xml:space="preserve"> </w:t>
      </w:r>
      <w:r>
        <w:rPr>
          <w:b/>
        </w:rPr>
        <w:t xml:space="preserve">tratamiento</w:t>
      </w:r>
      <w:r>
        <w:t xml:space="preserve"> </w:t>
      </w:r>
      <w:r>
        <w:t xml:space="preserve">protege de forma sustancial, homogénea y proporcional en el tiempo, y</w:t>
      </w:r>
      <w:r>
        <w:t xml:space="preserve"> </w:t>
      </w:r>
      <w:r>
        <w:rPr>
          <w:b/>
        </w:rPr>
        <w:t xml:space="preserve">retrasa</w:t>
      </w:r>
      <w:r>
        <w:t xml:space="preserve"> </w:t>
      </w:r>
      <w:r>
        <w:t xml:space="preserve">la fractura. 3. El</w:t>
      </w:r>
      <w:r>
        <w:t xml:space="preserve"> </w:t>
      </w:r>
      <w:r>
        <w:rPr>
          <w:b/>
        </w:rPr>
        <w:t xml:space="preserve">riesgo es sostenido</w:t>
      </w:r>
      <w:r>
        <w:t xml:space="preserve"> </w:t>
      </w:r>
      <w:r>
        <w:t xml:space="preserve">a lo largo de los seis años. 4. El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de fractura no es previsible con las covariables disponibles. 5. La</w:t>
      </w:r>
      <w:r>
        <w:t xml:space="preserve"> </w:t>
      </w:r>
      <w:r>
        <w:rPr>
          <w:b/>
        </w:rPr>
        <w:t xml:space="preserve">clínica</w:t>
      </w:r>
      <w:r>
        <w:t xml:space="preserve"> </w:t>
      </w:r>
      <w:r>
        <w:t xml:space="preserve">explica una fracción menor del riesgo (~8–9 %), con diferencias modestas e inciertas.</w:t>
      </w:r>
    </w:p>
    <w:p>
      <w:pPr>
        <w:pStyle w:val="Heading1"/>
      </w:pPr>
      <w:bookmarkStart w:id="44" w:name="X7a84f6cf401204872f95d03ada764271e90f1f9"/>
      <w:r>
        <w:t xml:space="preserve">5. Implicaciones, recomendaciones y próximos pasos</w:t>
      </w:r>
      <w:bookmarkEnd w:id="44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Cómo evaluar el impacto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Fragilidad = factor dominante</w:t>
            </w:r>
          </w:p>
        </w:tc>
        <w:tc>
          <w:p>
            <w:pPr>
              <w:pStyle w:val="Compact"/>
              <w:jc w:val="left"/>
            </w:pPr>
            <w:r>
              <w:t xml:space="preserve">Riesgo muy heterogéneo entre pacientes</w:t>
            </w:r>
          </w:p>
        </w:tc>
        <w:tc>
          <w:p>
            <w:pPr>
              <w:pStyle w:val="Compact"/>
              <w:jc w:val="left"/>
            </w:pPr>
            <w:r>
              <w:t xml:space="preserve">Priorizar vigilancia en alta fragilidad; usar calculadora de riesgo</w:t>
            </w:r>
          </w:p>
        </w:tc>
        <w:tc>
          <w:p>
            <w:pPr>
              <w:pStyle w:val="Compact"/>
              <w:jc w:val="left"/>
            </w:pPr>
            <w:r>
              <w:t xml:space="preserve">Seguimiento de tasas por estrato de fragilidad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Tratamiento protege y retrasa</w:t>
            </w:r>
          </w:p>
        </w:tc>
        <w:tc>
          <w:p>
            <w:pPr>
              <w:pStyle w:val="Compact"/>
              <w:jc w:val="left"/>
            </w:pPr>
            <w:r>
              <w:t xml:space="preserve">Beneficio absoluto mayor en frágiles</w:t>
            </w:r>
          </w:p>
        </w:tc>
        <w:tc>
          <w:p>
            <w:pPr>
              <w:pStyle w:val="Compact"/>
              <w:jc w:val="left"/>
            </w:pPr>
            <w:r>
              <w:t xml:space="preserve">Asegurar cobertura del tratamiento, con foco en alta fragilidad</w:t>
            </w:r>
          </w:p>
        </w:tc>
        <w:tc>
          <w:p>
            <w:pPr>
              <w:pStyle w:val="Compact"/>
              <w:jc w:val="left"/>
            </w:pPr>
            <w:r>
              <w:t xml:space="preserve">Cobertura de tratamiento y fracturas evitadas por estrato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Riesgo sostenido en el tiempo</w:t>
            </w:r>
          </w:p>
        </w:tc>
        <w:tc>
          <w:p>
            <w:pPr>
              <w:pStyle w:val="Compact"/>
              <w:jc w:val="left"/>
            </w:pPr>
            <w:r>
              <w:t xml:space="preserve">No relajar el seguimiento a mitad de programa</w:t>
            </w:r>
          </w:p>
        </w:tc>
        <w:tc>
          <w:p>
            <w:pPr>
              <w:pStyle w:val="Compact"/>
              <w:jc w:val="left"/>
            </w:pPr>
            <w:r>
              <w:t xml:space="preserve">Mantener</w:t>
            </w:r>
            <w:r>
              <w:t xml:space="preserve"> </w:t>
            </w:r>
            <w:r>
              <w:rPr>
                <w:b/>
              </w:rPr>
              <w:t xml:space="preserve">revisión anual</w:t>
            </w:r>
            <w:r>
              <w:t xml:space="preserve"> </w:t>
            </w:r>
            <w:r>
              <w:t xml:space="preserve">los seis años</w:t>
            </w:r>
          </w:p>
        </w:tc>
        <w:tc>
          <w:p>
            <w:pPr>
              <w:pStyle w:val="Compact"/>
              <w:jc w:val="left"/>
            </w:pPr>
            <w:r>
              <w:t xml:space="preserve">Auditar adherencia al calendario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poco previsible</w:t>
            </w:r>
          </w:p>
        </w:tc>
        <w:tc>
          <w:p>
            <w:pPr>
              <w:pStyle w:val="Compact"/>
              <w:jc w:val="left"/>
            </w:pPr>
            <w:r>
              <w:t xml:space="preserve">Decidir por tipo no es fiable con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rPr>
                <w:rStyle w:val="VerbatimChar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Ampliar variables clínicas si el tipo es prioritario</w:t>
            </w:r>
          </w:p>
        </w:tc>
        <w:tc>
          <w:p>
            <w:pPr>
              <w:pStyle w:val="Compact"/>
              <w:jc w:val="left"/>
            </w:pPr>
            <w:r>
              <w:t xml:space="preserve">Reevaluar Brier/acierto con nuevas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~8–9 % del riesgo por clínica</w:t>
            </w:r>
          </w:p>
        </w:tc>
        <w:tc>
          <w:p>
            <w:pPr>
              <w:pStyle w:val="Compact"/>
              <w:jc w:val="left"/>
            </w:pPr>
            <w:r>
              <w:t xml:space="preserve">Diferencias reales pero modestas</w:t>
            </w:r>
          </w:p>
        </w:tc>
        <w:tc>
          <w:p>
            <w:pPr>
              <w:pStyle w:val="Compact"/>
              <w:jc w:val="left"/>
            </w:pPr>
            <w:r>
              <w:t xml:space="preserve">Evitar rankings tajantes; auditar centros con efecto alto sostenido</w:t>
            </w:r>
          </w:p>
        </w:tc>
        <w:tc>
          <w:p>
            <w:pPr>
              <w:pStyle w:val="Compact"/>
              <w:jc w:val="left"/>
            </w:pPr>
            <w:r>
              <w:t xml:space="preserve">Comparar efectos aleatorios en cohortes sucesivas</w:t>
            </w:r>
          </w:p>
        </w:tc>
      </w:tr>
    </w:tbl>
    <w:p>
      <w:pPr>
        <w:pStyle w:val="Heading2"/>
      </w:pPr>
      <w:bookmarkStart w:id="45" w:name="próximos-pasos"/>
      <w:r>
        <w:t xml:space="preserve">5.1. Próximos pasos</w:t>
      </w:r>
      <w:bookmarkEnd w:id="45"/>
    </w:p>
    <w:p>
      <w:pPr>
        <w:pStyle w:val="FirstParagraph"/>
      </w:pPr>
      <w:r>
        <w:t xml:space="preserve">Validación</w:t>
      </w:r>
      <w:r>
        <w:t xml:space="preserve"> </w:t>
      </w:r>
      <w:r>
        <w:rPr>
          <w:b/>
        </w:rPr>
        <w:t xml:space="preserve">fuera de muestra</w:t>
      </w:r>
      <w:r>
        <w:t xml:space="preserve"> </w:t>
      </w:r>
      <w:r>
        <w:t xml:space="preserve">(k-fold) de la logística y del modelo de supervivencia; incorporación de nuevas covariables clínicas para mejorar la predicción del tipo; construcción de una</w:t>
      </w:r>
      <w:r>
        <w:t xml:space="preserve"> </w:t>
      </w:r>
      <w:r>
        <w:rPr>
          <w:b/>
        </w:rPr>
        <w:t xml:space="preserve">calculadora de riesgo</w:t>
      </w:r>
      <w:r>
        <w:t xml:space="preserve"> </w:t>
      </w:r>
      <w:r>
        <w:t xml:space="preserve">para uso en consulta; y monitorización longitudinal de los efectos por clínica para distinguir señal de ruido.</w:t>
      </w:r>
    </w:p>
    <w:p>
      <w:pPr>
        <w:pStyle w:val="Heading1"/>
      </w:pPr>
      <w:bookmarkStart w:id="46" w:name="X4c559f5eda188100c5c2bf78d14dea0a3678a7f"/>
      <w:r>
        <w:t xml:space="preserve">6. Riesgos, incertidumbres, limitaciones y uso de IA</w:t>
      </w:r>
      <w:bookmarkEnd w:id="46"/>
    </w:p>
    <w:p>
      <w:pPr>
        <w:pStyle w:val="Heading2"/>
      </w:pPr>
      <w:bookmarkStart w:id="47" w:name="limitaciones-e-incertidumbre"/>
      <w:r>
        <w:t xml:space="preserve">6.1. Limitaciones e incertidumbre</w:t>
      </w:r>
      <w:bookmarkEnd w:id="47"/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Cómo afecta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left"/>
            </w:pPr>
            <w:r>
              <w:t xml:space="preserve">Solo dos covariables sustantivas (</w:t>
            </w:r>
            <w:r>
              <w:rPr>
                <w:rStyle w:val="VerbatimChar"/>
              </w:rPr>
              <w:t xml:space="preserve">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Limita la predicción del tipo</w:t>
            </w:r>
          </w:p>
        </w:tc>
        <w:tc>
          <w:p>
            <w:pPr>
              <w:pStyle w:val="Compact"/>
              <w:jc w:val="left"/>
            </w:pPr>
            <w:r>
              <w:t xml:space="preserve">Ampliar registro clínico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Muestra/cobertura</w:t>
            </w:r>
          </w:p>
        </w:tc>
        <w:tc>
          <w:p>
            <w:pPr>
              <w:pStyle w:val="Compact"/>
              <w:jc w:val="left"/>
            </w:pPr>
            <w:r>
              <w:t xml:space="preserve">Cohorte simulada de una configuración concreta</w:t>
            </w:r>
          </w:p>
        </w:tc>
        <w:tc>
          <w:p>
            <w:pPr>
              <w:pStyle w:val="Compact"/>
              <w:jc w:val="left"/>
            </w:pPr>
            <w:r>
              <w:t xml:space="preserve">Cifras específicas de esta cohorte</w:t>
            </w:r>
          </w:p>
        </w:tc>
        <w:tc>
          <w:p>
            <w:pPr>
              <w:pStyle w:val="Compact"/>
              <w:jc w:val="left"/>
            </w:pPr>
            <w:r>
              <w:t xml:space="preserve">Replicar en datos reales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p>
            <w:pPr>
              <w:pStyle w:val="Compact"/>
              <w:jc w:val="left"/>
            </w:pPr>
            <w:r>
              <w:t xml:space="preserve">Asociaciones tratamiento–tipo/gravedad no causales</w:t>
            </w:r>
          </w:p>
        </w:tc>
        <w:tc>
          <w:p>
            <w:pPr>
              <w:pStyle w:val="Compact"/>
              <w:jc w:val="left"/>
            </w:pPr>
            <w:r>
              <w:t xml:space="preserve">Riesgo de sobreinterpretación</w:t>
            </w:r>
          </w:p>
        </w:tc>
        <w:tc>
          <w:p>
            <w:pPr>
              <w:pStyle w:val="Compact"/>
              <w:jc w:val="left"/>
            </w:pPr>
            <w:r>
              <w:t xml:space="preserve">Diseños causales; lectura asociativa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Modelo/evaluación</w:t>
            </w:r>
          </w:p>
        </w:tc>
        <w:tc>
          <w:p>
            <w:pPr>
              <w:pStyle w:val="Compact"/>
              <w:jc w:val="left"/>
            </w:pPr>
            <w:r>
              <w:t xml:space="preserve">AUC y Brier</w:t>
            </w:r>
            <w:r>
              <w:t xml:space="preserve"> </w:t>
            </w:r>
            <w:r>
              <w:rPr>
                <w:b/>
              </w:rPr>
              <w:t xml:space="preserve">dentro de muestra</w:t>
            </w:r>
          </w:p>
        </w:tc>
        <w:tc>
          <w:p>
            <w:pPr>
              <w:pStyle w:val="Compact"/>
              <w:jc w:val="left"/>
            </w:pPr>
            <w:r>
              <w:t xml:space="preserve">Optimismo posible</w:t>
            </w:r>
          </w:p>
        </w:tc>
        <w:tc>
          <w:p>
            <w:pPr>
              <w:pStyle w:val="Compact"/>
              <w:jc w:val="left"/>
            </w:pPr>
            <w:r>
              <w:t xml:space="preserve">Validación fuera de muestra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p>
            <w:pPr>
              <w:pStyle w:val="Compact"/>
              <w:jc w:val="left"/>
            </w:pPr>
            <w:r>
              <w:t xml:space="preserve">Censura administrativa por diseño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</w:t>
            </w:r>
            <w:r>
              <w:t xml:space="preserve"> </w:t>
            </w:r>
            <w:r>
              <w:t xml:space="preserve">es lectura marginal</w:t>
            </w:r>
          </w:p>
        </w:tc>
        <w:tc>
          <w:p>
            <w:pPr>
              <w:pStyle w:val="Compact"/>
              <w:jc w:val="left"/>
            </w:pPr>
            <w:r>
              <w:t xml:space="preserve">Complementar con supervivencia (P2)</w:t>
            </w:r>
          </w:p>
        </w:tc>
      </w:tr>
    </w:tbl>
    <w:p>
      <w:pPr>
        <w:pStyle w:val="Heading2"/>
      </w:pPr>
      <w:bookmarkStart w:id="48" w:name="riesgos-de-mala-interpretación"/>
      <w:r>
        <w:t xml:space="preserve">6.2. Riesgos de mala interpretación</w:t>
      </w:r>
      <w:bookmarkEnd w:id="48"/>
    </w:p>
    <w:p>
      <w:pPr>
        <w:pStyle w:val="FirstParagraph"/>
      </w:pPr>
      <w:r>
        <w:t xml:space="preserve">No debe afirmarse</w:t>
      </w:r>
      <w:r>
        <w:t xml:space="preserve"> </w:t>
      </w:r>
      <w:r>
        <w:rPr>
          <w:b/>
        </w:rPr>
        <w:t xml:space="preserve">causalidad</w:t>
      </w:r>
      <w:r>
        <w:t xml:space="preserve"> </w:t>
      </w:r>
      <w:r>
        <w:t xml:space="preserve">del tratamiento sobre el tipo o la gravedad (relación de indicación); no debe</w:t>
      </w:r>
      <w:r>
        <w:t xml:space="preserve"> </w:t>
      </w:r>
      <w:r>
        <w:rPr>
          <w:b/>
        </w:rPr>
        <w:t xml:space="preserve">generalizarse</w:t>
      </w:r>
      <w:r>
        <w:t xml:space="preserve"> </w:t>
      </w:r>
      <w:r>
        <w:t xml:space="preserve">fuera de la cohorte simulada; no debe confiarse en exceso en el</w:t>
      </w:r>
      <w:r>
        <w:t xml:space="preserve"> </w:t>
      </w:r>
      <w:r>
        <w:rPr>
          <w:b/>
        </w:rPr>
        <w:t xml:space="preserve">AUC</w:t>
      </w:r>
      <w:r>
        <w:t xml:space="preserve"> </w:t>
      </w:r>
      <w:r>
        <w:t xml:space="preserve">(medida in-sample); y no deben construirse</w:t>
      </w:r>
      <w:r>
        <w:t xml:space="preserve"> </w:t>
      </w:r>
      <w:r>
        <w:rPr>
          <w:b/>
        </w:rPr>
        <w:t xml:space="preserve">rankings tajantes de clínicas</w:t>
      </w:r>
      <w:r>
        <w:t xml:space="preserve"> </w:t>
      </w:r>
      <w:r>
        <w:t xml:space="preserve">a partir de efectos aleatorios con intervalos solapados.</w:t>
      </w:r>
    </w:p>
    <w:p>
      <w:pPr>
        <w:pStyle w:val="Heading2"/>
      </w:pPr>
      <w:bookmarkStart w:id="49" w:name="X8222d5ec3f2ec0c7b2543ab1040c0ff5752c238"/>
      <w:r>
        <w:t xml:space="preserve">6.3. Declaración responsable de uso de inteligencia artificial</w:t>
      </w:r>
      <w:bookmarkEnd w:id="49"/>
    </w:p>
    <w:tbl>
      <w:tblPr>
        <w:tblStyle w:val="Table"/>
        <w:tblW w:type="pct" w:w="500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Declaración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Herramientas utilizadas</w:t>
            </w:r>
          </w:p>
        </w:tc>
        <w:tc>
          <w:p>
            <w:pPr>
              <w:pStyle w:val="Compact"/>
              <w:jc w:val="left"/>
            </w:pPr>
            <w:r>
              <w:t xml:space="preserve">Asistente de IA Claude (Opus 4.8), julio de 2026, integrado en el flujo de trabajo del proyecto.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Tareas para las que se utilizó IA</w:t>
            </w:r>
          </w:p>
        </w:tc>
        <w:tc>
          <w:p>
            <w:pPr>
              <w:pStyle w:val="Compact"/>
              <w:jc w:val="left"/>
            </w:pPr>
            <w:r>
              <w:t xml:space="preserve">Estructuración del análisis, redacción del cuaderno Quarto reproducible, propuesta de código en R, borrador de interpretaciones y del presente informe, y organización de referencias.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Revisión humana realizada</w:t>
            </w:r>
          </w:p>
        </w:tc>
        <w:tc>
          <w:p>
            <w:pPr>
              <w:pStyle w:val="Compact"/>
              <w:jc w:val="left"/>
            </w:pPr>
            <w:r>
              <w:t xml:space="preserve">Todo el código se</w:t>
            </w:r>
            <w:r>
              <w:t xml:space="preserve"> </w:t>
            </w:r>
            <w:r>
              <w:rPr>
                <w:b/>
              </w:rPr>
              <w:t xml:space="preserve">ejecutó y renderizó</w:t>
            </w:r>
            <w:r>
              <w:t xml:space="preserve"> </w:t>
            </w:r>
            <w:r>
              <w:t xml:space="preserve">por el equipo; cada cifra del informe procede de esa salida verificada. Las interpretaciones se redactaron</w:t>
            </w:r>
            <w:r>
              <w:t xml:space="preserve"> </w:t>
            </w:r>
            <w:r>
              <w:rPr>
                <w:b/>
              </w:rPr>
              <w:t xml:space="preserve">tras</w:t>
            </w:r>
            <w:r>
              <w:t xml:space="preserve"> </w:t>
            </w:r>
            <w:r>
              <w:t xml:space="preserve">el render. Se corrigió al menos un error de código (colisión de</w:t>
            </w:r>
            <w:r>
              <w:t xml:space="preserve"> </w:t>
            </w:r>
            <w:r>
              <w:rPr>
                <w:rStyle w:val="VerbatimChar"/>
              </w:rPr>
              <w:t xml:space="preserve">slice</w:t>
            </w:r>
            <w:r>
              <w:t xml:space="preserve"> </w:t>
            </w:r>
            <w:r>
              <w:t xml:space="preserve">con el paquete</w:t>
            </w:r>
            <w:r>
              <w:t xml:space="preserve"> </w:t>
            </w:r>
            <w:r>
              <w:rPr>
                <w:rStyle w:val="VerbatimChar"/>
              </w:rPr>
              <w:t xml:space="preserve">ordinal</w:t>
            </w:r>
            <w:r>
              <w:t xml:space="preserve">) y se verificaron las</w:t>
            </w:r>
            <w:r>
              <w:t xml:space="preserve"> </w:t>
            </w:r>
            <w:r>
              <w:rPr>
                <w:b/>
              </w:rPr>
              <w:t xml:space="preserve">referencias APA 7</w:t>
            </w:r>
            <w:r>
              <w:t xml:space="preserve"> </w:t>
            </w:r>
            <w:r>
              <w:t xml:space="preserve">contra la bibliografía del proyecto (edición vigente de cada fuente).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Decisiones no delegadas en IA</w:t>
            </w:r>
          </w:p>
        </w:tc>
        <w:tc>
          <w:p>
            <w:pPr>
              <w:pStyle w:val="Compact"/>
              <w:jc w:val="left"/>
            </w:pPr>
            <w:r>
              <w:t xml:space="preserve">Elección metodológica, criterios de selección y validación, interpretación clínica, recomendaciones y conclusiones.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Errores/ajustes detectados</w:t>
            </w:r>
          </w:p>
        </w:tc>
        <w:tc>
          <w:p>
            <w:pPr>
              <w:pStyle w:val="Compact"/>
              <w:jc w:val="left"/>
            </w:pPr>
            <w:r>
              <w:t xml:space="preserve">La IA propuso inicialmente citas no presentes en la bibliografía (</w:t>
            </w:r>
            <w:r>
              <w:rPr>
                <w:rStyle w:val="VerbatimChar"/>
              </w:rPr>
              <w:t xml:space="preserve">singer2003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tutz2016</w:t>
            </w:r>
            <w:r>
              <w:t xml:space="preserve">), que se</w:t>
            </w:r>
            <w:r>
              <w:t xml:space="preserve"> </w:t>
            </w:r>
            <w:r>
              <w:rPr>
                <w:b/>
              </w:rPr>
              <w:t xml:space="preserve">descartaron</w:t>
            </w:r>
            <w:r>
              <w:t xml:space="preserve"> </w:t>
            </w:r>
            <w:r>
              <w:t xml:space="preserve">y sustituyeron por fuentes verificadas (Allison, 1982; Prentice &amp; Gloeckler, 1978). Se ajustaron llamadas de función enmascaradas entre paquetes.</w:t>
            </w:r>
          </w:p>
        </w:tc>
      </w:tr>
    </w:tbl>
    <w:p>
      <w:pPr>
        <w:pStyle w:val="BodyText"/>
      </w:pPr>
      <w:r>
        <w:rPr>
          <w:b/>
        </w:rPr>
        <w:t xml:space="preserve">Modelo de declaración.</w:t>
      </w:r>
      <w:r>
        <w:t xml:space="preserve"> </w:t>
      </w:r>
      <w:r>
        <w:t xml:space="preserve">En este proyecto se han utilizado herramientas de inteligencia artificial como apoyo para la estructuración, la programación en R, la redacción y la organización de referencias. Todas las salidas generadas han sido revisadas críticamente y verificadas contra la ejecución del código y las fuentes originales. La IA no ha sido fuente autónoma de resultados ni autora de las conclusiones; las decisiones metodológicas, la interpretación y las recomendaciones son responsabilidad del equipo.</w:t>
      </w:r>
    </w:p>
    <w:p>
      <w:pPr>
        <w:pStyle w:val="Heading1"/>
      </w:pPr>
      <w:bookmarkStart w:id="50" w:name="referencias"/>
      <w:r>
        <w:t xml:space="preserve">7. Referencias</w:t>
      </w:r>
      <w:bookmarkEnd w:id="50"/>
    </w:p>
    <w:p>
      <w:pPr>
        <w:pStyle w:val="FirstParagraph"/>
      </w:pPr>
      <w:r>
        <w:t xml:space="preserve">Agresti, A. (2013).</w:t>
      </w:r>
      <w:r>
        <w:t xml:space="preserve"> </w:t>
      </w:r>
      <w:r>
        <w:rPr>
          <w:i/>
        </w:rPr>
        <w:t xml:space="preserve">Categorical data analysis</w:t>
      </w:r>
      <w:r>
        <w:t xml:space="preserve"> </w:t>
      </w:r>
      <w:r>
        <w:t xml:space="preserve">(3.ª ed.). Wiley.</w:t>
      </w:r>
    </w:p>
    <w:p>
      <w:pPr>
        <w:pStyle w:val="BodyText"/>
      </w:pPr>
      <w:r>
        <w:t xml:space="preserve">Allison, P. D. (1982). Discrete-time methods for the analysis of event histories.</w:t>
      </w:r>
      <w:r>
        <w:t xml:space="preserve"> </w:t>
      </w:r>
      <w:r>
        <w:rPr>
          <w:i/>
        </w:rPr>
        <w:t xml:space="preserve">Sociological Methodology, 13</w:t>
      </w:r>
      <w:r>
        <w:t xml:space="preserve">, 61–98. https://doi.org/10.2307/270718</w:t>
      </w:r>
    </w:p>
    <w:p>
      <w:pPr>
        <w:pStyle w:val="BodyText"/>
      </w:pPr>
      <w:r>
        <w:t xml:space="preserve">Arel-Bundock, V., Greifer, N., &amp; Heiss, A. (2024). How to interpret statistical models using marginaleffects for R and Python.</w:t>
      </w:r>
      <w:r>
        <w:t xml:space="preserve"> </w:t>
      </w:r>
      <w:r>
        <w:rPr>
          <w:i/>
        </w:rPr>
        <w:t xml:space="preserve">Journal of Statistical Software, 111</w:t>
      </w:r>
      <w:r>
        <w:t xml:space="preserve">, 1–32.</w:t>
      </w:r>
    </w:p>
    <w:p>
      <w:pPr>
        <w:pStyle w:val="BodyText"/>
      </w:pPr>
      <w:r>
        <w:t xml:space="preserve">Bates, D., Mächler, M., Bolker, B., &amp; Walker, S. (2015). Fitting linear mixed-effects models using lme4.</w:t>
      </w:r>
      <w:r>
        <w:t xml:space="preserve"> </w:t>
      </w:r>
      <w:r>
        <w:rPr>
          <w:i/>
        </w:rPr>
        <w:t xml:space="preserve">Journal of Statistical Software, 67</w:t>
      </w:r>
      <w:r>
        <w:t xml:space="preserve">, 1–48. https://doi.org/10.18637/jss.v067.i01</w:t>
      </w:r>
    </w:p>
    <w:p>
      <w:pPr>
        <w:pStyle w:val="BodyText"/>
      </w:pPr>
      <w:r>
        <w:t xml:space="preserve">Christensen, R. H. B. (2023).</w:t>
      </w:r>
      <w:r>
        <w:t xml:space="preserve"> </w:t>
      </w:r>
      <w:r>
        <w:rPr>
          <w:i/>
        </w:rPr>
        <w:t xml:space="preserve">ordinal: Regression models for ordinal data</w:t>
      </w:r>
      <w:r>
        <w:t xml:space="preserve"> </w:t>
      </w:r>
      <w:r>
        <w:t xml:space="preserve">[Paquete de R].</w:t>
      </w:r>
    </w:p>
    <w:p>
      <w:pPr>
        <w:pStyle w:val="BodyText"/>
      </w:pPr>
      <w:r>
        <w:t xml:space="preserve">Cox, D. R. (1972). Regression models and life-tables.</w:t>
      </w:r>
      <w:r>
        <w:t xml:space="preserve"> </w:t>
      </w:r>
      <w:r>
        <w:rPr>
          <w:i/>
        </w:rPr>
        <w:t xml:space="preserve">Journal of the Royal Statistical Society: Series B (Methodological), 34</w:t>
      </w:r>
      <w:r>
        <w:t xml:space="preserve">, 187–202.</w:t>
      </w:r>
    </w:p>
    <w:p>
      <w:pPr>
        <w:pStyle w:val="BodyText"/>
      </w:pPr>
      <w:r>
        <w:t xml:space="preserve">Dobson, A. J., &amp; Barnett, A. G. (2018).</w:t>
      </w:r>
      <w:r>
        <w:t xml:space="preserve"> </w:t>
      </w:r>
      <w:r>
        <w:rPr>
          <w:i/>
        </w:rPr>
        <w:t xml:space="preserve">An introduction to generalized linear models</w:t>
      </w:r>
      <w:r>
        <w:t xml:space="preserve"> </w:t>
      </w:r>
      <w:r>
        <w:t xml:space="preserve">(4.ª ed.). Chapman and Hall/CRC.</w:t>
      </w:r>
    </w:p>
    <w:p>
      <w:pPr>
        <w:pStyle w:val="BodyText"/>
      </w:pPr>
      <w:r>
        <w:t xml:space="preserve">Gelman, A., &amp; Hill, J. (2007).</w:t>
      </w:r>
      <w:r>
        <w:t xml:space="preserve"> </w:t>
      </w:r>
      <w:r>
        <w:rPr>
          <w:i/>
        </w:rPr>
        <w:t xml:space="preserve">Data analysis using regression and multilevel/hierarchical models</w:t>
      </w:r>
      <w:r>
        <w:t xml:space="preserve">. Cambridge University Press.</w:t>
      </w:r>
    </w:p>
    <w:p>
      <w:pPr>
        <w:pStyle w:val="BodyText"/>
      </w:pPr>
      <w:r>
        <w:t xml:space="preserve">Hartig, F. (2024).</w:t>
      </w:r>
      <w:r>
        <w:t xml:space="preserve"> </w:t>
      </w:r>
      <w:r>
        <w:rPr>
          <w:i/>
        </w:rPr>
        <w:t xml:space="preserve">DHARMa: Residual diagnostics for hierarchical (multi-level / mixed) regression models</w:t>
      </w:r>
      <w:r>
        <w:t xml:space="preserve"> </w:t>
      </w:r>
      <w:r>
        <w:t xml:space="preserve">[Paquete de R, versión 0.5.0].</w:t>
      </w:r>
    </w:p>
    <w:p>
      <w:pPr>
        <w:pStyle w:val="BodyText"/>
      </w:pPr>
      <w:r>
        <w:t xml:space="preserve">Hosmer, D. W., Lemeshow, S., &amp; Sturdivant, R. X. (2013).</w:t>
      </w:r>
      <w:r>
        <w:t xml:space="preserve"> </w:t>
      </w:r>
      <w:r>
        <w:rPr>
          <w:i/>
        </w:rPr>
        <w:t xml:space="preserve">Applied logistic regression</w:t>
      </w:r>
      <w:r>
        <w:t xml:space="preserve"> </w:t>
      </w:r>
      <w:r>
        <w:t xml:space="preserve">(3.ª ed.). Wiley.</w:t>
      </w:r>
    </w:p>
    <w:p>
      <w:pPr>
        <w:pStyle w:val="BodyText"/>
      </w:pPr>
      <w:r>
        <w:t xml:space="preserve">Lüdecke, D., Ben-Shachar, M. S., Patil, I., Waggoner, P., &amp; Makowski, D. (2021). performance: An R package for assessment, comparison and testing of statistical models.</w:t>
      </w:r>
      <w:r>
        <w:t xml:space="preserve"> </w:t>
      </w:r>
      <w:r>
        <w:rPr>
          <w:i/>
        </w:rPr>
        <w:t xml:space="preserve">Journal of Open Source Software, 6</w:t>
      </w:r>
      <w:r>
        <w:t xml:space="preserve">, 3139.</w:t>
      </w:r>
    </w:p>
    <w:p>
      <w:pPr>
        <w:pStyle w:val="BodyText"/>
      </w:pPr>
      <w:r>
        <w:t xml:space="preserve">McCullagh, P., &amp; Nelder, J. A. (1989).</w:t>
      </w:r>
      <w:r>
        <w:t xml:space="preserve"> </w:t>
      </w:r>
      <w:r>
        <w:rPr>
          <w:i/>
        </w:rPr>
        <w:t xml:space="preserve">Generalized linear models</w:t>
      </w:r>
      <w:r>
        <w:t xml:space="preserve"> </w:t>
      </w:r>
      <w:r>
        <w:t xml:space="preserve">(2.ª ed.). Chapman and Hall/CRC.</w:t>
      </w:r>
    </w:p>
    <w:p>
      <w:pPr>
        <w:pStyle w:val="BodyText"/>
      </w:pPr>
      <w:r>
        <w:t xml:space="preserve">Nakagawa, S., Johnson, P. C. D., &amp; Schielzeth, H. (2017). The coefficient of determination R² and intra-class correlation coefficient from generalized linear mixed-effects models revisited and expanded.</w:t>
      </w:r>
      <w:r>
        <w:t xml:space="preserve"> </w:t>
      </w:r>
      <w:r>
        <w:rPr>
          <w:i/>
        </w:rPr>
        <w:t xml:space="preserve">Journal of the Royal Society Interface, 14</w:t>
      </w:r>
      <w:r>
        <w:t xml:space="preserve">, 20170213.</w:t>
      </w:r>
    </w:p>
    <w:p>
      <w:pPr>
        <w:pStyle w:val="BodyText"/>
      </w:pPr>
      <w:r>
        <w:t xml:space="preserve">Nelder, J. A., &amp; Wedderburn, R. W. M. (1972). Generalized linear models.</w:t>
      </w:r>
      <w:r>
        <w:t xml:space="preserve"> </w:t>
      </w:r>
      <w:r>
        <w:rPr>
          <w:i/>
        </w:rPr>
        <w:t xml:space="preserve">Journal of the Royal Statistical Society: Series A (General), 135</w:t>
      </w:r>
      <w:r>
        <w:t xml:space="preserve">, 370–384.</w:t>
      </w:r>
    </w:p>
    <w:p>
      <w:pPr>
        <w:pStyle w:val="BodyText"/>
      </w:pPr>
      <w:r>
        <w:t xml:space="preserve">Prentice, R. L., &amp; Gloeckler, L. A. (1978). Regression analysis of grouped survival data with application to breast cancer data.</w:t>
      </w:r>
      <w:r>
        <w:t xml:space="preserve"> </w:t>
      </w:r>
      <w:r>
        <w:rPr>
          <w:i/>
        </w:rPr>
        <w:t xml:space="preserve">Biometrics, 34</w:t>
      </w:r>
      <w:r>
        <w:t xml:space="preserve">, 57–67.</w:t>
      </w:r>
    </w:p>
    <w:p>
      <w:pPr>
        <w:pStyle w:val="BodyText"/>
      </w:pPr>
      <w:r>
        <w:t xml:space="preserve">R Core Team. (2024).</w:t>
      </w:r>
      <w:r>
        <w:t xml:space="preserve"> </w:t>
      </w:r>
      <w:r>
        <w:rPr>
          <w:i/>
        </w:rPr>
        <w:t xml:space="preserve">R: A language and environment for statistical computing</w:t>
      </w:r>
      <w:r>
        <w:t xml:space="preserve">. R Foundation for Statistical Computing.</w:t>
      </w:r>
    </w:p>
    <w:p>
      <w:pPr>
        <w:pStyle w:val="BodyText"/>
      </w:pPr>
      <w:r>
        <w:t xml:space="preserve">Robin, X., Turck, N., Hainard, A., Tiberti, N., Lisacek, F., Sanchez, J.-C., &amp; Müller, M. (2011). pROC: An open-source package for R and S+ to analyze and compare ROC curves.</w:t>
      </w:r>
      <w:r>
        <w:t xml:space="preserve"> </w:t>
      </w:r>
      <w:r>
        <w:rPr>
          <w:i/>
        </w:rPr>
        <w:t xml:space="preserve">BMC Bioinformatics, 12</w:t>
      </w:r>
      <w:r>
        <w:t xml:space="preserve">, 77.</w:t>
      </w:r>
    </w:p>
    <w:p>
      <w:pPr>
        <w:pStyle w:val="BodyText"/>
      </w:pPr>
      <w:r>
        <w:t xml:space="preserve">Venables, W. N., &amp; Ripley, B. D. (2002).</w:t>
      </w:r>
      <w:r>
        <w:t xml:space="preserve"> </w:t>
      </w:r>
      <w:r>
        <w:rPr>
          <w:i/>
        </w:rPr>
        <w:t xml:space="preserve">Modern applied statistics with S</w:t>
      </w:r>
      <w:r>
        <w:t xml:space="preserve"> </w:t>
      </w:r>
      <w:r>
        <w:t xml:space="preserve">(4.ª ed.). Springer. [Paquetes nnet y MASS].</w:t>
      </w:r>
    </w:p>
    <w:p>
      <w:pPr>
        <w:pStyle w:val="Heading1"/>
      </w:pPr>
      <w:bookmarkStart w:id="51" w:name="anexos"/>
      <w:r>
        <w:t xml:space="preserve">Anexos</w:t>
      </w:r>
      <w:bookmarkEnd w:id="51"/>
    </w:p>
    <w:p>
      <w:pPr>
        <w:pStyle w:val="FirstParagraph"/>
      </w:pPr>
      <w:r>
        <w:rPr>
          <w:b/>
        </w:rPr>
        <w:t xml:space="preserve">Anexo A. Diccionario de variables.</w:t>
      </w:r>
      <w:r>
        <w:t xml:space="preserve"> </w:t>
      </w:r>
      <w:r>
        <w:t xml:space="preserve">Véase §2.2.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(fragilidad ósea, continua estandarizada),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(tratamiento, 0/1),</w:t>
      </w:r>
      <w:r>
        <w:t xml:space="preserve"> </w:t>
      </w:r>
      <w:r>
        <w:rPr>
          <w:rStyle w:val="VerbatimChar"/>
        </w:rPr>
        <w:t xml:space="preserve">centro</w:t>
      </w:r>
      <w:r>
        <w:t xml:space="preserve"> </w:t>
      </w:r>
      <w:r>
        <w:t xml:space="preserve">(clínica, 24 niveles),</w:t>
      </w:r>
      <w:r>
        <w:t xml:space="preserve"> </w:t>
      </w:r>
      <w:r>
        <w:rPr>
          <w:rStyle w:val="VerbatimChar"/>
        </w:rPr>
        <w:t xml:space="preserve">ever</w:t>
      </w:r>
      <w:r>
        <w:t xml:space="preserve"> </w:t>
      </w:r>
      <w:r>
        <w:t xml:space="preserve">(fractura sí/no),</w:t>
      </w:r>
      <w:r>
        <w:t xml:space="preserve"> </w:t>
      </w:r>
      <w:r>
        <w:rPr>
          <w:rStyle w:val="VerbatimChar"/>
        </w:rPr>
        <w:t xml:space="preserve">tiempo</w:t>
      </w:r>
      <w:r>
        <w:t xml:space="preserve"> </w:t>
      </w:r>
      <w:r>
        <w:t xml:space="preserve">(periodo 1–6),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(fractura/censura),</w:t>
      </w:r>
      <w:r>
        <w:t xml:space="preserve"> </w:t>
      </w:r>
      <w:r>
        <w:rPr>
          <w:rStyle w:val="VerbatimChar"/>
        </w:rPr>
        <w:t xml:space="preserve">clase_nom</w:t>
      </w:r>
      <w:r>
        <w:t xml:space="preserve"> </w:t>
      </w:r>
      <w:r>
        <w:t xml:space="preserve">(A/B/C),</w:t>
      </w:r>
      <w:r>
        <w:t xml:space="preserve"> </w:t>
      </w:r>
      <w:r>
        <w:rPr>
          <w:rStyle w:val="VerbatimChar"/>
        </w:rPr>
        <w:t xml:space="preserve">sever_ord</w:t>
      </w:r>
      <w:r>
        <w:t xml:space="preserve"> </w:t>
      </w:r>
      <w:r>
        <w:t xml:space="preserve">(Leve&lt;Moderado&lt;Grave).</w:t>
      </w:r>
    </w:p>
    <w:p>
      <w:pPr>
        <w:pStyle w:val="BodyText"/>
      </w:pPr>
      <w:r>
        <w:rPr>
          <w:b/>
        </w:rPr>
        <w:t xml:space="preserve">Anexo B. Base de datos utilizada.</w:t>
      </w:r>
      <w:r>
        <w:t xml:space="preserve"> </w:t>
      </w:r>
      <w:r>
        <w:t xml:space="preserve">Cohorte simulada del equipo_10:</w:t>
      </w:r>
      <w:r>
        <w:t xml:space="preserve"> </w:t>
      </w:r>
      <w:r>
        <w:rPr>
          <w:rStyle w:val="VerbatimChar"/>
        </w:rPr>
        <w:t xml:space="preserve">caso1/datos_equipos/equipo_10/cohorte.rds</w:t>
      </w:r>
      <w:r>
        <w:t xml:space="preserve"> </w:t>
      </w:r>
      <w:r>
        <w:t xml:space="preserve">(nivel individuo) y</w:t>
      </w:r>
      <w:r>
        <w:t xml:space="preserve"> </w:t>
      </w:r>
      <w:r>
        <w:rPr>
          <w:rStyle w:val="VerbatimChar"/>
        </w:rPr>
        <w:t xml:space="preserve">pp.rds</w:t>
      </w:r>
      <w:r>
        <w:t xml:space="preserve"> </w:t>
      </w:r>
      <w:r>
        <w:t xml:space="preserve">(persona-periodo). Proceso generador en</w:t>
      </w:r>
      <w:r>
        <w:t xml:space="preserve"> </w:t>
      </w:r>
      <w:r>
        <w:rPr>
          <w:rStyle w:val="VerbatimChar"/>
        </w:rPr>
        <w:t xml:space="preserve">caso1/R/dgp_cohorte.R</w:t>
      </w:r>
      <w:r>
        <w:t xml:space="preserve">; la</w:t>
      </w:r>
      <w:r>
        <w:t xml:space="preserve"> </w:t>
      </w:r>
      <w:r>
        <w:t xml:space="preserve">“</w:t>
      </w:r>
      <w:r>
        <w:t xml:space="preserve">verdad</w:t>
      </w:r>
      <w:r>
        <w:t xml:space="preserve">”</w:t>
      </w:r>
      <w:r>
        <w:t xml:space="preserve"> </w:t>
      </w:r>
      <w:r>
        <w:t xml:space="preserve">del DGP está en</w:t>
      </w:r>
      <w:r>
        <w:t xml:space="preserve"> </w:t>
      </w:r>
      <w:r>
        <w:rPr>
          <w:rStyle w:val="VerbatimChar"/>
        </w:rPr>
        <w:t xml:space="preserve">attr(cohorte, "verdad")</w:t>
      </w:r>
      <w:r>
        <w:t xml:space="preserve">.</w:t>
      </w:r>
    </w:p>
    <w:p>
      <w:pPr>
        <w:pStyle w:val="BodyText"/>
      </w:pPr>
      <w:r>
        <w:rPr>
          <w:b/>
        </w:rPr>
        <w:t xml:space="preserve">Anexo C. Código o cuaderno reproducible.</w:t>
      </w:r>
      <w:r>
        <w:t xml:space="preserve"> </w:t>
      </w:r>
      <w:r>
        <w:t xml:space="preserve">Cuaderno Quarto autocontenido</w:t>
      </w:r>
      <w:r>
        <w:t xml:space="preserve"> </w:t>
      </w:r>
      <w:r>
        <w:rPr>
          <w:rStyle w:val="VerbatimChar"/>
        </w:rPr>
        <w:t xml:space="preserve">caso1/resolucion_ec1/informe_osteored_ec1.qmd</w:t>
      </w:r>
      <w:r>
        <w:t xml:space="preserve">, que corre de principio a fin y genera el HTML con todas las tablas y figuras.</w:t>
      </w:r>
    </w:p>
    <w:p>
      <w:pPr>
        <w:pStyle w:val="BodyText"/>
      </w:pPr>
      <w:r>
        <w:rPr>
          <w:b/>
        </w:rPr>
        <w:t xml:space="preserve">Anexo D. Reproducibilidad.</w:t>
      </w:r>
      <w:r>
        <w:t xml:space="preserve"> </w:t>
      </w:r>
      <w:r>
        <w:t xml:space="preserve">Semilla del curso</w:t>
      </w:r>
      <w:r>
        <w:t xml:space="preserve"> </w:t>
      </w:r>
      <w:r>
        <w:rPr>
          <w:rStyle w:val="VerbatimChar"/>
        </w:rPr>
        <w:t xml:space="preserve">20252026</w:t>
      </w:r>
      <w:r>
        <w:t xml:space="preserve">. Entorno: R 4.6.0; paquetes principales tidyverse, broom(.mixed), marginaleffects, car, performance, DHARMa, pROC, lme4, MASS, nnet, ordinal, survival (versiones en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del cuaderno). Para reproducir: abrir el proyecto GLM (con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), situar el directorio en</w:t>
      </w:r>
      <w:r>
        <w:t xml:space="preserve"> </w:t>
      </w:r>
      <w:r>
        <w:rPr>
          <w:rStyle w:val="VerbatimChar"/>
        </w:rPr>
        <w:t xml:space="preserve">caso1/resolucion_ec1/</w:t>
      </w:r>
      <w:r>
        <w:t xml:space="preserve"> </w:t>
      </w:r>
      <w:r>
        <w:t xml:space="preserve">y ejecutar</w:t>
      </w:r>
      <w:r>
        <w:t xml:space="preserve"> </w:t>
      </w:r>
      <w:r>
        <w:rPr>
          <w:rStyle w:val="VerbatimChar"/>
        </w:rPr>
        <w:t xml:space="preserve">quarto::quarto_render("informe_osteored_ec1.qmd")</w:t>
      </w:r>
      <w:r>
        <w:t xml:space="preserve">.</w:t>
      </w:r>
    </w:p>
    <w:p>
      <w:pPr>
        <w:pStyle w:val="BodyText"/>
      </w:pPr>
      <w:r>
        <w:rPr>
          <w:b/>
        </w:rPr>
        <w:t xml:space="preserve">Anexo E. Control de calidad frente al DGP (resumen).</w:t>
      </w:r>
      <w:r>
        <w:t xml:space="preserve"> </w:t>
      </w:r>
      <w:r>
        <w:t xml:space="preserve">Binaria/tiempo (cloglog, GLMM): β_x1 = 0,84 (verdad 0,80), β_x2 = −0,87 (−0,65), σ_u = 0,49 (0,40). Nominal (multinom): recuperación casi exacta de los coeficientes B|A y C|A. Ordinal (clmm): β_x1 = 0,79 (0,70), β_x2 = −0,83 (−0,70), σ_w = 0,64 (0,60). Patrón consistente: el efecto protector del tratamiento se estima algo más marcado que el verdadero en esta cohorte.</w:t>
      </w:r>
    </w:p>
    <w:p>
      <w:pPr>
        <w:pStyle w:val="BodyText"/>
      </w:pPr>
      <w:r>
        <w:rPr>
          <w:b/>
        </w:rPr>
        <w:t xml:space="preserve">Anexo F. Prompts relevantes de IA.</w:t>
      </w:r>
      <w:r>
        <w:t xml:space="preserve"> </w:t>
      </w:r>
      <w:r>
        <w:t xml:space="preserve">Encargo inicial:</w:t>
      </w:r>
      <w:r>
        <w:t xml:space="preserve"> </w:t>
      </w:r>
      <w:r>
        <w:t xml:space="preserve">“</w:t>
      </w:r>
      <w:r>
        <w:t xml:space="preserve">Aborda la resolución de las tareas del estudio de caso 1 para el primer banco de datos simulado; crea una carpeta</w:t>
      </w:r>
      <w:r>
        <w:t xml:space="preserve"> </w:t>
      </w:r>
      <w:r>
        <w:rPr>
          <w:rStyle w:val="VerbatimChar"/>
        </w:rPr>
        <w:t xml:space="preserve">resolucion_ec1</w:t>
      </w:r>
      <w:r>
        <w:t xml:space="preserve">, resuelve una a una cada pregunta con las modelizaciones pertinentes en un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autocontenido, y al final elabora un informe técnico en Word con la plantilla, con citas APA 7 y sin inventar</w:t>
      </w:r>
      <w:r>
        <w:t xml:space="preserve">”</w:t>
      </w:r>
      <w:r>
        <w:t xml:space="preserve">. Instrucciones transversales del proyecto: citar fuentes originales en su edición vigente, marcar con [VERIFICAR] lo no confirmado y trabajar en español con nomenclatura de 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Informe técnico · Versión para cumplimentar por el alumnado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COMUNICACIÓN CCDATOS · Plantillas de informes basados en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qFormat/>
    <w:tblPr>
      <w:tblInd w:w="0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Compact">
    <w:name w:val="Compact"/>
    <w:basedOn w:val="Normal"/>
    <w:qFormat/>
    <w:pPr>
      <w:spacing w:before="20" w:after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Riesgo de fractura en la red OsteoRed</dc:title>
  <dc:creator>A. Martínez Mayoral (solución de referencia del profesorado)</dc:creator>
  <dc:language>es</dc:language>
  <cp:keywords/>
  <dcterms:created xsi:type="dcterms:W3CDTF">2026-07-22T10:24:23Z</dcterms:created>
  <dcterms:modified xsi:type="dcterms:W3CDTF">2026-07-22T10:24:23Z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julio de 2026</vt:lpwstr>
  </property>
  <property fmtid="{D5CDD505-2E9C-101B-9397-08002B2CF9AE}" pid="3" name="subtitle">
    <vt:lpwstr>Estudio de caso 1 · Cohorte del equipo_10</vt:lpwstr>
  </property>
</Properties>
</file>