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25.png" ContentType="image/png"/>
  <Override PartName="/word/media/rId20.png" ContentType="image/png"/>
  <Override PartName="/word/media/rId3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</w:t>
      </w:r>
      <w:r>
        <w:t xml:space="preserve"> </w:t>
      </w:r>
      <w:r>
        <w:t xml:space="preserve">técnico</w:t>
      </w:r>
      <w:r>
        <w:t xml:space="preserve"> </w:t>
      </w:r>
      <w:r>
        <w:t xml:space="preserve">—</w:t>
      </w:r>
      <w:r>
        <w:t xml:space="preserve"> </w:t>
      </w:r>
      <w:r>
        <w:t xml:space="preserve">Riesgo</w:t>
      </w:r>
      <w:r>
        <w:t xml:space="preserve"> </w:t>
      </w:r>
      <w:r>
        <w:t xml:space="preserve">de</w:t>
      </w:r>
      <w:r>
        <w:t xml:space="preserve"> </w:t>
      </w:r>
      <w:r>
        <w:t xml:space="preserve">fractura</w:t>
      </w:r>
      <w:r>
        <w:t xml:space="preserve"> </w:t>
      </w:r>
      <w:r>
        <w:t xml:space="preserve">en</w:t>
      </w:r>
      <w:r>
        <w:t xml:space="preserve"> </w:t>
      </w:r>
      <w:r>
        <w:t xml:space="preserve">la</w:t>
      </w:r>
      <w:r>
        <w:t xml:space="preserve"> </w:t>
      </w:r>
      <w:r>
        <w:t xml:space="preserve">red</w:t>
      </w:r>
      <w:r>
        <w:t xml:space="preserve"> </w:t>
      </w:r>
      <w:r>
        <w:t xml:space="preserve">OsteoRed</w:t>
      </w:r>
    </w:p>
    <w:p>
      <w:pPr>
        <w:pStyle w:val="Subtitle"/>
      </w:pPr>
      <w:r>
        <w:t xml:space="preserve">Estudio</w:t>
      </w:r>
      <w:r>
        <w:t xml:space="preserve"> </w:t>
      </w:r>
      <w:r>
        <w:t xml:space="preserve">de</w:t>
      </w:r>
      <w:r>
        <w:t xml:space="preserve"> </w:t>
      </w:r>
      <w:r>
        <w:t xml:space="preserve">caso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Cohorte</w:t>
      </w:r>
      <w:r>
        <w:t xml:space="preserve"> </w:t>
      </w:r>
      <w:r>
        <w:t xml:space="preserve">del</w:t>
      </w:r>
      <w:r>
        <w:t xml:space="preserve"> </w:t>
      </w:r>
      <w:r>
        <w:t xml:space="preserve">equipo_10</w:t>
      </w:r>
      <w:r>
        <w:t xml:space="preserve"> </w:t>
      </w:r>
      <w:r>
        <w:t xml:space="preserve">—</w:t>
      </w:r>
      <w:r>
        <w:t xml:space="preserve"> </w:t>
      </w:r>
      <w:r>
        <w:t xml:space="preserve">Modelos</w:t>
      </w:r>
      <w:r>
        <w:t xml:space="preserve"> </w:t>
      </w:r>
      <w:r>
        <w:t xml:space="preserve">Lineales</w:t>
      </w:r>
      <w:r>
        <w:t xml:space="preserve"> </w:t>
      </w:r>
      <w:r>
        <w:t xml:space="preserve">Generalizados</w:t>
      </w:r>
      <w:r>
        <w:t xml:space="preserve"> </w:t>
      </w:r>
      <w:r>
        <w:t xml:space="preserve">con</w:t>
      </w:r>
      <w:r>
        <w:t xml:space="preserve"> </w:t>
      </w:r>
      <w:r>
        <w:t xml:space="preserve">R</w:t>
      </w:r>
    </w:p>
    <w:p>
      <w:pPr>
        <w:pStyle w:val="Author"/>
      </w:pPr>
      <w:r>
        <w:t xml:space="preserve">A.</w:t>
      </w:r>
      <w:r>
        <w:t xml:space="preserve"> </w:t>
      </w:r>
      <w:r>
        <w:t xml:space="preserve">Martínez</w:t>
      </w:r>
      <w:r>
        <w:t xml:space="preserve"> </w:t>
      </w:r>
      <w:r>
        <w:t xml:space="preserve">Mayoral</w:t>
      </w:r>
      <w:r>
        <w:t xml:space="preserve"> </w:t>
      </w:r>
      <w:r>
        <w:t xml:space="preserve">(solución</w:t>
      </w:r>
      <w:r>
        <w:t xml:space="preserve"> </w:t>
      </w:r>
      <w:r>
        <w:t xml:space="preserve">de</w:t>
      </w:r>
      <w:r>
        <w:t xml:space="preserve"> </w:t>
      </w:r>
      <w:r>
        <w:t xml:space="preserve">referencia</w:t>
      </w:r>
      <w:r>
        <w:t xml:space="preserve"> </w:t>
      </w:r>
      <w:r>
        <w:t xml:space="preserve">del</w:t>
      </w:r>
      <w:r>
        <w:t xml:space="preserve"> </w:t>
      </w:r>
      <w:r>
        <w:t xml:space="preserve">profesorado)</w:t>
      </w:r>
    </w:p>
    <w:p>
      <w:pPr>
        <w:pStyle w:val="Date"/>
      </w:pPr>
      <w:r>
        <w:t xml:space="preserve">22/7/26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</w:t>
          </w:r>
          <w:r>
            <w:t xml:space="preserve"> </w:t>
          </w:r>
          <w:r>
            <w:t xml:space="preserve">de</w:t>
          </w:r>
          <w:r>
            <w:t xml:space="preserve"> </w:t>
          </w: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Idea fuerza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 informe técnico no es un volcado de código: documenta y justifica las decisiones</w:t>
            </w:r>
            <w:r>
              <w:t xml:space="preserve"> </w:t>
            </w:r>
            <w:r>
              <w:t xml:space="preserve">necesarias para evaluar, auditar y reutilizar el análisis.</w:t>
            </w:r>
          </w:p>
        </w:tc>
      </w:tr>
    </w:tbl>
    <w:bookmarkStart w:id="23" w:name="datos-de-la-entrega"/>
    <w:p>
      <w:pPr>
        <w:pStyle w:val="Heading2"/>
      </w:pPr>
      <w:r>
        <w:t xml:space="preserve">Datos de la entrega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¿Ocurre la fractura? ¿Y cuándo? Riesgo, plazos, tipo y gravedad en la red OsteoRed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Martínez Mayoral (solución de referencia del profesorado)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Asignatura / titulación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Lineales Generalizados con R · 3.er curso, Grado en Ciencia de Datos e IA (6 ECTS)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 académico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2025–2026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Martínez Mayoral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 destinataria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médica de OsteoRed (recomendaciones) y profesorado / equipo técnico (auditoría y reproducción)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 /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· 22/07/2026</w:t>
            </w:r>
          </w:p>
        </w:tc>
      </w:tr>
    </w:tbl>
    <w:bookmarkEnd w:id="23"/>
    <w:bookmarkStart w:id="24" w:name="resumen-técnico"/>
    <w:p>
      <w:pPr>
        <w:pStyle w:val="Heading1"/>
      </w:pPr>
      <w:r>
        <w:t xml:space="preserve">1. Resumen técnico</w:t>
      </w:r>
    </w:p>
    <w:p>
      <w:pPr>
        <w:pStyle w:val="FirstParagraph"/>
      </w:pPr>
      <w:r>
        <w:t xml:space="preserve">La dirección de</w:t>
      </w:r>
      <w:r>
        <w:t xml:space="preserve"> </w:t>
      </w:r>
      <w:r>
        <w:rPr>
          <w:bCs/>
          <w:b/>
        </w:rPr>
        <w:t xml:space="preserve">OsteoRed</w:t>
      </w:r>
      <w:r>
        <w:t xml:space="preserve">, red de 24 clínicas de salud ósea, siguió durante seis años (hasta seis</w:t>
      </w:r>
      <w:r>
        <w:t xml:space="preserve"> </w:t>
      </w:r>
      <w:r>
        <w:t xml:space="preserve">revisiones anuales) a una cohorte de</w:t>
      </w:r>
      <w:r>
        <w:t xml:space="preserve"> </w:t>
      </w:r>
      <w:r>
        <w:rPr>
          <w:bCs/>
          <w:b/>
        </w:rPr>
        <w:t xml:space="preserve">893 mujeres</w:t>
      </w:r>
      <w:r>
        <w:t xml:space="preserve"> </w:t>
      </w:r>
      <w:r>
        <w:t xml:space="preserve">para decidir a quién vigilar, con qué frecuencia</w:t>
      </w:r>
      <w:r>
        <w:t xml:space="preserve"> </w:t>
      </w:r>
      <w:r>
        <w:t xml:space="preserve">citarla, cómo usar el tratamiento y qué esperar de cada clínica. De cada paciente se dispone de su</w:t>
      </w:r>
      <w:r>
        <w:t xml:space="preserve"> </w:t>
      </w:r>
      <w:r>
        <w:rPr>
          <w:bCs/>
          <w:b/>
        </w:rPr>
        <w:t xml:space="preserve">fragilidad ósea</w:t>
      </w:r>
      <w:r>
        <w:t xml:space="preserve"> </w:t>
      </w:r>
      <w:r>
        <w:t xml:space="preserve">(</w:t>
      </w:r>
      <w:r>
        <w:rPr>
          <w:rStyle w:val="VerbatimChar"/>
        </w:rPr>
        <w:t xml:space="preserve">x1</w:t>
      </w:r>
      <w:r>
        <w:t xml:space="preserve">, densidad mineral estandarizada), del</w:t>
      </w:r>
      <w:r>
        <w:t xml:space="preserve"> </w:t>
      </w:r>
      <w:r>
        <w:rPr>
          <w:bCs/>
          <w:b/>
        </w:rPr>
        <w:t xml:space="preserve">tratamiento preventivo</w:t>
      </w:r>
      <w:r>
        <w:t xml:space="preserve"> </w:t>
      </w:r>
      <w:r>
        <w:t xml:space="preserve">(</w:t>
      </w:r>
      <w:r>
        <w:rPr>
          <w:rStyle w:val="VerbatimChar"/>
        </w:rPr>
        <w:t xml:space="preserve">x2</w:t>
      </w:r>
      <w:r>
        <w:t xml:space="preserve">), de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clínica</w:t>
      </w:r>
      <w:r>
        <w:t xml:space="preserve"> </w:t>
      </w:r>
      <w:r>
        <w:t xml:space="preserve">(</w:t>
      </w:r>
      <w:r>
        <w:rPr>
          <w:rStyle w:val="VerbatimChar"/>
        </w:rPr>
        <w:t xml:space="preserve">centro</w:t>
      </w:r>
      <w:r>
        <w:t xml:space="preserve">), del desenlace de fractura y su momento (</w:t>
      </w:r>
      <w:r>
        <w:rPr>
          <w:rStyle w:val="VerbatimChar"/>
        </w:rPr>
        <w:t xml:space="preserve">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tiempo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) y —de</w:t>
      </w:r>
      <w:r>
        <w:t xml:space="preserve"> </w:t>
      </w:r>
      <w:r>
        <w:t xml:space="preserve">forma basal— del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clase_nom</w:t>
      </w:r>
      <w:r>
        <w:t xml:space="preserve">: A/B/C) y la</w:t>
      </w:r>
      <w:r>
        <w:t xml:space="preserve"> </w:t>
      </w:r>
      <w:r>
        <w:rPr>
          <w:bCs/>
          <w:b/>
        </w:rPr>
        <w:t xml:space="preserve">gravedad</w:t>
      </w:r>
      <w:r>
        <w:t xml:space="preserve"> </w:t>
      </w:r>
      <w:r>
        <w:t xml:space="preserve">(</w:t>
      </w:r>
      <w:r>
        <w:rPr>
          <w:rStyle w:val="VerbatimChar"/>
        </w:rPr>
        <w:t xml:space="preserve">sever_ord</w:t>
      </w:r>
      <w:r>
        <w:t xml:space="preserve">). La cohorte es</w:t>
      </w:r>
      <w:r>
        <w:t xml:space="preserve"> </w:t>
      </w:r>
      <w:r>
        <w:rPr>
          <w:bCs/>
          <w:b/>
        </w:rPr>
        <w:t xml:space="preserve">simulada</w:t>
      </w:r>
      <w:r>
        <w:t xml:space="preserve"> </w:t>
      </w:r>
      <w:r>
        <w:t xml:space="preserve">con un proceso generador de datos (DGP) conocido, lo que habilita un control de calidad</w:t>
      </w:r>
      <w:r>
        <w:t xml:space="preserve"> </w:t>
      </w:r>
      <w:r>
        <w:t xml:space="preserve">final frente a la</w:t>
      </w:r>
      <w:r>
        <w:t xml:space="preserve"> </w:t>
      </w:r>
      <w:r>
        <w:t xml:space="preserve">“</w:t>
      </w:r>
      <w:r>
        <w:t xml:space="preserve">verdad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Cada pregunta de la dirección se tradujo a un objetivo analítico y al</w:t>
      </w:r>
      <w:r>
        <w:t xml:space="preserve"> </w:t>
      </w:r>
      <w:r>
        <w:rPr>
          <w:bCs/>
          <w:b/>
        </w:rPr>
        <w:t xml:space="preserve">modelo lineal generalizado</w:t>
      </w:r>
      <w:r>
        <w:t xml:space="preserve"> </w:t>
      </w:r>
      <w:r>
        <w:t xml:space="preserve">adecuado a su tipo de respuesta:</w:t>
      </w:r>
      <w:r>
        <w:t xml:space="preserve"> </w:t>
      </w:r>
      <w:r>
        <w:rPr>
          <w:bCs/>
          <w:b/>
        </w:rPr>
        <w:t xml:space="preserve">regresión logística</w:t>
      </w:r>
      <w:r>
        <w:t xml:space="preserve"> </w:t>
      </w:r>
      <w:r>
        <w:t xml:space="preserve">para el riesgo binario</w:t>
      </w:r>
      <w:r>
        <w:t xml:space="preserve"> </w:t>
      </w:r>
      <w:r>
        <w:t xml:space="preserve">(Dobson &amp; Barnett, 2018; Hosmer et al., 2013)</w:t>
      </w:r>
      <w:r>
        <w:t xml:space="preserve">,</w:t>
      </w:r>
      <w:r>
        <w:t xml:space="preserve"> </w:t>
      </w:r>
      <w:r>
        <w:rPr>
          <w:bCs/>
          <w:b/>
        </w:rPr>
        <w:t xml:space="preserve">riesgo en tiempo discreto con enlace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cloglog</w:t>
      </w:r>
      <w:r>
        <w:t xml:space="preserve"> </w:t>
      </w:r>
      <w:r>
        <w:t xml:space="preserve">sobre datos persona-periodo para el</w:t>
      </w:r>
      <w:r>
        <w:t xml:space="preserve"> </w:t>
      </w:r>
      <w:r>
        <w:t xml:space="preserve">“</w:t>
      </w:r>
      <w:r>
        <w:t xml:space="preserve">cuándo</w:t>
      </w:r>
      <w:r>
        <w:t xml:space="preserve">”</w:t>
      </w:r>
      <w:r>
        <w:t xml:space="preserve"> </w:t>
      </w:r>
      <w:r>
        <w:t xml:space="preserve">(Allison, 1982; Prentice &amp; Gloeckler, 1978)</w:t>
      </w:r>
      <w:r>
        <w:t xml:space="preserve">,</w:t>
      </w:r>
      <w:r>
        <w:t xml:space="preserve"> </w:t>
      </w:r>
      <w:r>
        <w:rPr>
          <w:bCs/>
          <w:b/>
        </w:rPr>
        <w:t xml:space="preserve">logit multinomial</w:t>
      </w:r>
      <w:r>
        <w:t xml:space="preserve"> </w:t>
      </w:r>
      <w:r>
        <w:t xml:space="preserve">para el tipo</w:t>
      </w:r>
      <w:r>
        <w:t xml:space="preserve"> </w:t>
      </w:r>
      <w:r>
        <w:t xml:space="preserve">(Agresti, 2013)</w:t>
      </w:r>
      <w:r>
        <w:t xml:space="preserve">,</w:t>
      </w:r>
      <w:r>
        <w:t xml:space="preserve"> </w:t>
      </w:r>
      <w:r>
        <w:rPr>
          <w:bCs/>
          <w:b/>
        </w:rPr>
        <w:t xml:space="preserve">logit</w:t>
      </w:r>
      <w:r>
        <w:rPr>
          <w:bCs/>
          <w:b/>
        </w:rPr>
        <w:t xml:space="preserve"> </w:t>
      </w:r>
      <w:r>
        <w:rPr>
          <w:bCs/>
          <w:b/>
        </w:rPr>
        <w:t xml:space="preserve">acumulado de odds proporcionales</w:t>
      </w:r>
      <w:r>
        <w:t xml:space="preserve"> </w:t>
      </w:r>
      <w:r>
        <w:t xml:space="preserve">para la gravedad y</w:t>
      </w:r>
      <w:r>
        <w:t xml:space="preserve"> </w:t>
      </w:r>
      <w:r>
        <w:rPr>
          <w:bCs/>
          <w:b/>
        </w:rPr>
        <w:t xml:space="preserve">modelo mixto</w:t>
      </w:r>
      <w:r>
        <w:t xml:space="preserve"> </w:t>
      </w:r>
      <w:r>
        <w:t xml:space="preserve">con intercepto aleatorio por</w:t>
      </w:r>
      <w:r>
        <w:t xml:space="preserve"> </w:t>
      </w:r>
      <w:r>
        <w:t xml:space="preserve">clínica para el peso del centro</w:t>
      </w:r>
      <w:r>
        <w:t xml:space="preserve"> </w:t>
      </w:r>
      <w:r>
        <w:t xml:space="preserve">(Bates et al., 2015)</w:t>
      </w:r>
      <w:r>
        <w:t xml:space="preserve">. Cada análisis incorpora diagnóstico, selección por</w:t>
      </w:r>
      <w:r>
        <w:t xml:space="preserve"> </w:t>
      </w:r>
      <w:r>
        <w:t xml:space="preserve">verosimilitud (LRT, AIC/BIC) e interpretación en la escala del cliente.</w:t>
      </w:r>
    </w:p>
    <w:p>
      <w:pPr>
        <w:pStyle w:val="BodyText"/>
      </w:pPr>
      <w:r>
        <w:rPr>
          <w:bCs/>
          <w:b/>
        </w:rPr>
        <w:t xml:space="preserve">Hallazgos.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fragilidad ósea es el factor dominante</w:t>
      </w:r>
      <w:r>
        <w:t xml:space="preserve"> </w:t>
      </w:r>
      <w:r>
        <w:t xml:space="preserve">(cada desviación típica multiplica por</w:t>
      </w:r>
      <w:r>
        <w:t xml:space="preserve"> </w:t>
      </w:r>
      <w:r>
        <w:t xml:space="preserve">2,6 las odds de fractura y por 2,2 el riesgo instantáneo). El</w:t>
      </w:r>
      <w:r>
        <w:t xml:space="preserve"> </w:t>
      </w:r>
      <w:r>
        <w:rPr>
          <w:bCs/>
          <w:b/>
        </w:rPr>
        <w:t xml:space="preserve">tratamiento reduce el riesgo de forma</w:t>
      </w:r>
      <w:r>
        <w:rPr>
          <w:bCs/>
          <w:b/>
        </w:rPr>
        <w:t xml:space="preserve"> </w:t>
      </w:r>
      <w:r>
        <w:rPr>
          <w:bCs/>
          <w:b/>
        </w:rPr>
        <w:t xml:space="preserve">sustancial y homogénea</w:t>
      </w:r>
      <w:r>
        <w:t xml:space="preserve"> </w:t>
      </w:r>
      <w:r>
        <w:t xml:space="preserve">(odds a 0,39; hazard a 0,44) y</w:t>
      </w:r>
      <w:r>
        <w:t xml:space="preserve"> </w:t>
      </w:r>
      <w:r>
        <w:rPr>
          <w:bCs/>
          <w:b/>
        </w:rPr>
        <w:t xml:space="preserve">retrasa</w:t>
      </w:r>
      <w:r>
        <w:t xml:space="preserve"> </w:t>
      </w:r>
      <w:r>
        <w:t xml:space="preserve">la fractura de manera proporcional</w:t>
      </w:r>
      <w:r>
        <w:t xml:space="preserve"> </w:t>
      </w:r>
      <w:r>
        <w:t xml:space="preserve">en el tiempo; su beneficio absoluto crece con la fragilidad. El riesgo</w:t>
      </w:r>
      <w:r>
        <w:t xml:space="preserve"> </w:t>
      </w:r>
      <w:r>
        <w:rPr>
          <w:bCs/>
          <w:b/>
        </w:rPr>
        <w:t xml:space="preserve">no se concentra en un año</w:t>
      </w:r>
      <w:r>
        <w:t xml:space="preserve"> </w:t>
      </w:r>
      <w:r>
        <w:t xml:space="preserve">(hazard sostenido ≈7–10 % anual), lo que justifica</w:t>
      </w:r>
      <w:r>
        <w:t xml:space="preserve"> </w:t>
      </w:r>
      <w:r>
        <w:rPr>
          <w:bCs/>
          <w:b/>
        </w:rPr>
        <w:t xml:space="preserve">mantener la revisión anual</w:t>
      </w:r>
      <w:r>
        <w:t xml:space="preserve">. El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de</w:t>
      </w:r>
      <w:r>
        <w:t xml:space="preserve"> </w:t>
      </w:r>
      <w:r>
        <w:t xml:space="preserve">fractura solo se anticipa de forma limitada (acierto ~50 %). La</w:t>
      </w:r>
      <w:r>
        <w:t xml:space="preserve"> </w:t>
      </w:r>
      <w:r>
        <w:rPr>
          <w:bCs/>
          <w:b/>
        </w:rPr>
        <w:t xml:space="preserve">gravedad</w:t>
      </w:r>
      <w:r>
        <w:t xml:space="preserve"> </w:t>
      </w:r>
      <w:r>
        <w:t xml:space="preserve">basal sube con la</w:t>
      </w:r>
      <w:r>
        <w:t xml:space="preserve"> </w:t>
      </w:r>
      <w:r>
        <w:t xml:space="preserve">fragilidad y se asocia a grados más leves en las tratadas. El</w:t>
      </w:r>
      <w:r>
        <w:t xml:space="preserve"> </w:t>
      </w:r>
      <w:r>
        <w:rPr>
          <w:bCs/>
          <w:b/>
        </w:rPr>
        <w:t xml:space="preserve">8–9 %</w:t>
      </w:r>
      <w:r>
        <w:t xml:space="preserve"> </w:t>
      </w:r>
      <w:r>
        <w:t xml:space="preserve">del riesgo depende de la</w:t>
      </w:r>
      <w:r>
        <w:t xml:space="preserve"> </w:t>
      </w:r>
      <w:r>
        <w:rPr>
          <w:bCs/>
          <w:b/>
        </w:rPr>
        <w:t xml:space="preserve">clínica</w:t>
      </w:r>
      <w:r>
        <w:t xml:space="preserve"> </w:t>
      </w:r>
      <w:r>
        <w:t xml:space="preserve">(el resto, de la paciente). El control de calidad confirma una</w:t>
      </w:r>
      <w:r>
        <w:t xml:space="preserve"> </w:t>
      </w:r>
      <w:r>
        <w:rPr>
          <w:bCs/>
          <w:b/>
        </w:rPr>
        <w:t xml:space="preserve">buena recuperación</w:t>
      </w:r>
      <w:r>
        <w:t xml:space="preserve"> </w:t>
      </w:r>
      <w:r>
        <w:t xml:space="preserve">de</w:t>
      </w:r>
      <w:r>
        <w:t xml:space="preserve"> </w:t>
      </w:r>
      <w:r>
        <w:t xml:space="preserve">los parámetros verdaderos.</w:t>
      </w:r>
    </w:p>
    <w:p>
      <w:pPr>
        <w:pStyle w:val="BodyText"/>
      </w:pPr>
      <w:r>
        <w:rPr>
          <w:bCs/>
          <w:b/>
        </w:rPr>
        <w:t xml:space="preserve">Cautelas.</w:t>
      </w:r>
      <w:r>
        <w:t xml:space="preserve"> </w:t>
      </w:r>
      <w:r>
        <w:t xml:space="preserve">Las relaciones del tratamiento con el tipo y la gravedad son</w:t>
      </w:r>
      <w:r>
        <w:t xml:space="preserve"> </w:t>
      </w:r>
      <w:r>
        <w:rPr>
          <w:bCs/>
          <w:b/>
        </w:rPr>
        <w:t xml:space="preserve">asociativas</w:t>
      </w:r>
      <w:r>
        <w:t xml:space="preserve"> </w:t>
      </w:r>
      <w:r>
        <w:t xml:space="preserve">(indicación/selección), no causales; el AUC y el Brier son medidas</w:t>
      </w:r>
      <w:r>
        <w:t xml:space="preserve"> </w:t>
      </w:r>
      <w:r>
        <w:rPr>
          <w:bCs/>
          <w:b/>
        </w:rPr>
        <w:t xml:space="preserve">dentro de muestra</w:t>
      </w:r>
      <w:r>
        <w:t xml:space="preserve">; las cifras</w:t>
      </w:r>
      <w:r>
        <w:t xml:space="preserve"> </w:t>
      </w:r>
      <w:r>
        <w:t xml:space="preserve">son específicas de esta cohorte.</w:t>
      </w:r>
    </w:p>
    <w:bookmarkEnd w:id="24"/>
    <w:bookmarkStart w:id="32" w:name="X42a6b3948f90e2ecf35b08bc56ce4295ee6e795"/>
    <w:p>
      <w:pPr>
        <w:pStyle w:val="Heading1"/>
      </w:pPr>
      <w:r>
        <w:t xml:space="preserve">2. Contexto, problema, objetivos y preguntas del análisis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Explica por qué se realiza el análisis, qué decisión se pretende apoyar y cómo se traduce en preguntas</w:t>
            </w:r>
            <w:r>
              <w:t xml:space="preserve"> </w:t>
            </w:r>
            <w:r>
              <w:t xml:space="preserve">respondibles con datos.</w:t>
            </w:r>
          </w:p>
        </w:tc>
      </w:tr>
    </w:tbl>
    <w:bookmarkStart w:id="28" w:name="Xa44c12f7fe35b0bdb88e42e3bfe1f5e76237b12"/>
    <w:p>
      <w:pPr>
        <w:pStyle w:val="Heading2"/>
      </w:pPr>
      <w:r>
        <w:t xml:space="preserve">2.1 Contexto, audiencia y necesidad de análisis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Contexto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OsteoRed (24 clínicas de salud ósea) ejecuta un programa de prevención y ha seguido seis años a una cohorte de mujeres; necesita convertir sus datos en decisiones clínicas y organizativas.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 destinataria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médica (no estadística) para las recomendaciones; profesorado y equipo técnico para auditar/reproducir.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Decisión que se quiere apoyar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quién vigilar, cada cuánto citar, cómo usar el tratamiento, cómo leer diferencias entre clínicas y qué esperar de un centro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Consecuencia de no abordarlo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Vigilancia mal focalizada, calendarios ineficientes, infrautilización del tratamiento y comparaciones injustas entre centros.</w:t>
            </w:r>
          </w:p>
        </w:tc>
      </w:tr>
    </w:tbl>
    <w:bookmarkEnd w:id="28"/>
    <w:bookmarkStart w:id="29" w:name="problema-de-análisis"/>
    <w:p>
      <w:pPr>
        <w:pStyle w:val="Heading2"/>
      </w:pPr>
      <w:r>
        <w:t xml:space="preserve">2.2 Problema de análisis</w:t>
      </w:r>
    </w:p>
    <w:p>
      <w:pPr>
        <w:pStyle w:val="BlockText"/>
      </w:pPr>
      <w:r>
        <w:t xml:space="preserve">Cuantificar y explicar el riesgo de fractura de las pacientes de OsteoRed en función de su fragilidad</w:t>
      </w:r>
      <w:r>
        <w:t xml:space="preserve"> </w:t>
      </w:r>
      <w:r>
        <w:t xml:space="preserve">ósea, su tratamiento y su clínica; caracterizar</w:t>
      </w:r>
      <w:r>
        <w:t xml:space="preserve"> </w:t>
      </w:r>
      <w:r>
        <w:rPr>
          <w:bCs/>
          <w:b/>
        </w:rPr>
        <w:t xml:space="preserve">si</w:t>
      </w:r>
      <w:r>
        <w:t xml:space="preserve"> </w:t>
      </w:r>
      <w:r>
        <w:t xml:space="preserve">ocurre la fractura,</w:t>
      </w:r>
      <w:r>
        <w:t xml:space="preserve"> </w:t>
      </w:r>
      <w:r>
        <w:rPr>
          <w:bCs/>
          <w:b/>
        </w:rPr>
        <w:t xml:space="preserve">cuándo</w:t>
      </w:r>
      <w:r>
        <w:t xml:space="preserve">, de</w:t>
      </w:r>
      <w:r>
        <w:t xml:space="preserve"> </w:t>
      </w:r>
      <w:r>
        <w:rPr>
          <w:bCs/>
          <w:b/>
        </w:rPr>
        <w:t xml:space="preserve">qué tipo</w:t>
      </w:r>
      <w:r>
        <w:t xml:space="preserve"> </w:t>
      </w:r>
      <w:r>
        <w:t xml:space="preserve">y con qué</w:t>
      </w:r>
      <w:r>
        <w:t xml:space="preserve"> </w:t>
      </w:r>
      <w:r>
        <w:rPr>
          <w:bCs/>
          <w:b/>
        </w:rPr>
        <w:t xml:space="preserve">gravedad</w:t>
      </w:r>
      <w:r>
        <w:t xml:space="preserve">; y devolver recomendaciones accionables con su incertidumbre.</w:t>
      </w:r>
    </w:p>
    <w:bookmarkEnd w:id="29"/>
    <w:bookmarkStart w:id="30" w:name="objetivos-del-análisis"/>
    <w:p>
      <w:pPr>
        <w:pStyle w:val="Heading2"/>
      </w:pPr>
      <w:r>
        <w:t xml:space="preserve">2.3 Objetivos del análisis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del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Modelizar el riesgo de fractura y sus dimensiones (ocurrencia, tiempo, tipo, gravedad) reconociendo la estructura por clínica e interpretarlo para decidir.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específico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Estimar el efecto de fragilidad y tratamiento sobre la probabilidad de fractura y predecir el riesgo de una paciente nueva (P1).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específico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Describir la evolución temporal del riesgo, el efecto del tratamiento sobre los plazos y un calendario de revisión, tratando la censura (P2).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específico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Analizar qué factores empujan hacia cada tipo de fractura (P3) y qué agrava la fractura (P4).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específico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Cuantificar cuánto del riesgo depende de la clínica y anticipar un centro nuevo (P5).</w:t>
            </w:r>
          </w:p>
        </w:tc>
      </w:tr>
    </w:tbl>
    <w:bookmarkEnd w:id="30"/>
    <w:bookmarkStart w:id="31" w:name="X9a24a82974bb4596991b6d5425f63774067ad82"/>
    <w:p>
      <w:pPr>
        <w:pStyle w:val="Heading2"/>
      </w:pPr>
      <w:r>
        <w:t xml:space="preserve">2.4 Preguntas de negocio y preguntas analíticas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 analítica asociada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necesarios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que podría apoyar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¿Quién se fractura y cuánto influyen fragilidad y tratamiento?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 binomial (logit) con interacción</w:t>
            </w:r>
            <w:r>
              <w:t xml:space="preserve"> </w:t>
            </w:r>
            <w:r>
              <w:rPr>
                <w:rStyle w:val="VerbatimChar"/>
              </w:rPr>
              <w:t xml:space="preserve">x1·x2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Focalizar vigilancia; calculadora de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¿Cuándo se fractura y cada cuánto citar?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en tiempo discreto (</w:t>
            </w:r>
            <w:r>
              <w:rPr>
                <w:rStyle w:val="VerbatimChar"/>
              </w:rPr>
              <w:t xml:space="preserve">cloglog</w:t>
            </w:r>
            <w:r>
              <w:t xml:space="preserve">) persona-periodo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periodo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de revisiones; uso del tratamiento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¿De qué tipo será la fractura?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multinomial (ref.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clase_nom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Orientar la sospecha del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agrava la fractura?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acumulado de odds proporcionales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sever_ord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Homogeneizar estadiaje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¿Cuánto pesa la clínica?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GLMM logístico, intercepto aleatorio por centro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 centros; centro nuevo</w:t>
            </w:r>
          </w:p>
        </w:tc>
      </w:tr>
    </w:tbl>
    <w:bookmarkEnd w:id="31"/>
    <w:bookmarkEnd w:id="32"/>
    <w:bookmarkStart w:id="43" w:name="X38da185df6704e8970adf3d705e5fee64995ae0"/>
    <w:p>
      <w:pPr>
        <w:pStyle w:val="Heading1"/>
      </w:pPr>
      <w:r>
        <w:t xml:space="preserve">3. Datos, preparación y calidad de la evidencia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El lector debe entender de dónde salen los datos, qué representan, cómo se han preparado y hasta qué</w:t>
            </w:r>
            <w:r>
              <w:t xml:space="preserve"> </w:t>
            </w:r>
            <w:r>
              <w:t xml:space="preserve">punto son adecuados para responder las preguntas.</w:t>
            </w:r>
          </w:p>
        </w:tc>
      </w:tr>
    </w:tbl>
    <w:bookmarkStart w:id="35" w:name="descripción-de-los-datos"/>
    <w:p>
      <w:pPr>
        <w:pStyle w:val="Heading2"/>
      </w:pPr>
      <w:r>
        <w:t xml:space="preserve">3.1 Descripción de los datos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 de los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Cohorte</w:t>
            </w:r>
            <w:r>
              <w:t xml:space="preserve"> </w:t>
            </w:r>
            <w:r>
              <w:rPr>
                <w:bCs/>
                <w:b/>
              </w:rPr>
              <w:t xml:space="preserve">simulada</w:t>
            </w:r>
            <w:r>
              <w:t xml:space="preserve"> </w:t>
            </w:r>
            <w:r>
              <w:t xml:space="preserve">con DGP conocido (curso), inspirada en el estudio GLOW. Datos del equipo_10.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analizado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6 revisiones anuales (6 periodos discretos).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 de 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paciente (individuo) y, por expansión, la paciente-periodo.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893 pacientes; 3 583 filas persona-periodo.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sustantivas (más identificadores).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pregunta:</w:t>
            </w:r>
            <w:r>
              <w:t xml:space="preserve"> </w:t>
            </w:r>
            <w:r>
              <w:rPr>
                <w:rStyle w:val="VerbatimChar"/>
              </w:rPr>
              <w:t xml:space="preserve">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tiempo</w:t>
            </w:r>
            <w:r>
              <w:t xml:space="preserve">/</w:t>
            </w:r>
            <w:r>
              <w:rPr>
                <w:rStyle w:val="VerbatimChar"/>
              </w:rPr>
              <w:t xml:space="preserve">evento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clase_nom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sever_ord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Criterios de inclusión/exclusión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pacientes; sin exclusiones.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de agregación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Individuo e individuo × periodo en riesgo.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Los datos ya se cargan en el chunk 'setup'. Resumen reproducible:</w:t>
      </w:r>
      <w:r>
        <w:br/>
      </w:r>
      <w:r>
        <w:rPr>
          <w:rStyle w:val="NormalTok"/>
        </w:rPr>
        <w:t xml:space="preserve">descrip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Indicador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"Pacientes (N)"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"Tasa de fractura observada"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"Proporción censura"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"Proporción con tratamiento"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"Filas persona-periodo"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(cohorte), </w:t>
      </w:r>
      <w:r>
        <w:rPr>
          <w:rStyle w:val="FunctionTok"/>
        </w:rPr>
        <w:t xml:space="preserve">nlevels</w:t>
      </w:r>
      <w:r>
        <w:rPr>
          <w:rStyle w:val="NormalTok"/>
        </w:rPr>
        <w:t xml:space="preserve">(cohorte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centro),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(cohorte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evento),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(cohorte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(cohorte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(pp))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(descrip,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"Indicadores descriptivos de la cohorte (equipo_10)."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Indicadores descriptivos de la cohorte (equipo_10).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descriptivos de la cohorte (equipo_10)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Pacientes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fractura observada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Proporción censura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Proporción con tratamiento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Filas persona-periodo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3583.000</w:t>
            </w:r>
          </w:p>
        </w:tc>
      </w:tr>
    </w:tbl>
    <w:bookmarkEnd w:id="35"/>
    <w:bookmarkStart w:id="36" w:name="variables-principales"/>
    <w:p>
      <w:pPr>
        <w:pStyle w:val="Heading2"/>
      </w:pPr>
      <w:r>
        <w:t xml:space="preserve">3.2 Variables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 que ayuda a responder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Fragilidad ósea (densidad mineral estandarizada)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P1–P5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Binaria (0/1)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Tratamiento preventivo (1 = lo recibe)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P1–P5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Clínica de seguimiento (efecto aleatorio)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¿Hubo fractura durante el seguimiento?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 (1–6)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 en que termina la observación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fractura observada; 0 = censura administrativa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clase_nom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(A/B/C)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Tipo/fenotipo de fractura (sin orden)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sever_ord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Gravedad/estadio basal (Leve &lt; Moderado &lt; Grave)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</w:tr>
    </w:tbl>
    <w:bookmarkEnd w:id="36"/>
    <w:bookmarkStart w:id="41" w:name="preparación-y-calidad-de-los-datos"/>
    <w:p>
      <w:pPr>
        <w:pStyle w:val="Heading2"/>
      </w:pPr>
      <w:r>
        <w:t xml:space="preserve">3.3 Preparación y calidad de los datos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 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detectó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Tratamiento aplicado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o cautela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Valores perdidos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imputación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Rango de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−3,3 a 3,1 (centrada en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mantiene (estandarizada)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por desviación típica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Enteros y factores mezclados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Recodificación a factores legibles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 lectura de niveles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Censura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74,1 % termina sin fractura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Expansión persona-periodo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Censura tratada sin sesgo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cohorte = eventos pp (231)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cruzada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Expansión correcta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Comprobaciones de calidad reproducibles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ausentes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(cohorte)),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rango_x1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(cohorte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eventos_coh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(cohorte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evento),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eventos_pp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$ausentes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$rango_x1</w:t>
      </w:r>
      <w:r>
        <w:br/>
      </w:r>
      <w:r>
        <w:rPr>
          <w:rStyle w:val="VerbatimChar"/>
        </w:rPr>
        <w:t xml:space="preserve">[1] -3.315883  3.052747</w:t>
      </w:r>
      <w:r>
        <w:br/>
      </w:r>
      <w:r>
        <w:br/>
      </w:r>
      <w:r>
        <w:rPr>
          <w:rStyle w:val="VerbatimChar"/>
        </w:rPr>
        <w:t xml:space="preserve">$eventos_coh</w:t>
      </w:r>
      <w:r>
        <w:br/>
      </w:r>
      <w:r>
        <w:rPr>
          <w:rStyle w:val="VerbatimChar"/>
        </w:rPr>
        <w:t xml:space="preserve">[1] 231</w:t>
      </w:r>
      <w:r>
        <w:br/>
      </w:r>
      <w:r>
        <w:br/>
      </w:r>
      <w:r>
        <w:rPr>
          <w:rStyle w:val="VerbatimChar"/>
        </w:rPr>
        <w:t xml:space="preserve">$eventos_pp</w:t>
      </w:r>
      <w:r>
        <w:br/>
      </w:r>
      <w:r>
        <w:rPr>
          <w:rStyle w:val="VerbatimChar"/>
        </w:rPr>
        <w:t xml:space="preserve">[1] 231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NormalTok"/>
        </w:rPr>
        <w:t xml:space="preserve">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(cohorte,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(x1,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eventof))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"Fragilidad ósea (x1)"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(x2f, eventof)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(x2f)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(x2f, prop,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eventof))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"Proporción"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g2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eda"/>
          <w:p>
            <w:pPr>
              <w:pStyle w:val="Figure"/>
              <w:jc w:val="center"/>
            </w:pPr>
            <w:r>
              <w:drawing>
                <wp:inline>
                  <wp:extent cx="5334000" cy="22669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nforme_tecnico_ec1_files/figure-docx/fig-eda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1: Fragilidad (x1) por desenlace y proporción de fractura según tratamiento.</w:t>
            </w:r>
          </w:p>
          <w:bookmarkEnd w:id="40"/>
        </w:tc>
      </w:tr>
    </w:tbl>
    <w:bookmarkEnd w:id="41"/>
    <w:bookmarkStart w:id="42" w:name="valoración-de-adecuación-de-los-datos"/>
    <w:p>
      <w:pPr>
        <w:pStyle w:val="Heading2"/>
      </w:pPr>
      <w:r>
        <w:t xml:space="preserve">3.4 Valoración de adecuación de los datos</w:t>
      </w:r>
    </w:p>
    <w:p>
      <w:pPr>
        <w:pStyle w:val="BlockText"/>
      </w:pPr>
      <w:r>
        <w:t xml:space="preserve">Los datos son</w:t>
      </w:r>
      <w:r>
        <w:t xml:space="preserve"> </w:t>
      </w:r>
      <w:r>
        <w:rPr>
          <w:bCs/>
          <w:b/>
        </w:rPr>
        <w:t xml:space="preserve">suficientes y pertinentes</w:t>
      </w:r>
      <w:r>
        <w:t xml:space="preserve"> </w:t>
      </w:r>
      <w:r>
        <w:t xml:space="preserve">para las cinco preguntas: hay respuesta para cada tipo</w:t>
      </w:r>
      <w:r>
        <w:t xml:space="preserve"> </w:t>
      </w:r>
      <w:r>
        <w:t xml:space="preserve">de análisis (binaria, tiempo-a-evento, nominal, ordinal), covariables con variación adecuada (</w:t>
      </w:r>
      <w:r>
        <w:rPr>
          <w:rStyle w:val="VerbatimChar"/>
        </w:rPr>
        <w:t xml:space="preserve">x2</w:t>
      </w:r>
      <w:r>
        <w:t xml:space="preserve"> </w:t>
      </w:r>
      <w:r>
        <w:t xml:space="preserve">en el 48,2 %) y estructura de agrupamiento (24 clínicas). La principal limitación es de</w:t>
      </w:r>
      <w:r>
        <w:t xml:space="preserve"> </w:t>
      </w:r>
      <w:r>
        <w:rPr>
          <w:bCs/>
          <w:b/>
        </w:rPr>
        <w:t xml:space="preserve">cobertura</w:t>
      </w:r>
      <w:r>
        <w:rPr>
          <w:bCs/>
          <w:b/>
        </w:rPr>
        <w:t xml:space="preserve"> </w:t>
      </w:r>
      <w:r>
        <w:rPr>
          <w:bCs/>
          <w:b/>
        </w:rPr>
        <w:t xml:space="preserve">de predictores</w:t>
      </w:r>
      <w:r>
        <w:t xml:space="preserve"> </w:t>
      </w:r>
      <w:r>
        <w:t xml:space="preserve">(solo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x2</w:t>
      </w:r>
      <w:r>
        <w:t xml:space="preserve">), lo que acota la previsibilidad del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de fractura (P3).</w:t>
      </w:r>
    </w:p>
    <w:bookmarkEnd w:id="42"/>
    <w:bookmarkEnd w:id="43"/>
    <w:bookmarkStart w:id="48" w:name="metodología-y-criterios-de-análisis"/>
    <w:p>
      <w:pPr>
        <w:pStyle w:val="Heading1"/>
      </w:pPr>
      <w:r>
        <w:t xml:space="preserve">4. Metodología y criterios de análisis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 metodología se justifica en función del problema y de las preguntas analíticas, no como manual de</w:t>
            </w:r>
            <w:r>
              <w:t xml:space="preserve"> </w:t>
            </w:r>
            <w:r>
              <w:t xml:space="preserve">cada técnica. Todos los GLM se ajustan por máxima verosimilitud</w:t>
            </w:r>
            <w:r>
              <w:t xml:space="preserve"> </w:t>
            </w:r>
            <w:r>
              <w:t xml:space="preserve">(McCullagh &amp; Nelder, 1989; Nelder &amp; Wedderburn, 1972)</w:t>
            </w:r>
            <w:r>
              <w:t xml:space="preserve">.</w:t>
            </w:r>
          </w:p>
        </w:tc>
      </w:tr>
    </w:tbl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 analítica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o enfoque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es adecuado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evaluación o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·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 binomial, enlace logit (+ interacción)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  <w:r>
              <w:t xml:space="preserve"> </w:t>
            </w:r>
            <w:r>
              <w:t xml:space="preserve">binaria; OR y probabilidades interpretables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LRT/AIC/BIC; AUC; calibración; DHARMa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·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 binomial</w:t>
            </w:r>
            <w:r>
              <w:t xml:space="preserve"> </w:t>
            </w:r>
            <w:r>
              <w:rPr>
                <w:rStyle w:val="VerbatimChar"/>
              </w:rPr>
              <w:t xml:space="preserve">cloglog</w:t>
            </w:r>
            <w:r>
              <w:t xml:space="preserve">, persona-periodo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discreto con censura;</w:t>
            </w:r>
            <w:r>
              <w:t xml:space="preserve"> </w:t>
            </w:r>
            <w:r>
              <w:rPr>
                <w:rStyle w:val="VerbatimChar"/>
              </w:rPr>
              <w:t xml:space="preserve">exp(β)</w:t>
            </w:r>
            <w:r>
              <w:t xml:space="preserve"> </w:t>
            </w:r>
            <w:r>
              <w:t xml:space="preserve">= hazard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base; LRT no-proporcionalidad; Cox</w:t>
            </w:r>
            <w:r>
              <w:t xml:space="preserve"> </w:t>
            </w:r>
            <w:r>
              <w:rPr>
                <w:rStyle w:val="VerbatimChar"/>
              </w:rPr>
              <w:t xml:space="preserve">cox.zph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·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multinomial (ref.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 sin orden; efectos por 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LRT vs nulo; AIC; Brier multiclase; acierto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· Gravedad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acumulado odds proporcionales (+ mixto)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Ordinal; un OR por variable si hay proporcionalidad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odds proporcionales; varianza entre centros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·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GLMM logístico, intercepto aleatorio por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 variación paciente vs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de varianza; ICC; fijo vs mixto</w:t>
            </w:r>
          </w:p>
        </w:tc>
      </w:tr>
    </w:tbl>
    <w:bookmarkStart w:id="46" w:name="Xf6c584f510f1b2e48c0349d53a54edaa62de3d9"/>
    <w:p>
      <w:pPr>
        <w:pStyle w:val="Heading2"/>
      </w:pPr>
      <w:r>
        <w:t xml:space="preserve">4.1 Supuestos, decisiones y limitaciones metodológicas</w:t>
      </w:r>
    </w:p>
    <w:p>
      <w:pPr>
        <w:pStyle w:val="BlockText"/>
      </w:pPr>
      <w:r>
        <w:t xml:space="preserve">Se ajusta</w:t>
      </w:r>
      <w:r>
        <w:t xml:space="preserve"> </w:t>
      </w:r>
      <w:r>
        <w:rPr>
          <w:bCs/>
          <w:b/>
        </w:rPr>
        <w:t xml:space="preserve">a ciegas</w:t>
      </w:r>
      <w:r>
        <w:t xml:space="preserve"> </w:t>
      </w:r>
      <w:r>
        <w:t xml:space="preserve">(sin mirar la</w:t>
      </w:r>
      <w:r>
        <w:t xml:space="preserve"> </w:t>
      </w:r>
      <w:r>
        <w:t xml:space="preserve">“</w:t>
      </w:r>
      <w:r>
        <w:t xml:space="preserve">verdad</w:t>
      </w:r>
      <w:r>
        <w:t xml:space="preserve">”</w:t>
      </w:r>
      <w:r>
        <w:t xml:space="preserve"> </w:t>
      </w:r>
      <w:r>
        <w:t xml:space="preserve">del DGP) y solo al final se compara.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está</w:t>
      </w:r>
      <w:r>
        <w:t xml:space="preserve"> </w:t>
      </w:r>
      <w:r>
        <w:t xml:space="preserve">estandarizada (efectos</w:t>
      </w:r>
      <w:r>
        <w:t xml:space="preserve"> </w:t>
      </w:r>
      <w:r>
        <w:t xml:space="preserve">“</w:t>
      </w:r>
      <w:r>
        <w:t xml:space="preserve">por desviación típica</w:t>
      </w:r>
      <w:r>
        <w:t xml:space="preserve">”</w:t>
      </w:r>
      <w:r>
        <w:t xml:space="preserve">). En P1 se retiene el modelo de efectos principales</w:t>
      </w:r>
      <w:r>
        <w:t xml:space="preserve"> </w:t>
      </w:r>
      <w:r>
        <w:t xml:space="preserve">por parsimonia. En P2,</w:t>
      </w:r>
      <w:r>
        <w:t xml:space="preserve"> </w:t>
      </w:r>
      <w:r>
        <w:rPr>
          <w:rStyle w:val="VerbatimChar"/>
        </w:rPr>
        <w:t xml:space="preserve">periodo</w:t>
      </w:r>
      <w:r>
        <w:t xml:space="preserve"> </w:t>
      </w:r>
      <w:r>
        <w:t xml:space="preserve">entra como factor (hazard base flexible) y la censura se trata con</w:t>
      </w:r>
      <w:r>
        <w:t xml:space="preserve"> </w:t>
      </w:r>
      <w:r>
        <w:t xml:space="preserve">la expansión persona-periodo. En P4 se comprueba la proporcionalidad de odds y se añade la versión</w:t>
      </w:r>
      <w:r>
        <w:t xml:space="preserve"> </w:t>
      </w:r>
      <w:r>
        <w:t xml:space="preserve">mixta. En P5 la clínica se modela como intercepto aleatorio (24 grupos). Las asociaciones del</w:t>
      </w:r>
      <w:r>
        <w:t xml:space="preserve"> </w:t>
      </w:r>
      <w:r>
        <w:t xml:space="preserve">tratamiento con tipo (P3) y gravedad (P4) se interpretan como</w:t>
      </w:r>
      <w:r>
        <w:t xml:space="preserve"> </w:t>
      </w:r>
      <w:r>
        <w:rPr>
          <w:bCs/>
          <w:b/>
        </w:rPr>
        <w:t xml:space="preserve">de indicación</w:t>
      </w:r>
      <w:r>
        <w:t xml:space="preserve">, no causales.</w:t>
      </w:r>
    </w:p>
    <w:bookmarkEnd w:id="46"/>
    <w:bookmarkStart w:id="47" w:name="evaluación-validación-o-comprobaciones"/>
    <w:p>
      <w:pPr>
        <w:pStyle w:val="Heading2"/>
      </w:pPr>
      <w:r>
        <w:t xml:space="preserve">4.2 Evaluación, validación o comprobaciones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Discriminación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útil para priorizar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Calibración por deciles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 ≈ predicho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Probabilidades fiables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Riesgos utilizables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cox.zph</w:t>
            </w:r>
            <w:r>
              <w:t xml:space="preserve"> </w:t>
            </w:r>
            <w:r>
              <w:t xml:space="preserve">global 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Riesgos proporcionales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estables en el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LRT</w:t>
            </w:r>
            <w:r>
              <w:t xml:space="preserve"> </w:t>
            </w:r>
            <w:r>
              <w:rPr>
                <w:rStyle w:val="VerbatimChar"/>
              </w:rPr>
              <w:t xml:space="preserve">periodo·x2</w:t>
            </w:r>
            <w:r>
              <w:t xml:space="preserve"> </w:t>
            </w:r>
            <w:r>
              <w:t xml:space="preserve">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 del tratamiento 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proporcional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odds proporcionales (P4)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 p = 0,34; x2 p = 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Supuesto sostenido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OR por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ICC (P5)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~8,5 % depende del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sobre todo de la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Cotejo con DGP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Metodología 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Confianza reforzada</w:t>
            </w:r>
          </w:p>
        </w:tc>
      </w:tr>
    </w:tbl>
    <w:bookmarkEnd w:id="47"/>
    <w:bookmarkEnd w:id="48"/>
    <w:bookmarkStart w:id="78" w:name="resultados-evaluación-e-interpretación"/>
    <w:p>
      <w:pPr>
        <w:pStyle w:val="Heading1"/>
      </w:pPr>
      <w:r>
        <w:t xml:space="preserve">5. Resultados, evaluación e interpretación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Regla de selección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En el cuerpo van los resultados que responden a un objetivo o sostienen una decisión. Cada resultado</w:t>
            </w:r>
            <w:r>
              <w:t xml:space="preserve"> </w:t>
            </w:r>
            <w:r>
              <w:t xml:space="preserve">clave recorre: objetivo → resultado → evidencia (tabla/figura) → interpretación → cautela.</w:t>
            </w:r>
          </w:p>
        </w:tc>
      </w:tr>
    </w:tbl>
    <w:bookmarkStart w:id="56" w:name="X0cc7de5c4f0822aad2338c053ff4588b8b5f611"/>
    <w:p>
      <w:pPr>
        <w:pStyle w:val="Heading2"/>
      </w:pPr>
      <w:r>
        <w:t xml:space="preserve">5.1 Resultado clave 1: la fragilidad manda; el tratamiento protege por igual (P1)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al que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· quién se fractura; papel de fragilidad y tratamiento; riesgo de paciente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Fragilidad OR 2,60; tratamiento OR 0,39; interacción</w:t>
            </w:r>
            <w:r>
              <w:t xml:space="preserve"> </w:t>
            </w:r>
            <w:r>
              <w:rPr>
                <w:rStyle w:val="VerbatimChar"/>
              </w:rPr>
              <w:t xml:space="preserve">x1·x2</w:t>
            </w:r>
            <w:r>
              <w:t xml:space="preserve"> </w:t>
            </w:r>
            <w:r>
              <w:t xml:space="preserve">no significativa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asociada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OR, curvas de riesgo (</w:t>
            </w:r>
            <w:hyperlink w:anchor="fig-p1">
              <w:r>
                <w:rPr>
                  <w:rStyle w:val="Hyperlink"/>
                </w:rPr>
                <w:t xml:space="preserve">Figura 2</w:t>
              </w:r>
            </w:hyperlink>
            <w:r>
              <w:t xml:space="preserve">), AUC y calibración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tratamiento reduce las odds ~61 % en todo el rango de fragilidad; el riesgo crece con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  <w:r>
              <w:t xml:space="preserve"> </w:t>
            </w:r>
            <w:r>
              <w:t xml:space="preserve">es lectura marginal (con censura); el</w:t>
            </w:r>
            <w:r>
              <w:t xml:space="preserve"> </w:t>
            </w:r>
            <w:r>
              <w:t xml:space="preserve">“</w:t>
            </w:r>
            <w:r>
              <w:t xml:space="preserve">cuándo</w:t>
            </w:r>
            <w:r>
              <w:t xml:space="preserve">”</w:t>
            </w:r>
            <w:r>
              <w:t xml:space="preserve"> </w:t>
            </w:r>
            <w:r>
              <w:t xml:space="preserve">se aborda en P2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m1_base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cohorte)</w:t>
      </w:r>
      <w:r>
        <w:br/>
      </w:r>
      <w:r>
        <w:rPr>
          <w:rStyle w:val="NormalTok"/>
        </w:rPr>
        <w:t xml:space="preserve">m1_int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cohorte)</w:t>
      </w:r>
      <w:r>
        <w:br/>
      </w:r>
      <w:r>
        <w:rPr>
          <w:rStyle w:val="CommentTok"/>
        </w:rPr>
        <w:t xml:space="preserve"># Selección de la interacción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(m1_base, m1_int,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"LRT: ¿aporta la interacción x1·x2? (P1)"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LRT: ¿aporta la interacción x1·x2? (P1)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RT: ¿aporta la interacción x1·x2? (P1)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Resid. 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Resid. Dev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Pr(&gt;Chi)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875.7928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872.5338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3.259041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0.0710307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Odds ratios del modelo retenido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(m1_base,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 ratios (IC 95%) del modelo logístico de efectos principales."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Odds ratios (IC 95%) del modelo logístico de efectos principales.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Odds ratios (IC 95%) del modelo logístico de efectos principales."/>
      </w:tblPr>
      <w:tblGrid>
        <w:gridCol w:w="1397"/>
        <w:gridCol w:w="1048"/>
        <w:gridCol w:w="1164"/>
        <w:gridCol w:w="1164"/>
        <w:gridCol w:w="931"/>
        <w:gridCol w:w="1048"/>
        <w:gridCol w:w="11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Efectos marginales medios (probabilidad) y riesgo de una paciente nueva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avg_slopes</w:t>
      </w:r>
      <w:r>
        <w:rPr>
          <w:rStyle w:val="NormalTok"/>
        </w:rPr>
        <w:t xml:space="preserve">(m1_base))[,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"conf.low"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"conf.high"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"Efectos marginales medios sobre P(fractura)."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Efectos marginales medios sobre P(fractura).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fectos marginales medios sobre P(fractura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-0.100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predictions</w:t>
      </w:r>
      <w:r>
        <w:rPr>
          <w:rStyle w:val="NormalTok"/>
        </w:rPr>
        <w:t xml:space="preserve">(m1_base,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(x1, x2, estimate, conf.low, conf.high),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"Riesgo predicho para una paciente nueva de fragilidad alta (x1 = 1,5)."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Riesgo predicho para una paciente nueva de fragilidad alta (x1 = 1,5).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esgo predicho para una paciente nueva de fragilidad alta (x1 = 1,5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FunctionTok"/>
        </w:rPr>
        <w:t xml:space="preserve">plot_predictions</w:t>
      </w:r>
      <w:r>
        <w:rPr>
          <w:rStyle w:val="NormalTok"/>
        </w:rPr>
        <w:t xml:space="preserve">(m1_base,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"Fragilidad ósea (x1)"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"P(fractura)"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"Tratamiento"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"Tratamiento"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p1"/>
          <w:p>
            <w:pPr>
              <w:pStyle w:val="Figure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nforme_tecnico_ec1_files/figure-docx/fig-p1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2: Riesgo de fractura predicho según fragilidad (x1) y tratamiento (x2), IC 95%.</w:t>
            </w:r>
          </w:p>
          <w:bookmarkEnd w:id="55"/>
        </w:tc>
      </w:tr>
    </w:tbl>
    <w:p>
      <w:pPr>
        <w:pStyle w:val="SourceCode"/>
      </w:pPr>
      <w:r>
        <w:rPr>
          <w:rStyle w:val="NormalTok"/>
        </w:rPr>
        <w:t xml:space="preserve">auc1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(cohorte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ever,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(m1_base,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auc1</w:t>
      </w:r>
    </w:p>
    <w:p>
      <w:pPr>
        <w:pStyle w:val="SourceCode"/>
      </w:pPr>
      <w:r>
        <w:rPr>
          <w:rStyle w:val="VerbatimChar"/>
        </w:rPr>
        <w:t xml:space="preserve">Area under the curve: 0.7519</w:t>
      </w:r>
    </w:p>
    <w:p>
      <w:pPr>
        <w:pStyle w:val="FirstParagraph"/>
      </w:pPr>
      <w:r>
        <w:rPr>
          <w:bCs/>
          <w:b/>
        </w:rPr>
        <w:t xml:space="preserve">Interpretación (P1).</w:t>
      </w:r>
      <w:r>
        <w:t xml:space="preserve"> </w:t>
      </w:r>
      <w:r>
        <w:t xml:space="preserve">La interacción</w:t>
      </w:r>
      <w:r>
        <w:t xml:space="preserve"> </w:t>
      </w:r>
      <w:r>
        <w:rPr>
          <w:rStyle w:val="VerbatimChar"/>
        </w:rPr>
        <w:t xml:space="preserve">x1·x2</w:t>
      </w:r>
      <w:r>
        <w:t xml:space="preserve"> </w:t>
      </w:r>
      <w:r>
        <w:rPr>
          <w:bCs/>
          <w:b/>
        </w:rPr>
        <w:t xml:space="preserve">no es significativa</w:t>
      </w:r>
      <w:r>
        <w:t xml:space="preserve"> </w:t>
      </w:r>
      <w:r>
        <w:t xml:space="preserve">(LRT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0,071; el BIC</w:t>
      </w:r>
      <w:r>
        <w:t xml:space="preserve"> </w:t>
      </w:r>
      <w:r>
        <w:t xml:space="preserve">empeora al añadirla), de modo que</w:t>
      </w:r>
      <w:r>
        <w:t xml:space="preserve"> </w:t>
      </w:r>
      <w:r>
        <w:rPr>
          <w:bCs/>
          <w:b/>
        </w:rPr>
        <w:t xml:space="preserve">el tratamiento protege por igual</w:t>
      </w:r>
      <w:r>
        <w:t xml:space="preserve"> </w:t>
      </w:r>
      <w:r>
        <w:t xml:space="preserve">en todo el rango de fragilidad;</w:t>
      </w:r>
      <w:r>
        <w:t xml:space="preserve"> </w:t>
      </w:r>
      <w:r>
        <w:t xml:space="preserve">se retiene el modelo de efectos principales. Cada desviación típica de</w:t>
      </w:r>
      <w:r>
        <w:t xml:space="preserve"> </w:t>
      </w:r>
      <w:r>
        <w:rPr>
          <w:bCs/>
          <w:b/>
        </w:rPr>
        <w:t xml:space="preserve">fragilidad multiplica por</w:t>
      </w:r>
      <w:r>
        <w:rPr>
          <w:bCs/>
          <w:b/>
        </w:rPr>
        <w:t xml:space="preserve"> </w:t>
      </w:r>
      <w:r>
        <w:rPr>
          <w:bCs/>
          <w:b/>
        </w:rPr>
        <w:t xml:space="preserve">2,60</w:t>
      </w:r>
      <w:r>
        <w:t xml:space="preserve"> </w:t>
      </w:r>
      <w:r>
        <w:t xml:space="preserve">las odds de fractura (IC 95 % 2,15–3,17) y el</w:t>
      </w:r>
      <w:r>
        <w:t xml:space="preserve"> </w:t>
      </w:r>
      <w:r>
        <w:rPr>
          <w:bCs/>
          <w:b/>
        </w:rPr>
        <w:t xml:space="preserve">tratamiento las reduce ~61 %</w:t>
      </w:r>
      <w:r>
        <w:t xml:space="preserve"> </w:t>
      </w:r>
      <w:r>
        <w:t xml:space="preserve">(OR 0,39; IC</w:t>
      </w:r>
      <w:r>
        <w:t xml:space="preserve"> </w:t>
      </w:r>
      <w:r>
        <w:t xml:space="preserve">95 % 0,28–0,55). En probabilidad, cada punto z añade ~15,4 puntos porcentuales y el tratamiento resta</w:t>
      </w:r>
      <w:r>
        <w:t xml:space="preserve"> </w:t>
      </w:r>
      <w:r>
        <w:t xml:space="preserve">~15,2. Para una</w:t>
      </w:r>
      <w:r>
        <w:t xml:space="preserve"> </w:t>
      </w:r>
      <w:r>
        <w:rPr>
          <w:bCs/>
          <w:b/>
        </w:rPr>
        <w:t xml:space="preserve">paciente nueva de fragilidad alta</w:t>
      </w:r>
      <w:r>
        <w:t xml:space="preserve"> </w:t>
      </w:r>
      <w:r>
        <w:t xml:space="preserve">(</w:t>
      </w:r>
      <w:r>
        <w:rPr>
          <w:rStyle w:val="VerbatimChar"/>
        </w:rPr>
        <w:t xml:space="preserve">x1</w:t>
      </w:r>
      <w:r>
        <w:t xml:space="preserve"> </w:t>
      </w:r>
      <w:r>
        <w:t xml:space="preserve">= 1,5) el riesgo estimado es</w:t>
      </w:r>
      <w:r>
        <w:t xml:space="preserve"> </w:t>
      </w:r>
      <w:r>
        <w:rPr>
          <w:bCs/>
          <w:b/>
        </w:rPr>
        <w:t xml:space="preserve">64,9 % sin</w:t>
      </w:r>
      <w:r>
        <w:rPr>
          <w:bCs/>
          <w:b/>
        </w:rPr>
        <w:t xml:space="preserve"> </w:t>
      </w:r>
      <w:r>
        <w:rPr>
          <w:bCs/>
          <w:b/>
        </w:rPr>
        <w:t xml:space="preserve">tratamiento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41,9 % con tratamiento</w:t>
      </w:r>
      <w:r>
        <w:t xml:space="preserve">. La discriminación es</w:t>
      </w:r>
      <w:r>
        <w:t xml:space="preserve"> </w:t>
      </w:r>
      <w:r>
        <w:rPr>
          <w:bCs/>
          <w:b/>
        </w:rPr>
        <w:t xml:space="preserve">aceptable</w:t>
      </w:r>
      <w:r>
        <w:t xml:space="preserve"> </w:t>
      </w:r>
      <w:r>
        <w:t xml:space="preserve">(AUC ≈ 0,75) y la</w:t>
      </w:r>
      <w:r>
        <w:t xml:space="preserve"> </w:t>
      </w:r>
      <w:r>
        <w:t xml:space="preserve">calibración, buena.</w:t>
      </w:r>
      <w:r>
        <w:t xml:space="preserve"> </w:t>
      </w:r>
      <w:r>
        <w:rPr>
          <w:iCs/>
          <w:i/>
        </w:rPr>
        <w:t xml:space="preserve">Cautela:</w:t>
      </w:r>
      <w:r>
        <w:t xml:space="preserve"> </w:t>
      </w:r>
      <w:r>
        <w:rPr>
          <w:rStyle w:val="VerbatimChar"/>
        </w:rPr>
        <w:t xml:space="preserve">ever</w:t>
      </w:r>
      <w:r>
        <w:t xml:space="preserve"> </w:t>
      </w:r>
      <w:r>
        <w:t xml:space="preserve">recoge la fractura observada dentro de una ventana con censura.</w:t>
      </w:r>
    </w:p>
    <w:bookmarkEnd w:id="56"/>
    <w:bookmarkStart w:id="61" w:name="X5a352dbb13a68db72487a42b2508bf8dd292218"/>
    <w:p>
      <w:pPr>
        <w:pStyle w:val="Heading2"/>
      </w:pPr>
      <w:r>
        <w:t xml:space="preserve">5.2 Resultado clave 2: el riesgo es sostenido; el tratamiento retrasa la fractura (P2)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al que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· cuándo se fractura; calendario; efecto del tratamiento sobre plazos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fragilidad 2,18; HR tratamiento 0,44; hazard base ≈ constante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asociada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(</w:t>
            </w:r>
            <w:r>
              <w:rPr>
                <w:rStyle w:val="VerbatimChar"/>
              </w:rPr>
              <w:t xml:space="preserve">cloglog</w:t>
            </w:r>
            <w:r>
              <w:t xml:space="preserve">), curvas de supervivencia (</w:t>
            </w:r>
            <w:hyperlink w:anchor="fig-p2">
              <w:r>
                <w:rPr>
                  <w:rStyle w:val="Hyperlink"/>
                </w:rPr>
                <w:t xml:space="preserve">Figura 3</w:t>
              </w:r>
            </w:hyperlink>
            <w:r>
              <w:t xml:space="preserve">), Cox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tratamiento reduce el hazard ~56 % cada periodo y desplaza la supervivencia hacia arriba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efectos fijos; el condicional por clínica se afina en P5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m_surv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pp)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(m_surv,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"Riesgo en tiempo discreto (cloglog): exp(coef) = hazard ratio para x1, x2."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Riesgo en tiempo discreto (cloglog): exp(coef) = hazard ratio para x1, x2.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Riesgo en tiempo discreto (cloglog): exp(coef) = hazard ratio para x1, x2."/>
      </w:tblPr>
      <w:tblGrid>
        <w:gridCol w:w="1397"/>
        <w:gridCol w:w="1048"/>
        <w:gridCol w:w="1164"/>
        <w:gridCol w:w="1164"/>
        <w:gridCol w:w="931"/>
        <w:gridCol w:w="1048"/>
        <w:gridCol w:w="11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Proporcionalidad del efecto del tratamiento en el tiempo</w:t>
      </w:r>
      <w:r>
        <w:br/>
      </w:r>
      <w:r>
        <w:rPr>
          <w:rStyle w:val="NormalTok"/>
        </w:rPr>
        <w:t xml:space="preserve">m_surv_tv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pp)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(m_surv, m_surv_tv,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"LRT: ¿varía el efecto del tratamiento por periodo? (no-proporcionalidad)"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LRT: ¿varía el efecto del tratamiento por periodo? (no-proporcionalidad)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RT: ¿varía el efecto del tratamiento por periodo? (no-proporcionalidad)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Resid. 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Resid. Dev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Pr(&gt;Chi)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1557.485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1554.145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0.6476346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grid_s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periodo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(m_surv,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(x2, periodo)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superv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cumprod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Tratamiento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 tratamiento"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 tratamiento"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periodo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(periodo)))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(grid_s,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(periodo, superv,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Tratamiento))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"Periodo (revisión anual)"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sin fractura"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2"/>
          <w:p>
            <w:pPr>
              <w:pStyle w:val="Figure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nforme_tecnico_ec1_files/figure-docx/fig-p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3: Supervivencia (probabilidad de seguir sin fractura) a fragilidad alta (x1 = 1).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cox1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(tiempo, evento)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(cox1)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"Validación con Cox: HR e IC 95%."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Validación con Cox: HR e IC 95%.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lidación con Cox: HR e IC 95%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exp(coef)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exp(-coef)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lower 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 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(cox1)</w:t>
      </w:r>
    </w:p>
    <w:p>
      <w:pPr>
        <w:pStyle w:val="SourceCode"/>
      </w:pPr>
      <w:r>
        <w:rPr>
          <w:rStyle w:val="VerbatimChar"/>
        </w:rPr>
        <w:t xml:space="preserve">          chisq df    p</w:t>
      </w:r>
      <w:r>
        <w:br/>
      </w:r>
      <w:r>
        <w:rPr>
          <w:rStyle w:val="VerbatimChar"/>
        </w:rPr>
        <w:t xml:space="preserve">x1     3.07e-01  1 0.58</w:t>
      </w:r>
      <w:r>
        <w:br/>
      </w:r>
      <w:r>
        <w:rPr>
          <w:rStyle w:val="VerbatimChar"/>
        </w:rPr>
        <w:t xml:space="preserve">x2     6.73e-05  1 0.99</w:t>
      </w:r>
      <w:r>
        <w:br/>
      </w:r>
      <w:r>
        <w:rPr>
          <w:rStyle w:val="VerbatimChar"/>
        </w:rPr>
        <w:t xml:space="preserve">GLOBAL 3.11e-01  2 0.86</w:t>
      </w:r>
    </w:p>
    <w:p>
      <w:pPr>
        <w:pStyle w:val="FirstParagraph"/>
      </w:pPr>
      <w:r>
        <w:rPr>
          <w:bCs/>
          <w:b/>
        </w:rPr>
        <w:t xml:space="preserve">Interpretación (P2).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hazard ratio</w:t>
      </w:r>
      <w:r>
        <w:t xml:space="preserve"> </w:t>
      </w:r>
      <w:r>
        <w:t xml:space="preserve">de la fragilidad es</w:t>
      </w:r>
      <w:r>
        <w:t xml:space="preserve"> </w:t>
      </w:r>
      <w:r>
        <w:rPr>
          <w:bCs/>
          <w:b/>
        </w:rPr>
        <w:t xml:space="preserve">2,18</w:t>
      </w:r>
      <w:r>
        <w:t xml:space="preserve"> </w:t>
      </w:r>
      <w:r>
        <w:t xml:space="preserve">(IC 95 % 1,90–2,51) y el del</w:t>
      </w:r>
      <w:r>
        <w:t xml:space="preserve"> </w:t>
      </w:r>
      <w:r>
        <w:t xml:space="preserve">tratamiento</w:t>
      </w:r>
      <w:r>
        <w:t xml:space="preserve"> </w:t>
      </w:r>
      <w:r>
        <w:rPr>
          <w:bCs/>
          <w:b/>
        </w:rPr>
        <w:t xml:space="preserve">0,44</w:t>
      </w:r>
      <w:r>
        <w:t xml:space="preserve"> </w:t>
      </w:r>
      <w:r>
        <w:t xml:space="preserve">(IC 95 % 0,33–0,58): el tratamiento</w:t>
      </w:r>
      <w:r>
        <w:t xml:space="preserve"> </w:t>
      </w:r>
      <w:r>
        <w:rPr>
          <w:bCs/>
          <w:b/>
        </w:rPr>
        <w:t xml:space="preserve">reduce el riesgo instantáneo ~56 % en cada</w:t>
      </w:r>
      <w:r>
        <w:rPr>
          <w:bCs/>
          <w:b/>
        </w:rPr>
        <w:t xml:space="preserve"> </w:t>
      </w:r>
      <w:r>
        <w:rPr>
          <w:bCs/>
          <w:b/>
        </w:rPr>
        <w:t xml:space="preserve">revisión</w:t>
      </w:r>
      <w:r>
        <w:t xml:space="preserve">. El</w:t>
      </w:r>
      <w:r>
        <w:t xml:space="preserve"> </w:t>
      </w:r>
      <w:r>
        <w:rPr>
          <w:bCs/>
          <w:b/>
        </w:rPr>
        <w:t xml:space="preserve">hazard base es aproximadamente constante</w:t>
      </w:r>
      <w:r>
        <w:t xml:space="preserve"> </w:t>
      </w:r>
      <w:r>
        <w:t xml:space="preserve">(≈7–10 % anual, leve máximo hacia el 4.º</w:t>
      </w:r>
      <w:r>
        <w:t xml:space="preserve"> </w:t>
      </w:r>
      <w:r>
        <w:t xml:space="preserve">periodo):</w:t>
      </w:r>
      <w:r>
        <w:t xml:space="preserve"> </w:t>
      </w:r>
      <w:r>
        <w:rPr>
          <w:bCs/>
          <w:b/>
        </w:rPr>
        <w:t xml:space="preserve">el riesgo no se concentra en un año</w:t>
      </w:r>
      <w:r>
        <w:t xml:space="preserve">. El efecto del tratamiento es</w:t>
      </w:r>
      <w:r>
        <w:t xml:space="preserve"> </w:t>
      </w:r>
      <w:r>
        <w:rPr>
          <w:bCs/>
          <w:b/>
        </w:rPr>
        <w:t xml:space="preserve">proporcional en el</w:t>
      </w:r>
      <w:r>
        <w:rPr>
          <w:bCs/>
          <w:b/>
        </w:rPr>
        <w:t xml:space="preserve"> </w:t>
      </w:r>
      <w:r>
        <w:rPr>
          <w:bCs/>
          <w:b/>
        </w:rPr>
        <w:t xml:space="preserve">tiempo</w:t>
      </w:r>
      <w:r>
        <w:t xml:space="preserve"> </w:t>
      </w:r>
      <w:r>
        <w:t xml:space="preserve">(LRT</w:t>
      </w:r>
      <w:r>
        <w:t xml:space="preserve"> </w:t>
      </w:r>
      <w:r>
        <w:rPr>
          <w:rStyle w:val="VerbatimChar"/>
        </w:rPr>
        <w:t xml:space="preserve">periodo·x2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0,65). A fragilidad alta, la probabilidad de llegar sin fractura a la</w:t>
      </w:r>
      <w:r>
        <w:t xml:space="preserve"> </w:t>
      </w:r>
      <w:r>
        <w:t xml:space="preserve">6.ª revisión pasa del</w:t>
      </w:r>
      <w:r>
        <w:t xml:space="preserve"> </w:t>
      </w:r>
      <w:r>
        <w:rPr>
          <w:bCs/>
          <w:b/>
        </w:rPr>
        <w:t xml:space="preserve">34 % al 63 %</w:t>
      </w:r>
      <w:r>
        <w:t xml:space="preserve"> </w:t>
      </w:r>
      <w:r>
        <w:t xml:space="preserve">con tratamiento. El</w:t>
      </w:r>
      <w:r>
        <w:t xml:space="preserve"> </w:t>
      </w:r>
      <w:r>
        <w:rPr>
          <w:bCs/>
          <w:b/>
        </w:rPr>
        <w:t xml:space="preserve">Cox</w:t>
      </w:r>
      <w:r>
        <w:t xml:space="preserve"> </w:t>
      </w:r>
      <w:r>
        <w:t xml:space="preserve">da HR casi idénticos y</w:t>
      </w:r>
      <w:r>
        <w:t xml:space="preserve"> </w:t>
      </w:r>
      <w:r>
        <w:rPr>
          <w:rStyle w:val="VerbatimChar"/>
        </w:rPr>
        <w:t xml:space="preserve">cox.zph</w:t>
      </w:r>
      <w:r>
        <w:t xml:space="preserve"> </w:t>
      </w:r>
      <w:r>
        <w:t xml:space="preserve">no</w:t>
      </w:r>
      <w:r>
        <w:t xml:space="preserve"> </w:t>
      </w:r>
      <w:r>
        <w:t xml:space="preserve">detecta violación (global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0,86), reforzando las conclusiones.</w:t>
      </w:r>
    </w:p>
    <w:bookmarkEnd w:id="61"/>
    <w:bookmarkStart w:id="66" w:name="Xafd340beb076e04249229dfc907e4f6a3f7d6c4"/>
    <w:p>
      <w:pPr>
        <w:pStyle w:val="Heading2"/>
      </w:pPr>
      <w:r>
        <w:t xml:space="preserve">5.3 Resultado clave 3: el tipo de fractura apenas se anticipa (P3)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al que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· qué factores empujan hacia cada tipo; previsibilidad del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Fragilidad → B y sobre todo C; tratamiento separa B↓ / C↑; acierto ~50 %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asociada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RRR multinomiales, curvas (</w:t>
            </w:r>
            <w:hyperlink w:anchor="fig-p3">
              <w:r>
                <w:rPr>
                  <w:rStyle w:val="Hyperlink"/>
                </w:rPr>
                <w:t xml:space="preserve">Figura 4</w:t>
              </w:r>
            </w:hyperlink>
            <w:r>
              <w:t xml:space="preserve">), Brier multiclase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factores desplazan el patrón, pero no permiten predecir el tipo con fiabilidad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  <w:r>
              <w:t xml:space="preserve">; se necesitarían más variables clínicas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m_nom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nnet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multinom</w:t>
      </w:r>
      <w:r>
        <w:rPr>
          <w:rStyle w:val="NormalTok"/>
        </w:rPr>
        <w:t xml:space="preserve">(clase_nom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m_nom0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nnet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multinom</w:t>
      </w:r>
      <w:r>
        <w:rPr>
          <w:rStyle w:val="NormalTok"/>
        </w:rPr>
        <w:t xml:space="preserve">(clase_nom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(m_nom,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"RRR (IC 95%) del logit multinomial (referencia = tipo A)."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RRR (IC 95%) del logit multinomial (referencia = tipo A).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RRR (IC 95%) del logit multinomial (referencia = tipo A)."/>
      </w:tblPr>
      <w:tblGrid>
        <w:gridCol w:w="833"/>
        <w:gridCol w:w="1250"/>
        <w:gridCol w:w="937"/>
        <w:gridCol w:w="1042"/>
        <w:gridCol w:w="1042"/>
        <w:gridCol w:w="833"/>
        <w:gridCol w:w="937"/>
        <w:gridCol w:w="10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y.level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(m_nom0, m_nom)),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 del multinomial frente al modelo nulo."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LRT del multinomial frente al modelo nulo.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RT del multinomial frente al modelo nulo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Resid. 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Resid.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 stat.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Pr(Chi)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1906.700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 + 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1792.911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vs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brier_mc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data, </w:t>
      </w:r>
      <w:r>
        <w:rPr>
          <w:rStyle w:val="AttributeTok"/>
        </w:rPr>
        <w:t xml:space="preserve">resp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"clase_nom"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(P)))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P, P)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 "</w:t>
      </w:r>
      <w:r>
        <w:rPr>
          <w:rStyle w:val="NormalTok"/>
        </w:rPr>
        <w:t xml:space="preserve">, resp, </w:t>
      </w:r>
      <w:r>
        <w:rPr>
          <w:rStyle w:val="StringTok"/>
        </w:rPr>
        <w:t xml:space="preserve">" - 1"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((P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"x1 + x2"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Brier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brier_mc</w:t>
      </w:r>
      <w:r>
        <w:rPr>
          <w:rStyle w:val="NormalTok"/>
        </w:rPr>
        <w:t xml:space="preserve">(m_nom0, cohorte), </w:t>
      </w:r>
      <w:r>
        <w:rPr>
          <w:rStyle w:val="FunctionTok"/>
        </w:rPr>
        <w:t xml:space="preserve">brier_mc</w:t>
      </w:r>
      <w:r>
        <w:rPr>
          <w:rStyle w:val="NormalTok"/>
        </w:rPr>
        <w:t xml:space="preserve">(m_nom, cohorte)),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acierto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(m_nom0,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cohorte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clase_nom),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(m_nom,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cohorte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clase_nom)))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"Capacidad predictiva del tipo: Brier multiclase y acierto."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Capacidad predictiva del tipo: Brier multiclase y acierto.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pacidad predictiva del tipo: Brier multiclase y acierto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 + 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grid_fino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(grid_fino,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(m_nom,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grid_fino,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"probs"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(A, B, C),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Tratamiento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 tratamiento"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 tratamiento"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(x1, prob,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tipo))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Tratamiento)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"Fragilidad ósea (x1)"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"Probabilidad"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p3"/>
          <w:p>
            <w:pPr>
              <w:pStyle w:val="Figure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nforme_tecnico_ec1_files/figure-docx/fig-p3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4: Probabilidad predicha de cada tipo (A/B/C) según fragilidad y tratamiento.</w:t>
            </w:r>
          </w:p>
          <w:bookmarkEnd w:id="65"/>
        </w:tc>
      </w:tr>
    </w:tbl>
    <w:p>
      <w:pPr>
        <w:pStyle w:val="BodyText"/>
      </w:pPr>
      <w:r>
        <w:rPr>
          <w:bCs/>
          <w:b/>
        </w:rPr>
        <w:t xml:space="preserve">Interpretación (P3).</w:t>
      </w:r>
      <w:r>
        <w:t xml:space="preserve"> </w:t>
      </w:r>
      <w:r>
        <w:t xml:space="preserve">El multinomial mejora claramente al nulo (LRT = 113,8; 4 g.l.;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0,001).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fragilidad</w:t>
      </w:r>
      <w:r>
        <w:t xml:space="preserve"> </w:t>
      </w:r>
      <w:r>
        <w:t xml:space="preserve">aleja del tipo A hacia B y</w:t>
      </w:r>
      <w:r>
        <w:t xml:space="preserve"> </w:t>
      </w:r>
      <w:r>
        <w:rPr>
          <w:bCs/>
          <w:b/>
        </w:rPr>
        <w:t xml:space="preserve">sobre todo C</w:t>
      </w:r>
      <w:r>
        <w:t xml:space="preserve"> </w:t>
      </w:r>
      <w:r>
        <w:t xml:space="preserve">(RRR C|A = 2,43); el</w:t>
      </w:r>
      <w:r>
        <w:t xml:space="preserve"> </w:t>
      </w:r>
      <w:r>
        <w:rPr>
          <w:bCs/>
          <w:b/>
        </w:rPr>
        <w:t xml:space="preserve">tratamiento</w:t>
      </w:r>
      <w:r>
        <w:rPr>
          <w:bCs/>
          <w:b/>
        </w:rPr>
        <w:t xml:space="preserve"> </w:t>
      </w:r>
      <w:r>
        <w:rPr>
          <w:bCs/>
          <w:b/>
        </w:rPr>
        <w:t xml:space="preserve">separa</w:t>
      </w:r>
      <w:r>
        <w:t xml:space="preserve"> </w:t>
      </w:r>
      <w:r>
        <w:t xml:space="preserve">fenotipos (RRR B|A = 0,67; RRR C|A = 1,55). Pero la</w:t>
      </w:r>
      <w:r>
        <w:t xml:space="preserve"> </w:t>
      </w:r>
      <w:r>
        <w:rPr>
          <w:bCs/>
          <w:b/>
        </w:rPr>
        <w:t xml:space="preserve">previsibilidad es limitada</w:t>
      </w:r>
      <w:r>
        <w:t xml:space="preserve">: el Brier</w:t>
      </w:r>
      <w:r>
        <w:t xml:space="preserve"> </w:t>
      </w:r>
      <w:r>
        <w:t xml:space="preserve">apenas baja del nulo (0,646 → 0,604) y el acierto es del</w:t>
      </w:r>
      <w:r>
        <w:t xml:space="preserve"> </w:t>
      </w:r>
      <w:r>
        <w:rPr>
          <w:bCs/>
          <w:b/>
        </w:rPr>
        <w:t xml:space="preserve">50 %</w:t>
      </w:r>
      <w:r>
        <w:t xml:space="preserve">.</w:t>
      </w:r>
      <w:r>
        <w:t xml:space="preserve"> </w:t>
      </w:r>
      <w:r>
        <w:rPr>
          <w:bCs/>
          <w:b/>
        </w:rPr>
        <w:t xml:space="preserve">No es posible anticipar el tipo</w:t>
      </w:r>
      <w:r>
        <w:rPr>
          <w:bCs/>
          <w:b/>
        </w:rPr>
        <w:t xml:space="preserve"> </w:t>
      </w:r>
      <w:r>
        <w:rPr>
          <w:bCs/>
          <w:b/>
        </w:rPr>
        <w:t xml:space="preserve">con fiabilidad</w:t>
      </w:r>
      <w:r>
        <w:t xml:space="preserve"> </w:t>
      </w:r>
      <w:r>
        <w:t xml:space="preserve">solo con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x2</w:t>
      </w:r>
      <w:r>
        <w:t xml:space="preserve">.</w:t>
      </w:r>
    </w:p>
    <w:bookmarkEnd w:id="66"/>
    <w:bookmarkStart w:id="71" w:name="Xabfc7405fcb40a0119d5273ba91581120ae5c42"/>
    <w:p>
      <w:pPr>
        <w:pStyle w:val="Heading2"/>
      </w:pPr>
      <w:r>
        <w:t xml:space="preserve">5.4 Resultado clave 4: la fragilidad agrava; el tratamiento se asocia a cuadros más leves (P4)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al que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· qué agrava la fractura; papel del tratamiento en la gravedad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Fragilidad OR 2,06; tratamiento OR 0,49; odds proporcionales sostenidas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asociada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acumulados, curvas de gravedad (</w:t>
            </w:r>
            <w:hyperlink w:anchor="fig-p4">
              <w:r>
                <w:rPr>
                  <w:rStyle w:val="Hyperlink"/>
                </w:rPr>
                <w:t xml:space="preserve">Figura 5</w:t>
              </w:r>
            </w:hyperlink>
            <w:r>
              <w:t xml:space="preserve">), varianza entre centros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fragilidad → mayor gravedad; tratadas → grados más leves (asociativo)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sever_ord</w:t>
            </w:r>
            <w:r>
              <w:t xml:space="preserve"> </w:t>
            </w:r>
            <w:r>
              <w:t xml:space="preserve">es gravedad</w:t>
            </w:r>
            <w:r>
              <w:t xml:space="preserve"> </w:t>
            </w:r>
            <w:r>
              <w:rPr>
                <w:bCs/>
                <w:b/>
              </w:rPr>
              <w:t xml:space="preserve">basal</w:t>
            </w:r>
            <w:r>
              <w:t xml:space="preserve">; la relación con el tratamiento es de indicación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m_ord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ordinal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clm</w:t>
      </w:r>
      <w:r>
        <w:rPr>
          <w:rStyle w:val="NormalTok"/>
        </w:rPr>
        <w:t xml:space="preserve">(sever_ord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(m_ord,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 ratios acumulados (IC 95%) del logit ordinal de odds proporcionales."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Odds ratios acumulados (IC 95%) del logit ordinal de odds proporcionales.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Odds ratios acumulados (IC 95%) del logit ordinal de odds proporcionales."/>
      </w:tblPr>
      <w:tblGrid>
        <w:gridCol w:w="1841"/>
        <w:gridCol w:w="828"/>
        <w:gridCol w:w="920"/>
        <w:gridCol w:w="920"/>
        <w:gridCol w:w="736"/>
        <w:gridCol w:w="828"/>
        <w:gridCol w:w="920"/>
        <w:gridCol w:w="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coef.type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Leve|Moderado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Moderado|Grave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(ordinal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nominal_test</w:t>
      </w:r>
      <w:r>
        <w:rPr>
          <w:rStyle w:val="NormalTok"/>
        </w:rPr>
        <w:t xml:space="preserve">(m_ord)),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de odds proporcionales (efectos nominales por variable)."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Test de odds proporcionales (efectos nominales por variable).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de odds proporcionales (efectos nominales por variable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Pr(&gt;Chi)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-902.6337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1813.267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-902.1740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1814.348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0.9193658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0.3376416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-902.0785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1814.157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1.1102197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0.2920342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m_ordm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ordinal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(sever_ord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centro),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cohorte)</w:t>
      </w:r>
      <w:r>
        <w:br/>
      </w:r>
      <w:r>
        <w:rPr>
          <w:rStyle w:val="NormalTok"/>
        </w:rPr>
        <w:t xml:space="preserve">sd_centro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(m_ordm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componente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"Entre centros (clmm)"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sd_centro, </w:t>
      </w:r>
      <w:r>
        <w:rPr>
          <w:rStyle w:val="AttributeTok"/>
        </w:rPr>
        <w:t xml:space="preserve">varianza =</w:t>
      </w:r>
      <w:r>
        <w:rPr>
          <w:rStyle w:val="NormalTok"/>
        </w:rPr>
        <w:t xml:space="preserve"> sd_centro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ICC_latente =</w:t>
      </w:r>
      <w:r>
        <w:rPr>
          <w:rStyle w:val="NormalTok"/>
        </w:rPr>
        <w:t xml:space="preserve"> varianza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(varianza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"Componente entre centros e ICC latente del modelo ordinal mixto."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Componente entre centros e ICC latente del modelo ordinal mixto.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onente entre centros e ICC latente del modelo ordinal mixto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ICC_latente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centros (clmm)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m_ord_polr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(sever_ord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cohorte, </w:t>
      </w:r>
      <w:r>
        <w:rPr>
          <w:rStyle w:val="AttributeTok"/>
        </w:rPr>
        <w:t xml:space="preserve">Hess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(grid_o,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(m_ord_polr,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grid_o,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"probs"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(Leve, Moderado, Grave),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(grado,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"Moderado"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"Grave"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Tratamiento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 tratamiento"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 tratamiento"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(x1, prob,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grado))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Tratamiento)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"Fragilidad ósea (x1)"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"Probabilidad"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"Gravedad"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4"/>
          <w:p>
            <w:pPr>
              <w:pStyle w:val="Figure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nforme_tecnico_ec1_files/figure-docx/fig-p4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5: Probabilidad de cada grado de gravedad según fragilidad y tratamiento.</w:t>
            </w:r>
          </w:p>
          <w:bookmarkEnd w:id="70"/>
        </w:tc>
      </w:tr>
    </w:tbl>
    <w:p>
      <w:pPr>
        <w:pStyle w:val="BodyText"/>
      </w:pPr>
      <w:r>
        <w:rPr>
          <w:bCs/>
          <w:b/>
        </w:rPr>
        <w:t xml:space="preserve">Interpretación (P4).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fragilidad</w:t>
      </w:r>
      <w:r>
        <w:t xml:space="preserve"> </w:t>
      </w:r>
      <w:r>
        <w:t xml:space="preserve">tiene OR acumulado</w:t>
      </w:r>
      <w:r>
        <w:t xml:space="preserve"> </w:t>
      </w:r>
      <w:r>
        <w:rPr>
          <w:bCs/>
          <w:b/>
        </w:rPr>
        <w:t xml:space="preserve">2,06</w:t>
      </w:r>
      <w:r>
        <w:t xml:space="preserve"> </w:t>
      </w:r>
      <w:r>
        <w:t xml:space="preserve">(IC 95 % 1,80–2,37) —duplica las</w:t>
      </w:r>
      <w:r>
        <w:t xml:space="preserve"> </w:t>
      </w:r>
      <w:r>
        <w:t xml:space="preserve">odds de mayor gravedad— y el</w:t>
      </w:r>
      <w:r>
        <w:t xml:space="preserve"> </w:t>
      </w:r>
      <w:r>
        <w:rPr>
          <w:bCs/>
          <w:b/>
        </w:rPr>
        <w:t xml:space="preserve">tratamiento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0,49</w:t>
      </w:r>
      <w:r>
        <w:t xml:space="preserve"> </w:t>
      </w:r>
      <w:r>
        <w:t xml:space="preserve">(IC 95 % 0,38–0,63) —las reduce a la mitad—.</w:t>
      </w:r>
      <w:r>
        <w:t xml:space="preserve"> </w:t>
      </w:r>
      <w:r>
        <w:t xml:space="preserve">El supuesto de</w:t>
      </w:r>
      <w:r>
        <w:t xml:space="preserve"> </w:t>
      </w:r>
      <w:r>
        <w:rPr>
          <w:bCs/>
          <w:b/>
        </w:rPr>
        <w:t xml:space="preserve">odds proporcionales se sostiene</w:t>
      </w:r>
      <w:r>
        <w:t xml:space="preserve"> </w:t>
      </w:r>
      <w:r>
        <w:t xml:space="preserve">(x1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0,34; x2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0,29) y ~</w:t>
      </w:r>
      <w:r>
        <w:rPr>
          <w:bCs/>
          <w:b/>
        </w:rPr>
        <w:t xml:space="preserve">11 %</w:t>
      </w:r>
      <w:r>
        <w:t xml:space="preserve"> </w:t>
      </w:r>
      <w:r>
        <w:t xml:space="preserve">de la</w:t>
      </w:r>
      <w:r>
        <w:t xml:space="preserve"> </w:t>
      </w:r>
      <w:r>
        <w:t xml:space="preserve">gravedad basal varía entre clínicas. A fragilidad alta, la probabilidad de cuadro</w:t>
      </w:r>
      <w:r>
        <w:t xml:space="preserve"> </w:t>
      </w:r>
      <w:r>
        <w:rPr>
          <w:bCs/>
          <w:b/>
        </w:rPr>
        <w:t xml:space="preserve">Grave</w:t>
      </w:r>
      <w:r>
        <w:t xml:space="preserve"> </w:t>
      </w:r>
      <w:r>
        <w:t xml:space="preserve">cae del</w:t>
      </w:r>
      <w:r>
        <w:t xml:space="preserve"> </w:t>
      </w:r>
      <w:r>
        <w:rPr>
          <w:bCs/>
          <w:b/>
        </w:rPr>
        <w:t xml:space="preserve">53 % al 36 %</w:t>
      </w:r>
      <w:r>
        <w:t xml:space="preserve"> </w:t>
      </w:r>
      <w:r>
        <w:t xml:space="preserve">entre no tratadas y tratadas. La relación del tratamiento con la gravedad es</w:t>
      </w:r>
      <w:r>
        <w:t xml:space="preserve"> </w:t>
      </w:r>
      <w:r>
        <w:rPr>
          <w:bCs/>
          <w:b/>
        </w:rPr>
        <w:t xml:space="preserve">asociativa</w:t>
      </w:r>
      <w:r>
        <w:t xml:space="preserve"> </w:t>
      </w:r>
      <w:r>
        <w:t xml:space="preserve">(indicación), no causal.</w:t>
      </w:r>
    </w:p>
    <w:bookmarkEnd w:id="71"/>
    <w:bookmarkStart w:id="76" w:name="X62dcfebcef3ee2556923212723b51714bfe854e"/>
    <w:p>
      <w:pPr>
        <w:pStyle w:val="Heading2"/>
      </w:pPr>
      <w:r>
        <w:t xml:space="preserve">5.5 Resultado clave 5: la clínica pesa poco; el riesgo es de la paciente (P5)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al que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 · cuánto del riesgo depende del centro; centros mejores/peores; centro 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≈ 8,5 %; OR robustos fijo↔mixto; gradiente entre centros modesto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asociada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Varianza/ICC, caterpillar (</w:t>
            </w:r>
            <w:hyperlink w:anchor="fig-p5">
              <w:r>
                <w:rPr>
                  <w:rStyle w:val="Hyperlink"/>
                </w:rPr>
                <w:t xml:space="preserve">Figura 6</w:t>
              </w:r>
            </w:hyperlink>
            <w:r>
              <w:t xml:space="preserve">), predicción de clínica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~8–9 % del riesgo por clínica; diferencias inciertas; centro nuevo 29–31 % (14–51 %)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Intervalos amplios: evitar rankings tajantes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m_fix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cohorte)</w:t>
      </w:r>
      <w:r>
        <w:br/>
      </w:r>
      <w:r>
        <w:rPr>
          <w:rStyle w:val="NormalTok"/>
        </w:rPr>
        <w:t xml:space="preserve">m_mix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lme4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(ever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centro),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cohorte)</w:t>
      </w:r>
      <w:r>
        <w:br/>
      </w: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icc</w:t>
      </w:r>
      <w:r>
        <w:rPr>
          <w:rStyle w:val="NormalTok"/>
        </w:rPr>
        <w:t xml:space="preserve">(m_mix)</w:t>
      </w:r>
    </w:p>
    <w:p>
      <w:pPr>
        <w:pStyle w:val="SourceCode"/>
      </w:pPr>
      <w:r>
        <w:rPr>
          <w:rStyle w:val="VerbatimChar"/>
        </w:rPr>
        <w:t xml:space="preserve"># Intraclass Correlation Coefficient</w:t>
      </w:r>
      <w:r>
        <w:br/>
      </w:r>
      <w:r>
        <w:br/>
      </w:r>
      <w:r>
        <w:rPr>
          <w:rStyle w:val="VerbatimChar"/>
        </w:rPr>
        <w:t xml:space="preserve">    Adjusted ICC: 0.085</w:t>
      </w:r>
      <w:r>
        <w:br/>
      </w:r>
      <w:r>
        <w:rPr>
          <w:rStyle w:val="VerbatimChar"/>
        </w:rPr>
        <w:t xml:space="preserve">  Unadjusted ICC: 0.063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(m_fix,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"fijo"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(m_mix,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effect)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(modelo, term, estimate, conf.low, conf.high),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 de efectos fijos: modelo fijo vs mixto (condicional)."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OR de efectos fijos: modelo fijo vs mixto (condicional).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 de efectos fijos: modelo fijo vs mixto (condicional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re_df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(lme4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ranef</w:t>
      </w:r>
      <w:r>
        <w:rPr>
          <w:rStyle w:val="NormalTok"/>
        </w:rPr>
        <w:t xml:space="preserve">(m_mix, </w:t>
      </w:r>
      <w:r>
        <w:rPr>
          <w:rStyle w:val="AttributeTok"/>
        </w:rPr>
        <w:t xml:space="preserve">condVar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condval,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(grp, condval)))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condval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condsd,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condval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condsd),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"Efecto aleatorio (logit)"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"Clínica"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p5"/>
          <w:p>
            <w:pPr>
              <w:pStyle w:val="Figure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nforme_tecnico_ec1_files/figure-docx/fig-p5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6: Efectos aleatorios por clínica (caterpillar): intercepto de riesgo (logit), IC 95%.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lme4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fixef</w:t>
      </w:r>
      <w:r>
        <w:rPr>
          <w:rStyle w:val="NormalTok"/>
        </w:rPr>
        <w:t xml:space="preserve">(m_mix); su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(lme4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VarCorr</w:t>
      </w:r>
      <w:r>
        <w:rPr>
          <w:rStyle w:val="NormalTok"/>
        </w:rPr>
        <w:t xml:space="preserve">(m_mix)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centro))</w:t>
      </w:r>
      <w:r>
        <w:br/>
      </w:r>
      <w:r>
        <w:rPr>
          <w:rStyle w:val="NormalTok"/>
        </w:rPr>
        <w:t xml:space="preserve">lp0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(b[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]);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(SEMILLA_CURSO); 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su)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DT_entre_centros =</w:t>
      </w:r>
      <w:r>
        <w:rPr>
          <w:rStyle w:val="NormalTok"/>
        </w:rPr>
        <w:t xml:space="preserve"> su, </w:t>
      </w:r>
      <w:r>
        <w:rPr>
          <w:rStyle w:val="AttributeTok"/>
        </w:rPr>
        <w:t xml:space="preserve">p_clinica_media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(lp0),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p_marginal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(lp0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(lp0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su), </w:t>
      </w:r>
      <w:r>
        <w:rPr>
          <w:rStyle w:val="AttributeTok"/>
        </w:rPr>
        <w:t xml:space="preserve">p95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(lp0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su))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"Riesgo de la paciente tipo en una clínica nueva (rango entre clínicas)."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Riesgo de la paciente tipo en una clínica nueva (rango entre clínicas).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esgo de la paciente tipo en una clínica nueva (rango entre clínicas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DT_entre_centros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p_clinica_media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p_marginal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Interpretación (P5).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desviación entre centros</w:t>
      </w:r>
      <w:r>
        <w:t xml:space="preserve"> </w:t>
      </w:r>
      <w:r>
        <w:t xml:space="preserve">es 0,55 (logit) y el</w:t>
      </w:r>
      <w:r>
        <w:t xml:space="preserve"> </w:t>
      </w:r>
      <w:r>
        <w:rPr>
          <w:bCs/>
          <w:b/>
        </w:rPr>
        <w:t xml:space="preserve">ICC ≈ 8,5 %</w:t>
      </w:r>
      <w:r>
        <w:t xml:space="preserve">: a</w:t>
      </w:r>
      <w:r>
        <w:t xml:space="preserve"> </w:t>
      </w:r>
      <w:r>
        <w:t xml:space="preserve">igualdad de paciente, ~8–9 % del riesgo depende de la clínica. Los OR apenas cambian del modelo fijo</w:t>
      </w:r>
      <w:r>
        <w:t xml:space="preserve"> </w:t>
      </w:r>
      <w:r>
        <w:t xml:space="preserve">al mixto (</w:t>
      </w:r>
      <w:r>
        <w:rPr>
          <w:rStyle w:val="VerbatimChar"/>
        </w:rPr>
        <w:t xml:space="preserve">x1</w:t>
      </w:r>
      <w:r>
        <w:t xml:space="preserve"> </w:t>
      </w:r>
      <w:r>
        <w:t xml:space="preserve">2,60 → 2,73;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0,39 → 0,37): las conclusiones de P1 son</w:t>
      </w:r>
      <w:r>
        <w:t xml:space="preserve"> </w:t>
      </w:r>
      <w:r>
        <w:rPr>
          <w:bCs/>
          <w:b/>
        </w:rPr>
        <w:t xml:space="preserve">robustas</w:t>
      </w:r>
      <w:r>
        <w:t xml:space="preserve">. Hay</w:t>
      </w:r>
      <w:r>
        <w:t xml:space="preserve"> </w:t>
      </w:r>
      <w:r>
        <w:rPr>
          <w:bCs/>
          <w:b/>
        </w:rPr>
        <w:t xml:space="preserve">gradiente</w:t>
      </w:r>
      <w:r>
        <w:t xml:space="preserve"> </w:t>
      </w:r>
      <w:r>
        <w:t xml:space="preserve">entre centros (20, 8, 6 con más riesgo; 1, 21, 9 con menos), pero con intervalos anchos</w:t>
      </w:r>
      <w:r>
        <w:t xml:space="preserve"> </w:t>
      </w:r>
      <w:r>
        <w:t xml:space="preserve">y solapados. Para una</w:t>
      </w:r>
      <w:r>
        <w:t xml:space="preserve"> </w:t>
      </w:r>
      <w:r>
        <w:rPr>
          <w:bCs/>
          <w:b/>
        </w:rPr>
        <w:t xml:space="preserve">clínica nueva</w:t>
      </w:r>
      <w:r>
        <w:t xml:space="preserve">, el riesgo de la paciente tipo es</w:t>
      </w:r>
      <w:r>
        <w:t xml:space="preserve"> </w:t>
      </w:r>
      <w:r>
        <w:rPr>
          <w:bCs/>
          <w:b/>
        </w:rPr>
        <w:t xml:space="preserve">29–31 %</w:t>
      </w:r>
      <w:r>
        <w:t xml:space="preserve">, con rango</w:t>
      </w:r>
      <w:r>
        <w:t xml:space="preserve"> </w:t>
      </w:r>
      <w:r>
        <w:t xml:space="preserve">plausible</w:t>
      </w:r>
      <w:r>
        <w:t xml:space="preserve"> </w:t>
      </w:r>
      <w:r>
        <w:rPr>
          <w:bCs/>
          <w:b/>
        </w:rPr>
        <w:t xml:space="preserve">14–51 %</w:t>
      </w:r>
      <w:r>
        <w:t xml:space="preserve">.</w:t>
      </w:r>
    </w:p>
    <w:bookmarkEnd w:id="76"/>
    <w:bookmarkStart w:id="77" w:name="síntesis-técnica-de-hallazgos"/>
    <w:p>
      <w:pPr>
        <w:pStyle w:val="Heading2"/>
      </w:pPr>
      <w:r>
        <w:t xml:space="preserve">5.6 Síntesis técnica de hallazgos</w:t>
      </w:r>
    </w:p>
    <w:p>
      <w:pPr>
        <w:numPr>
          <w:ilvl w:val="0"/>
          <w:numId w:val="1001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fragilidad ósea</w:t>
      </w:r>
      <w:r>
        <w:t xml:space="preserve"> </w:t>
      </w:r>
      <w:r>
        <w:t xml:space="preserve">domina el riesgo, el ritmo y la gravedad. (2) El</w:t>
      </w:r>
      <w:r>
        <w:t xml:space="preserve"> </w:t>
      </w:r>
      <w:r>
        <w:rPr>
          <w:bCs/>
          <w:b/>
        </w:rPr>
        <w:t xml:space="preserve">tratamiento</w:t>
      </w:r>
      <w:r>
        <w:t xml:space="preserve"> </w:t>
      </w:r>
      <w:r>
        <w:t xml:space="preserve">protege</w:t>
      </w:r>
      <w:r>
        <w:t xml:space="preserve"> </w:t>
      </w:r>
      <w:r>
        <w:t xml:space="preserve">de forma sustancial, homogénea y proporcional en el tiempo, y</w:t>
      </w:r>
      <w:r>
        <w:t xml:space="preserve"> </w:t>
      </w:r>
      <w:r>
        <w:rPr>
          <w:bCs/>
          <w:b/>
        </w:rPr>
        <w:t xml:space="preserve">retrasa</w:t>
      </w:r>
      <w:r>
        <w:t xml:space="preserve"> </w:t>
      </w:r>
      <w:r>
        <w:t xml:space="preserve">la fractura. (3) El</w:t>
      </w:r>
      <w:r>
        <w:t xml:space="preserve"> </w:t>
      </w:r>
      <w:r>
        <w:rPr>
          <w:bCs/>
          <w:b/>
        </w:rPr>
        <w:t xml:space="preserve">riesgo es sostenido</w:t>
      </w:r>
      <w:r>
        <w:t xml:space="preserve"> </w:t>
      </w:r>
      <w:r>
        <w:t xml:space="preserve">los seis años. (4) El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de fractura no es previsible con las</w:t>
      </w:r>
      <w:r>
        <w:t xml:space="preserve"> </w:t>
      </w:r>
      <w:r>
        <w:t xml:space="preserve">covariables disponibles. (5) La</w:t>
      </w:r>
      <w:r>
        <w:t xml:space="preserve"> </w:t>
      </w:r>
      <w:r>
        <w:rPr>
          <w:bCs/>
          <w:b/>
        </w:rPr>
        <w:t xml:space="preserve">clínica</w:t>
      </w:r>
      <w:r>
        <w:t xml:space="preserve"> </w:t>
      </w:r>
      <w:r>
        <w:t xml:space="preserve">explica una fracción menor (~8–9 %) del riesgo.</w:t>
      </w:r>
    </w:p>
    <w:bookmarkEnd w:id="77"/>
    <w:bookmarkEnd w:id="78"/>
    <w:bookmarkStart w:id="80" w:name="X7a84f6cf401204872f95d03ada764271e90f1f9"/>
    <w:p>
      <w:pPr>
        <w:pStyle w:val="Heading1"/>
      </w:pPr>
      <w:r>
        <w:t xml:space="preserve">6. Implicaciones, recomendaciones y próximos pasos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 o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evaluar el 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Fragilidad = factor dominante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muy heterogéneo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 vigilancia en alta fragilidad; calculadora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Tasas por estrato de fragilidad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Tratamiento protege y retrasa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absoluto mayor en frágiles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Asegurar cobertura, con foco en alta fragilidad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y fracturas evitadas por estrato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sostenido en el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relajar el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  <w:r>
              <w:t xml:space="preserve"> </w:t>
            </w:r>
            <w:r>
              <w:rPr>
                <w:bCs/>
                <w:b/>
              </w:rPr>
              <w:t xml:space="preserve">revisión anual</w:t>
            </w:r>
            <w:r>
              <w:t xml:space="preserve"> </w:t>
            </w:r>
            <w:r>
              <w:t xml:space="preserve">los seis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Adherencia al calendario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poco previsible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 por tipo no es 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Ampliar variables clínicas si el tipo es prioritario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Reevaluar Brier/acierto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~8–9 % del riesgo por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Diferencias reales pero modestas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rankings; auditar centros con efecto alto sostenido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Efectos aleatorios en cohortes sucesivas</w:t>
            </w:r>
          </w:p>
        </w:tc>
      </w:tr>
    </w:tbl>
    <w:bookmarkStart w:id="79" w:name="próximos-pasos"/>
    <w:p>
      <w:pPr>
        <w:pStyle w:val="Heading2"/>
      </w:pPr>
      <w:r>
        <w:t xml:space="preserve">6.1 Próximos pasos</w:t>
      </w:r>
    </w:p>
    <w:p>
      <w:pPr>
        <w:pStyle w:val="BlockText"/>
      </w:pPr>
      <w:r>
        <w:t xml:space="preserve">Validación</w:t>
      </w:r>
      <w:r>
        <w:t xml:space="preserve"> </w:t>
      </w:r>
      <w:r>
        <w:rPr>
          <w:bCs/>
          <w:b/>
        </w:rPr>
        <w:t xml:space="preserve">fuera de muestra</w:t>
      </w:r>
      <w:r>
        <w:t xml:space="preserve"> </w:t>
      </w:r>
      <w:r>
        <w:t xml:space="preserve">(k-fold) de la logística y del modelo de supervivencia; nuevas</w:t>
      </w:r>
      <w:r>
        <w:t xml:space="preserve"> </w:t>
      </w:r>
      <w:r>
        <w:t xml:space="preserve">covariables clínicas para mejorar la predicción del tipo;</w:t>
      </w:r>
      <w:r>
        <w:t xml:space="preserve"> </w:t>
      </w:r>
      <w:r>
        <w:rPr>
          <w:bCs/>
          <w:b/>
        </w:rPr>
        <w:t xml:space="preserve">calculadora de riesgo</w:t>
      </w:r>
      <w:r>
        <w:t xml:space="preserve"> </w:t>
      </w:r>
      <w:r>
        <w:t xml:space="preserve">para consulta; y</w:t>
      </w:r>
      <w:r>
        <w:t xml:space="preserve"> </w:t>
      </w:r>
      <w:r>
        <w:t xml:space="preserve">monitorización longitudinal de los efectos por clínica para separar señal de ruido.</w:t>
      </w:r>
    </w:p>
    <w:bookmarkEnd w:id="79"/>
    <w:bookmarkEnd w:id="80"/>
    <w:bookmarkStart w:id="86" w:name="X4c559f5eda188100c5c2bf78d14dea0a3678a7f"/>
    <w:p>
      <w:pPr>
        <w:pStyle w:val="Heading1"/>
      </w:pPr>
      <w:r>
        <w:t xml:space="preserve">7. Riesgos, incertidumbres, limitaciones y uso de IA</w:t>
      </w:r>
    </w:p>
    <w:bookmarkStart w:id="81" w:name="limitaciones-e-incertidumbre"/>
    <w:p>
      <w:pPr>
        <w:pStyle w:val="Heading2"/>
      </w:pPr>
      <w:r>
        <w:t xml:space="preserve">7.1 Limitaciones e incertidumbre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limitación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afecta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podría mitigarse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dos covariables sustantivas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 la predicción del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Ampliar el registro clínico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Muestra /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Cohorte simulada de una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Cifras específicas de esta cohorte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Replicar en datos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Asociaciones no causales (tipo, gravedad)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sobreinterpretación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Diseños causales; lectura asociativa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/ evaluación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y Brier dentro de muestra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Optimismo posible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fuera de 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Contexto / aplicabilidad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Censura administrativa por diseño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  <w:r>
              <w:t xml:space="preserve"> </w:t>
            </w:r>
            <w:r>
              <w:t xml:space="preserve">es lectura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 con supervivencia (P2)</w:t>
            </w:r>
          </w:p>
        </w:tc>
      </w:tr>
    </w:tbl>
    <w:bookmarkEnd w:id="81"/>
    <w:bookmarkStart w:id="82" w:name="riesgos-de-mala-interpretación"/>
    <w:p>
      <w:pPr>
        <w:pStyle w:val="Heading2"/>
      </w:pPr>
      <w:r>
        <w:t xml:space="preserve">7.2 Riesgos de mala interpretación</w:t>
      </w:r>
    </w:p>
    <w:p>
      <w:pPr>
        <w:pStyle w:val="BlockText"/>
      </w:pPr>
      <w:r>
        <w:t xml:space="preserve">No debe afirmarse</w:t>
      </w:r>
      <w:r>
        <w:t xml:space="preserve"> </w:t>
      </w:r>
      <w:r>
        <w:rPr>
          <w:bCs/>
          <w:b/>
        </w:rPr>
        <w:t xml:space="preserve">causalidad</w:t>
      </w:r>
      <w:r>
        <w:t xml:space="preserve"> </w:t>
      </w:r>
      <w:r>
        <w:t xml:space="preserve">del tratamiento sobre el tipo o la gravedad; no debe</w:t>
      </w:r>
      <w:r>
        <w:t xml:space="preserve"> </w:t>
      </w:r>
      <w:r>
        <w:rPr>
          <w:bCs/>
          <w:b/>
        </w:rPr>
        <w:t xml:space="preserve">generalizarse</w:t>
      </w:r>
      <w:r>
        <w:t xml:space="preserve"> </w:t>
      </w:r>
      <w:r>
        <w:t xml:space="preserve">fuera de la cohorte simulada; no debe confiarse en exceso en el</w:t>
      </w:r>
      <w:r>
        <w:t xml:space="preserve"> </w:t>
      </w:r>
      <w:r>
        <w:rPr>
          <w:bCs/>
          <w:b/>
        </w:rPr>
        <w:t xml:space="preserve">AUC</w:t>
      </w:r>
      <w:r>
        <w:t xml:space="preserve"> </w:t>
      </w:r>
      <w:r>
        <w:t xml:space="preserve">(in-sample);</w:t>
      </w:r>
      <w:r>
        <w:t xml:space="preserve"> </w:t>
      </w:r>
      <w:r>
        <w:t xml:space="preserve">y no deben hacerse</w:t>
      </w:r>
      <w:r>
        <w:t xml:space="preserve"> </w:t>
      </w:r>
      <w:r>
        <w:rPr>
          <w:bCs/>
          <w:b/>
        </w:rPr>
        <w:t xml:space="preserve">rankings tajantes de clínicas</w:t>
      </w:r>
      <w:r>
        <w:t xml:space="preserve"> </w:t>
      </w:r>
      <w:r>
        <w:t xml:space="preserve">a partir de efectos aleatorios con intervalos</w:t>
      </w:r>
      <w:r>
        <w:t xml:space="preserve"> </w:t>
      </w:r>
      <w:r>
        <w:t xml:space="preserve">solapados.</w:t>
      </w:r>
    </w:p>
    <w:bookmarkEnd w:id="82"/>
    <w:bookmarkStart w:id="85" w:name="X8222d5ec3f2ec0c7b2543ab1040c0ff5752c238"/>
    <w:p>
      <w:pPr>
        <w:pStyle w:val="Heading2"/>
      </w:pPr>
      <w:r>
        <w:t xml:space="preserve">7.3 Declaración responsable de uso de inteligencia artificial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Apartado obligatorio: transparente y concreto, deja constancia de que la autoría del trabajo no es de</w:t>
            </w:r>
            <w:r>
              <w:t xml:space="preserve"> </w:t>
            </w:r>
            <w:r>
              <w:t xml:space="preserve">la IA.</w:t>
            </w:r>
          </w:p>
        </w:tc>
      </w:tr>
    </w:tbl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Herramientas utilizadas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de IA Claude (Opus 4.8), julio de 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Tareas para las que se utilizó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Estructuración, redacción del cuaderno Quarto, propuesta de código en R, borrador de interpretaciones y del informe, organización de referencias.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humana realizada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código se ejecutó y renderizó; cada cifra procede de esa salida verificada; las interpretaciones se redactaron tras el render.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Decisiones no delegadas en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Elección metodológica, criterios de selección/validación, interpretación clínica, recomendaciones y conclusiones.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Errores/ajustes 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descartaron citas inexistentes propuestas por la IA (</w:t>
            </w:r>
            <w:r>
              <w:rPr>
                <w:rStyle w:val="VerbatimChar"/>
              </w:rPr>
              <w:t xml:space="preserve">singer2003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tutz2016</w:t>
            </w:r>
            <w:r>
              <w:t xml:space="preserve">), sustituidas por fuentes verificadas; se corrigió una colisión de</w:t>
            </w:r>
            <w:r>
              <w:t xml:space="preserve"> </w:t>
            </w:r>
            <w:r>
              <w:rPr>
                <w:rStyle w:val="VerbatimChar"/>
              </w:rPr>
              <w:t xml:space="preserve">slice</w:t>
            </w:r>
            <w:r>
              <w:t xml:space="preserve"> </w:t>
            </w:r>
            <w:r>
              <w:t xml:space="preserve">con el paquete</w:t>
            </w:r>
            <w:r>
              <w:t xml:space="preserve"> </w:t>
            </w:r>
            <w:r>
              <w:rPr>
                <w:rStyle w:val="VerbatimChar"/>
              </w:rPr>
              <w:t xml:space="preserve">ordinal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Modelo de declaración.</w:t>
      </w:r>
      <w:r>
        <w:t xml:space="preserve"> </w:t>
      </w:r>
      <w:r>
        <w:t xml:space="preserve">En este proyecto se han utilizado herramientas de inteligencia artificial</w:t>
      </w:r>
      <w:r>
        <w:t xml:space="preserve"> </w:t>
      </w:r>
      <w:r>
        <w:t xml:space="preserve">como apoyo para la estructuración, la programación en R, la redacción y la organización de</w:t>
      </w:r>
      <w:r>
        <w:t xml:space="preserve"> </w:t>
      </w:r>
      <w:r>
        <w:t xml:space="preserve">referencias. Todas las salidas han sido revisadas críticamente y verificadas contra la ejecución del</w:t>
      </w:r>
      <w:r>
        <w:t xml:space="preserve"> </w:t>
      </w:r>
      <w:r>
        <w:t xml:space="preserve">código y las fuentes originales. La IA no ha sido fuente autónoma de resultados ni autora de las</w:t>
      </w:r>
      <w:r>
        <w:t xml:space="preserve"> </w:t>
      </w:r>
      <w:r>
        <w:t xml:space="preserve">conclusiones; las decisiones metodológicas, la interpretación y las recomendaciones son</w:t>
      </w:r>
      <w:r>
        <w:t xml:space="preserve"> </w:t>
      </w:r>
      <w:r>
        <w:t xml:space="preserve">responsabilidad del equipo.</w:t>
      </w:r>
    </w:p>
    <w:bookmarkEnd w:id="85"/>
    <w:bookmarkEnd w:id="86"/>
    <w:bookmarkStart w:id="87" w:name="sec-qc"/>
    <w:p>
      <w:pPr>
        <w:pStyle w:val="Heading1"/>
      </w:pPr>
      <w:r>
        <w:t xml:space="preserve">8. Control de calidad frente a la verdad del DGP</w:t>
      </w:r>
    </w:p>
    <w:p>
      <w:pPr>
        <w:pStyle w:val="FirstParagraph"/>
      </w:pPr>
      <w:r>
        <w:t xml:space="preserve">Como la cohorte es simulada, sus parámetros generadores están en</w:t>
      </w:r>
      <w:r>
        <w:t xml:space="preserve"> </w:t>
      </w:r>
      <w:r>
        <w:rPr>
          <w:rStyle w:val="VerbatimChar"/>
        </w:rPr>
        <w:t xml:space="preserve">attr(cohorte, "verdad")</w:t>
      </w:r>
      <w:r>
        <w:t xml:space="preserve">. Habiendo</w:t>
      </w:r>
      <w:r>
        <w:t xml:space="preserve"> </w:t>
      </w:r>
      <w:r>
        <w:t xml:space="preserve">ajustado a ciegas, se comparan las estimaciones con la verdad (lujo didáctico imposible con datos</w:t>
      </w:r>
      <w:r>
        <w:t xml:space="preserve"> </w:t>
      </w:r>
      <w:r>
        <w:t xml:space="preserve">reales).</w:t>
      </w:r>
    </w:p>
    <w:p>
      <w:pPr>
        <w:pStyle w:val="SourceCode"/>
      </w:pPr>
      <w:r>
        <w:rPr>
          <w:rStyle w:val="NormalTok"/>
        </w:rPr>
        <w:t xml:space="preserve">verdad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"../datos_equipos/equipo_10/cohorte.rds"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"verdad"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m_pp_mix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lme4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centro),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pp)</w:t>
      </w:r>
      <w:r>
        <w:br/>
      </w:r>
      <w:r>
        <w:rPr>
          <w:rStyle w:val="NormalTok"/>
        </w:rPr>
        <w:t xml:space="preserve">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(m_pp_mix,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parametro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"beta_x1 (cloglog)"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"beta_x2 (cloglog)"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verdad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(verdad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binaria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]], verdad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binaria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beta[[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]], verdad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binaria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sigma_u),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estimado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], 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(lme4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VarCorr</w:t>
      </w:r>
      <w:r>
        <w:rPr>
          <w:rStyle w:val="NormalTok"/>
        </w:rPr>
        <w:t xml:space="preserve">(m_pp_mix)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centro)))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"Recuperación de la verdad: binaria/tiempo (GLMM cloglog)."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Recuperación de la verdad: binaria/tiempo (GLMM cloglog).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uperación de la verdad: binaria/tiempo (GLMM cloglog)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beta_x1 (cloglog)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beta_x2 (cloglog)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sigma_u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 del control de calidad.</w:t>
      </w:r>
      <w:r>
        <w:t xml:space="preserve"> </w:t>
      </w:r>
      <w:r>
        <w:t xml:space="preserve">La recuperación es</w:t>
      </w:r>
      <w:r>
        <w:t xml:space="preserve"> </w:t>
      </w:r>
      <w:r>
        <w:rPr>
          <w:bCs/>
          <w:b/>
        </w:rPr>
        <w:t xml:space="preserve">buena</w:t>
      </w:r>
      <w:r>
        <w:t xml:space="preserve"> </w:t>
      </w:r>
      <w:r>
        <w:t xml:space="preserve">en las tres lentes: binaria/tiempo</w:t>
      </w:r>
      <w:r>
        <w:t xml:space="preserve"> </w:t>
      </w:r>
      <w:r>
        <w:t xml:space="preserve">(β_x1 ≈ 0,84 vs 0,80; β_x2 ≈ −0,87 vs −0,65; σ_u ≈ 0,49 vs 0,40), nominal (casi exacta) y ordinal</w:t>
      </w:r>
      <w:r>
        <w:t xml:space="preserve"> </w:t>
      </w:r>
      <w:r>
        <w:t xml:space="preserve">(β_x1 0,79 vs 0,70; β_x2 −0,83 vs −0,70). Patrón consistente: el efecto protector del tratamiento se</w:t>
      </w:r>
      <w:r>
        <w:t xml:space="preserve"> </w:t>
      </w:r>
      <w:r>
        <w:t xml:space="preserve">estima algo más marcado que el verdadero en esta cohorte. La coherencia entre estimaciones a ciegas y</w:t>
      </w:r>
      <w:r>
        <w:t xml:space="preserve"> </w:t>
      </w:r>
      <w:r>
        <w:t xml:space="preserve">verdad refuerza el enfoque.</w:t>
      </w:r>
    </w:p>
    <w:bookmarkEnd w:id="87"/>
    <w:bookmarkStart w:id="105" w:name="referencias"/>
    <w:p>
      <w:pPr>
        <w:pStyle w:val="Heading1"/>
      </w:pPr>
      <w:r>
        <w:t xml:space="preserve">9. Referencias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Referencias en formato APA 7 (generadas desde</w:t>
            </w:r>
            <w:r>
              <w:t xml:space="preserve"> </w:t>
            </w:r>
            <w:r>
              <w:rPr>
                <w:rStyle w:val="VerbatimChar"/>
              </w:rPr>
              <w:t xml:space="preserve">references.bib</w:t>
            </w:r>
            <w:r>
              <w:t xml:space="preserve">). Solo fuentes efectivamente citadas.</w:t>
            </w:r>
          </w:p>
        </w:tc>
      </w:tr>
    </w:tbl>
    <w:bookmarkStart w:id="104" w:name="refs"/>
    <w:bookmarkStart w:id="90" w:name="ref-agresti2013"/>
    <w:p>
      <w:pPr>
        <w:pStyle w:val="Bibliography"/>
      </w:pPr>
      <w:r>
        <w:t xml:space="preserve">Agresti, A. (2013).</w:t>
      </w:r>
      <w:r>
        <w:t xml:space="preserve"> </w:t>
      </w:r>
      <w:r>
        <w:rPr>
          <w:iCs/>
          <w:i/>
        </w:rPr>
        <w:t xml:space="preserve">Categorical Data Analysis</w:t>
      </w:r>
      <w:r>
        <w:t xml:space="preserve"> </w:t>
      </w:r>
      <w:r>
        <w:t xml:space="preserve">(3.ª ed.). Wiley.</w:t>
      </w:r>
    </w:p>
    <w:bookmarkEnd w:id="90"/>
    <w:bookmarkStart w:id="92" w:name="ref-allison1982"/>
    <w:p>
      <w:pPr>
        <w:pStyle w:val="Bibliography"/>
      </w:pPr>
      <w:r>
        <w:t xml:space="preserve">Allison, P. D. (1982). Discrete-Time Methods for the Analysis of Event Histories.</w:t>
      </w:r>
      <w:r>
        <w:t xml:space="preserve"> </w:t>
      </w:r>
      <w:r>
        <w:rPr>
          <w:iCs/>
          <w:i/>
        </w:rPr>
        <w:t xml:space="preserve">Sociological Methodology</w:t>
      </w:r>
      <w:r>
        <w:t xml:space="preserve">,</w:t>
      </w:r>
      <w:r>
        <w:t xml:space="preserve"> </w:t>
      </w:r>
      <w:r>
        <w:rPr>
          <w:iCs/>
          <w:i/>
        </w:rPr>
        <w:t xml:space="preserve">13</w:t>
      </w:r>
      <w:r>
        <w:t xml:space="preserve">, 61-98.</w:t>
      </w:r>
      <w:r>
        <w:t xml:space="preserve"> </w:t>
      </w:r>
      <w:hyperlink r:id="rId91">
        <w:r>
          <w:rPr>
            <w:rStyle w:val="Hyperlink"/>
          </w:rPr>
          <w:t xml:space="preserve">https://doi.org/10.2307/270718</w:t>
        </w:r>
      </w:hyperlink>
    </w:p>
    <w:bookmarkEnd w:id="92"/>
    <w:bookmarkStart w:id="94" w:name="ref-bates2015"/>
    <w:p>
      <w:pPr>
        <w:pStyle w:val="Bibliography"/>
      </w:pPr>
      <w:r>
        <w:t xml:space="preserve">Bates, D., Mächler, M., Bolker, B., &amp; Walker, S. (2015). Fitting Linear Mixed-Effects Models Using</w:t>
      </w:r>
      <w:r>
        <w:t xml:space="preserve"> </w:t>
      </w:r>
      <w:r>
        <w:t xml:space="preserve">lme4</w:t>
      </w:r>
      <w:r>
        <w:t xml:space="preserve">.</w:t>
      </w:r>
      <w:r>
        <w:t xml:space="preserve"> </w:t>
      </w:r>
      <w:r>
        <w:rPr>
          <w:iCs/>
          <w:i/>
        </w:rPr>
        <w:t xml:space="preserve">Journal of Statistical Software</w:t>
      </w:r>
      <w:r>
        <w:t xml:space="preserve">,</w:t>
      </w:r>
      <w:r>
        <w:t xml:space="preserve"> </w:t>
      </w:r>
      <w:r>
        <w:rPr>
          <w:iCs/>
          <w:i/>
        </w:rPr>
        <w:t xml:space="preserve">67</w:t>
      </w:r>
      <w:r>
        <w:t xml:space="preserve">(1), 1-48.</w:t>
      </w:r>
      <w:r>
        <w:t xml:space="preserve"> </w:t>
      </w:r>
      <w:hyperlink r:id="rId93">
        <w:r>
          <w:rPr>
            <w:rStyle w:val="Hyperlink"/>
          </w:rPr>
          <w:t xml:space="preserve">https://doi.org/10.18637/jss.v067.i01</w:t>
        </w:r>
      </w:hyperlink>
    </w:p>
    <w:bookmarkEnd w:id="94"/>
    <w:bookmarkStart w:id="96" w:name="ref-dobson2018"/>
    <w:p>
      <w:pPr>
        <w:pStyle w:val="Bibliography"/>
      </w:pPr>
      <w:r>
        <w:t xml:space="preserve">Dobson, A. J., &amp; Barnett, A. G. (2018).</w:t>
      </w:r>
      <w:r>
        <w:t xml:space="preserve"> </w:t>
      </w:r>
      <w:r>
        <w:rPr>
          <w:iCs/>
          <w:i/>
        </w:rPr>
        <w:t xml:space="preserve">An Introduction to Generalized Linear Models</w:t>
      </w:r>
      <w:r>
        <w:t xml:space="preserve"> </w:t>
      </w:r>
      <w:r>
        <w:t xml:space="preserve">(4.ª ed.). Chapman; Hall/CRC.</w:t>
      </w:r>
      <w:r>
        <w:t xml:space="preserve"> </w:t>
      </w:r>
      <w:hyperlink r:id="rId95">
        <w:r>
          <w:rPr>
            <w:rStyle w:val="Hyperlink"/>
          </w:rPr>
          <w:t xml:space="preserve">https://doi.org/10.1201/9781315182780</w:t>
        </w:r>
      </w:hyperlink>
    </w:p>
    <w:bookmarkEnd w:id="96"/>
    <w:bookmarkStart w:id="98" w:name="ref-hosmer2013"/>
    <w:p>
      <w:pPr>
        <w:pStyle w:val="Bibliography"/>
      </w:pPr>
      <w:r>
        <w:t xml:space="preserve">Hosmer, D. W., Lemeshow, S., &amp; Sturdivant, R. X. (2013).</w:t>
      </w:r>
      <w:r>
        <w:t xml:space="preserve"> </w:t>
      </w:r>
      <w:r>
        <w:rPr>
          <w:iCs/>
          <w:i/>
        </w:rPr>
        <w:t xml:space="preserve">Applied Logistic Regression</w:t>
      </w:r>
      <w:r>
        <w:t xml:space="preserve"> </w:t>
      </w:r>
      <w:r>
        <w:t xml:space="preserve">(3.ª ed.). Wiley.</w:t>
      </w:r>
      <w:r>
        <w:t xml:space="preserve"> </w:t>
      </w:r>
      <w:hyperlink r:id="rId97">
        <w:r>
          <w:rPr>
            <w:rStyle w:val="Hyperlink"/>
          </w:rPr>
          <w:t xml:space="preserve">https://doi.org/10.1002/9781118548387</w:t>
        </w:r>
      </w:hyperlink>
    </w:p>
    <w:bookmarkEnd w:id="98"/>
    <w:bookmarkStart w:id="99" w:name="ref-mccullagh1989"/>
    <w:p>
      <w:pPr>
        <w:pStyle w:val="Bibliography"/>
      </w:pPr>
      <w:r>
        <w:t xml:space="preserve">McCullagh, P., &amp; Nelder, J. A. (1989).</w:t>
      </w:r>
      <w:r>
        <w:t xml:space="preserve"> </w:t>
      </w:r>
      <w:r>
        <w:rPr>
          <w:iCs/>
          <w:i/>
        </w:rPr>
        <w:t xml:space="preserve">Generalized Linear Models</w:t>
      </w:r>
      <w:r>
        <w:t xml:space="preserve"> </w:t>
      </w:r>
      <w:r>
        <w:t xml:space="preserve">(2.ª ed.). Chapman; Hall/CRC.</w:t>
      </w:r>
    </w:p>
    <w:bookmarkEnd w:id="99"/>
    <w:bookmarkStart w:id="101" w:name="ref-nelder1972"/>
    <w:p>
      <w:pPr>
        <w:pStyle w:val="Bibliography"/>
      </w:pPr>
      <w:r>
        <w:t xml:space="preserve">Nelder, J. A., &amp; Wedderburn, R. W. M. (1972). Generalized Linear Models.</w:t>
      </w:r>
      <w:r>
        <w:t xml:space="preserve"> </w:t>
      </w:r>
      <w:r>
        <w:rPr>
          <w:iCs/>
          <w:i/>
        </w:rPr>
        <w:t xml:space="preserve">Journal of the Royal Statistical Society. Series A (General)</w:t>
      </w:r>
      <w:r>
        <w:t xml:space="preserve">,</w:t>
      </w:r>
      <w:r>
        <w:t xml:space="preserve"> </w:t>
      </w:r>
      <w:r>
        <w:rPr>
          <w:iCs/>
          <w:i/>
        </w:rPr>
        <w:t xml:space="preserve">135</w:t>
      </w:r>
      <w:r>
        <w:t xml:space="preserve">(3), 370-384.</w:t>
      </w:r>
      <w:r>
        <w:t xml:space="preserve"> </w:t>
      </w:r>
      <w:hyperlink r:id="rId100">
        <w:r>
          <w:rPr>
            <w:rStyle w:val="Hyperlink"/>
          </w:rPr>
          <w:t xml:space="preserve">https://doi.org/10.2307/2344614</w:t>
        </w:r>
      </w:hyperlink>
    </w:p>
    <w:bookmarkEnd w:id="101"/>
    <w:bookmarkStart w:id="103" w:name="ref-prentice1978"/>
    <w:p>
      <w:pPr>
        <w:pStyle w:val="Bibliography"/>
      </w:pPr>
      <w:r>
        <w:t xml:space="preserve">Prentice, R. L., &amp; Gloeckler, L. A. (1978). Regression Analysis of Grouped Survival Data with Application to Breast Cancer Data.</w:t>
      </w:r>
      <w:r>
        <w:t xml:space="preserve"> </w:t>
      </w:r>
      <w:r>
        <w:rPr>
          <w:iCs/>
          <w:i/>
        </w:rPr>
        <w:t xml:space="preserve">Biometrics</w:t>
      </w:r>
      <w:r>
        <w:t xml:space="preserve">,</w:t>
      </w:r>
      <w:r>
        <w:t xml:space="preserve"> </w:t>
      </w:r>
      <w:r>
        <w:rPr>
          <w:iCs/>
          <w:i/>
        </w:rPr>
        <w:t xml:space="preserve">34</w:t>
      </w:r>
      <w:r>
        <w:t xml:space="preserve">(1), 57-67.</w:t>
      </w:r>
      <w:r>
        <w:t xml:space="preserve"> </w:t>
      </w:r>
      <w:hyperlink r:id="rId102">
        <w:r>
          <w:rPr>
            <w:rStyle w:val="Hyperlink"/>
          </w:rPr>
          <w:t xml:space="preserve">https://doi.org/10.2307/2529588</w:t>
        </w:r>
      </w:hyperlink>
    </w:p>
    <w:bookmarkEnd w:id="103"/>
    <w:bookmarkEnd w:id="104"/>
    <w:bookmarkEnd w:id="105"/>
    <w:bookmarkStart w:id="109" w:name="anexos"/>
    <w:p>
      <w:pPr>
        <w:pStyle w:val="Heading1"/>
      </w:pPr>
      <w:r>
        <w:t xml:space="preserve">10. Anexos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Los anexos aportan trazabilidad sin sobrecargar el cuerpo principal.</w:t>
            </w:r>
          </w:p>
        </w:tc>
      </w:tr>
    </w:tbl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A. Diccionario de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Véase §</w:t>
            </w:r>
            <w:r>
              <w:rPr>
                <w:iCs/>
                <w:i/>
              </w:rPr>
              <w:t xml:space="preserve">Variables principales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tiempo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clase_nom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sever_ord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B. Base de datos utilizada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caso1/datos_equipos/equipo_10/cohorte.rds</w:t>
            </w:r>
            <w:r>
              <w:t xml:space="preserve"> </w:t>
            </w:r>
            <w:r>
              <w:t xml:space="preserve">(individuo) y</w:t>
            </w:r>
            <w:r>
              <w:t xml:space="preserve"> </w:t>
            </w:r>
            <w:r>
              <w:rPr>
                <w:rStyle w:val="VerbatimChar"/>
              </w:rPr>
              <w:t xml:space="preserve">pp.rds</w:t>
            </w:r>
            <w:r>
              <w:t xml:space="preserve"> </w:t>
            </w:r>
            <w:r>
              <w:t xml:space="preserve">(persona-periodo); DGP en</w:t>
            </w:r>
            <w:r>
              <w:t xml:space="preserve"> </w:t>
            </w:r>
            <w:r>
              <w:rPr>
                <w:rStyle w:val="VerbatimChar"/>
              </w:rPr>
              <w:t xml:space="preserve">caso1/R/dgp_cohorte.R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C. Código o cuaderno 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corre de principio a fin; alternativamente el cuaderno de trabajo</w:t>
            </w:r>
            <w:r>
              <w:t xml:space="preserve"> </w:t>
            </w:r>
            <w:r>
              <w:rPr>
                <w:rStyle w:val="VerbatimChar"/>
              </w:rPr>
              <w:t xml:space="preserve">informe_osteored_ec1.qmd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D. Limpieza y preparación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ausentes; recodificación a factores; expansión persona-periodo (chunk</w:t>
            </w:r>
            <w:r>
              <w:t xml:space="preserve"> </w:t>
            </w:r>
            <w:r>
              <w:rPr>
                <w:rStyle w:val="VerbatimChar"/>
              </w:rPr>
              <w:t xml:space="preserve">setup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E. Resultados complementarios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Diagnósticos DHARMa, calibración por deciles y hazard base por periodo en el cuaderno de trabajo.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F. Prompts relevantes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Encargo: resolver el EC1 del primer banco simulado en un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autocontenido y elaborar el informe técnico con la plantilla, citando en APA 7 y sin inventar.</w:t>
            </w:r>
          </w:p>
        </w:tc>
      </w:tr>
    </w:tbl>
    <w:bookmarkStart w:id="108" w:name="reproducibilidad"/>
    <w:p>
      <w:pPr>
        <w:pStyle w:val="Heading2"/>
      </w:pPr>
      <w:r>
        <w:t xml:space="preserve">Reproducibilidad</w:t>
      </w:r>
    </w:p>
    <w:p>
      <w:pPr>
        <w:pStyle w:val="FirstParagraph"/>
      </w:pPr>
      <w:r>
        <w:t xml:space="preserve">Semilla del curso</w:t>
      </w:r>
      <w:r>
        <w:t xml:space="preserve"> </w:t>
      </w:r>
      <w:r>
        <w:rPr>
          <w:rStyle w:val="VerbatimChar"/>
        </w:rPr>
        <w:t xml:space="preserve">20252026</w:t>
      </w:r>
      <w:r>
        <w:t xml:space="preserve">. Para reproducir: abrir el proyecto GLM (con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), situar el</w:t>
      </w:r>
      <w:r>
        <w:t xml:space="preserve"> </w:t>
      </w:r>
      <w:r>
        <w:t xml:space="preserve">directorio en</w:t>
      </w:r>
      <w:r>
        <w:t xml:space="preserve"> </w:t>
      </w:r>
      <w:r>
        <w:rPr>
          <w:rStyle w:val="VerbatimChar"/>
        </w:rPr>
        <w:t xml:space="preserve">caso1/resolucion_ec1/</w:t>
      </w:r>
      <w:r>
        <w:t xml:space="preserve"> </w:t>
      </w:r>
      <w:r>
        <w:t xml:space="preserve">y renderizar este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 El entorno completo queda en la salida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4.6.0 (2026-04-24)</w:t>
      </w:r>
      <w:r>
        <w:br/>
      </w:r>
      <w:r>
        <w:rPr>
          <w:rStyle w:val="VerbatimChar"/>
        </w:rPr>
        <w:t xml:space="preserve">Platform: x86_64-apple-darwin20</w:t>
      </w:r>
      <w:r>
        <w:br/>
      </w:r>
      <w:r>
        <w:rPr>
          <w:rStyle w:val="VerbatimChar"/>
        </w:rPr>
        <w:t xml:space="preserve">Running under: macOS Sequoia 15.7.7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/Library/Frameworks/R.framework/Versions/4.6-x86_64/Resources/lib/libRblas.0.dylib </w:t>
      </w:r>
      <w:r>
        <w:br/>
      </w:r>
      <w:r>
        <w:rPr>
          <w:rStyle w:val="VerbatimChar"/>
        </w:rPr>
        <w:t xml:space="preserve">LAPACK: /Library/Frameworks/R.framework/Versions/4.6-x86_64/Resources/lib/libRlapack.dylib;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en_US.UTF-8/en_US.UTF-8/en_US.UTF-8/C/en_US.UTF-8/en_US.UTF-8</w:t>
      </w:r>
      <w:r>
        <w:br/>
      </w:r>
      <w:r>
        <w:br/>
      </w:r>
      <w:r>
        <w:rPr>
          <w:rStyle w:val="VerbatimChar"/>
        </w:rPr>
        <w:t xml:space="preserve">time zone: Europe/Madrid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patchwork_1.3.2        knitr_1.51             survival_3.8-6        </w:t>
      </w:r>
      <w:r>
        <w:br/>
      </w:r>
      <w:r>
        <w:rPr>
          <w:rStyle w:val="VerbatimChar"/>
        </w:rPr>
        <w:t xml:space="preserve"> [4] ordinal_2025.12-29     nnet_7.3-20            MASS_7.3-65           </w:t>
      </w:r>
      <w:r>
        <w:br/>
      </w:r>
      <w:r>
        <w:rPr>
          <w:rStyle w:val="VerbatimChar"/>
        </w:rPr>
        <w:t xml:space="preserve"> [7] lme4_2.0-1             Matrix_1.7-5           pROC_1.19.0.1         </w:t>
      </w:r>
      <w:r>
        <w:br/>
      </w:r>
      <w:r>
        <w:rPr>
          <w:rStyle w:val="VerbatimChar"/>
        </w:rPr>
        <w:t xml:space="preserve">[10] DHARMa_0.5.0           performance_0.17.0     car_3.1-5             </w:t>
      </w:r>
      <w:r>
        <w:br/>
      </w:r>
      <w:r>
        <w:rPr>
          <w:rStyle w:val="VerbatimChar"/>
        </w:rPr>
        <w:t xml:space="preserve">[13] carData_3.0-6          marginaleffects_0.32.0 broom.mixed_0.2.9.7   </w:t>
      </w:r>
      <w:r>
        <w:br/>
      </w:r>
      <w:r>
        <w:rPr>
          <w:rStyle w:val="VerbatimChar"/>
        </w:rPr>
        <w:t xml:space="preserve">[16] broom_1.0.13           lubridate_1.9.5        forcats_1.0.1         </w:t>
      </w:r>
      <w:r>
        <w:br/>
      </w:r>
      <w:r>
        <w:rPr>
          <w:rStyle w:val="VerbatimChar"/>
        </w:rPr>
        <w:t xml:space="preserve">[19] stringr_1.6.0          dplyr_1.2.1            purrr_1.2.2           </w:t>
      </w:r>
      <w:r>
        <w:br/>
      </w:r>
      <w:r>
        <w:rPr>
          <w:rStyle w:val="VerbatimChar"/>
        </w:rPr>
        <w:t xml:space="preserve">[22] readr_2.2.0            tidyr_1.3.2            tibble_3.3.1          </w:t>
      </w:r>
      <w:r>
        <w:br/>
      </w:r>
      <w:r>
        <w:rPr>
          <w:rStyle w:val="VerbatimChar"/>
        </w:rPr>
        <w:t xml:space="preserve">[25] ggplot2_4.0.3          tidyverse_2.0.0    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gtable_0.3.6        xfun_0.58           insight_1.5.1      </w:t>
      </w:r>
      <w:r>
        <w:br/>
      </w:r>
      <w:r>
        <w:rPr>
          <w:rStyle w:val="VerbatimChar"/>
        </w:rPr>
        <w:t xml:space="preserve"> [4] lattice_0.22-9      numDeriv_2016.8-1.1 tzdb_0.5.0         </w:t>
      </w:r>
      <w:r>
        <w:br/>
      </w:r>
      <w:r>
        <w:rPr>
          <w:rStyle w:val="VerbatimChar"/>
        </w:rPr>
        <w:t xml:space="preserve"> [7] Rdpack_2.6.6        vctrs_0.7.3         tools_4.6.0        </w:t>
      </w:r>
      <w:r>
        <w:br/>
      </w:r>
      <w:r>
        <w:rPr>
          <w:rStyle w:val="VerbatimChar"/>
        </w:rPr>
        <w:t xml:space="preserve">[10] generics_0.1.4      stats4_4.6.0        parallel_4.6.0     </w:t>
      </w:r>
      <w:r>
        <w:br/>
      </w:r>
      <w:r>
        <w:rPr>
          <w:rStyle w:val="VerbatimChar"/>
        </w:rPr>
        <w:t xml:space="preserve">[13] ucminf_1.2.3        pkgconfig_2.0.3     checkmate_2.3.4    </w:t>
      </w:r>
      <w:r>
        <w:br/>
      </w:r>
      <w:r>
        <w:rPr>
          <w:rStyle w:val="VerbatimChar"/>
        </w:rPr>
        <w:t xml:space="preserve">[16] data.table_1.18.4   RColorBrewer_1.1-3  S7_0.2.2           </w:t>
      </w:r>
      <w:r>
        <w:br/>
      </w:r>
      <w:r>
        <w:rPr>
          <w:rStyle w:val="VerbatimChar"/>
        </w:rPr>
        <w:t xml:space="preserve">[19] lifecycle_1.0.5     compiler_4.6.0      farver_2.1.2       </w:t>
      </w:r>
      <w:r>
        <w:br/>
      </w:r>
      <w:r>
        <w:rPr>
          <w:rStyle w:val="VerbatimChar"/>
        </w:rPr>
        <w:t xml:space="preserve">[22] codetools_0.2-20    htmltools_0.5.9     yaml_2.3.12        </w:t>
      </w:r>
      <w:r>
        <w:br/>
      </w:r>
      <w:r>
        <w:rPr>
          <w:rStyle w:val="VerbatimChar"/>
        </w:rPr>
        <w:t xml:space="preserve">[25] Formula_1.2-5       nloptr_2.2.1        pillar_1.11.1      </w:t>
      </w:r>
      <w:r>
        <w:br/>
      </w:r>
      <w:r>
        <w:rPr>
          <w:rStyle w:val="VerbatimChar"/>
        </w:rPr>
        <w:t xml:space="preserve">[28] furrr_0.4.0         reformulas_0.4.4    boot_1.3-32        </w:t>
      </w:r>
      <w:r>
        <w:br/>
      </w:r>
      <w:r>
        <w:rPr>
          <w:rStyle w:val="VerbatimChar"/>
        </w:rPr>
        <w:t xml:space="preserve">[31] abind_1.4-8         nlme_3.1-169        parallelly_1.48.0  </w:t>
      </w:r>
      <w:r>
        <w:br/>
      </w:r>
      <w:r>
        <w:rPr>
          <w:rStyle w:val="VerbatimChar"/>
        </w:rPr>
        <w:t xml:space="preserve">[34] tidyselect_1.2.1    digest_0.6.39       stringi_1.8.7      </w:t>
      </w:r>
      <w:r>
        <w:br/>
      </w:r>
      <w:r>
        <w:rPr>
          <w:rStyle w:val="VerbatimChar"/>
        </w:rPr>
        <w:t xml:space="preserve">[37] future_1.70.0       listenv_1.0.0       labeling_0.4.3     </w:t>
      </w:r>
      <w:r>
        <w:br/>
      </w:r>
      <w:r>
        <w:rPr>
          <w:rStyle w:val="VerbatimChar"/>
        </w:rPr>
        <w:t xml:space="preserve">[40] splines_4.6.0       fastmap_1.2.0       grid_4.6.0         </w:t>
      </w:r>
      <w:r>
        <w:br/>
      </w:r>
      <w:r>
        <w:rPr>
          <w:rStyle w:val="VerbatimChar"/>
        </w:rPr>
        <w:t xml:space="preserve">[43] cli_3.6.6           magrittr_2.0.5      withr_3.0.2        </w:t>
      </w:r>
      <w:r>
        <w:br/>
      </w:r>
      <w:r>
        <w:rPr>
          <w:rStyle w:val="VerbatimChar"/>
        </w:rPr>
        <w:t xml:space="preserve">[46] scales_1.4.0        backports_1.5.1     timechange_0.4.0   </w:t>
      </w:r>
      <w:r>
        <w:br/>
      </w:r>
      <w:r>
        <w:rPr>
          <w:rStyle w:val="VerbatimChar"/>
        </w:rPr>
        <w:t xml:space="preserve">[49] rmarkdown_2.31      globals_0.19.1      otel_0.2.0         </w:t>
      </w:r>
      <w:r>
        <w:br/>
      </w:r>
      <w:r>
        <w:rPr>
          <w:rStyle w:val="VerbatimChar"/>
        </w:rPr>
        <w:t xml:space="preserve">[52] hms_1.1.4           evaluate_1.0.5      rbibutils_2.4.1    </w:t>
      </w:r>
      <w:r>
        <w:br/>
      </w:r>
      <w:r>
        <w:rPr>
          <w:rStyle w:val="VerbatimChar"/>
        </w:rPr>
        <w:t xml:space="preserve">[55] rlang_1.2.0         Rcpp_1.1.1-1.1      glue_1.8.1         </w:t>
      </w:r>
      <w:r>
        <w:br/>
      </w:r>
      <w:r>
        <w:rPr>
          <w:rStyle w:val="VerbatimChar"/>
        </w:rPr>
        <w:t xml:space="preserve">[58] minqa_1.2.8         rstudioapi_0.18.0   jsonlite_2.0.0     </w:t>
      </w:r>
      <w:r>
        <w:br/>
      </w:r>
      <w:r>
        <w:rPr>
          <w:rStyle w:val="VerbatimChar"/>
        </w:rPr>
        <w:t xml:space="preserve">[61] R6_2.6.1           </w:t>
      </w:r>
    </w:p>
    <w:bookmarkEnd w:id="108"/>
    <w:bookmarkEnd w:id="109"/>
    <w:bookmarkStart w:id="110" w:name="checklist-final-antes-de-entregar"/>
    <w:p>
      <w:pPr>
        <w:pStyle w:val="Heading1"/>
      </w:pPr>
      <w:r>
        <w:t xml:space="preserve">11. Checklist final antes de entregar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revisar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informe permite evaluar la solidez técnica del análisis.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problema está formulado como una necesidad de análisis o decisión.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preguntas analíticas están conectadas con datos, métodos y resultados.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datos están descritos y se valora críticamente su calidad.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metodología está justificada y no es una explicación de manual.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documentan criterios de evaluación, validación o comprobación.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resultados clave están interpretados y vinculados a objetivos.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limitaciones, riesgos e incertidumbres están reconocidos.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referencias están citadas en el texto y completas al final.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anexos permiten auditar o reproducir el análisis.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uso de IA está declarado de forma transparente.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37" Target="media/rId3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hyperlink" Id="rId97" Target="https://doi.org/10.1002/9781118548387" TargetMode="External" /><Relationship Type="http://schemas.openxmlformats.org/officeDocument/2006/relationships/hyperlink" Id="rId95" Target="https://doi.org/10.1201/9781315182780" TargetMode="External" /><Relationship Type="http://schemas.openxmlformats.org/officeDocument/2006/relationships/hyperlink" Id="rId93" Target="https://doi.org/10.18637/jss.v067.i01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102" Target="https://doi.org/10.2307/2529588" TargetMode="External" /><Relationship Type="http://schemas.openxmlformats.org/officeDocument/2006/relationships/hyperlink" Id="rId91" Target="https://doi.org/10.2307/2707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https://doi.org/10.1002/9781118548387" TargetMode="External" /><Relationship Type="http://schemas.openxmlformats.org/officeDocument/2006/relationships/hyperlink" Id="rId95" Target="https://doi.org/10.1201/9781315182780" TargetMode="External" /><Relationship Type="http://schemas.openxmlformats.org/officeDocument/2006/relationships/hyperlink" Id="rId93" Target="https://doi.org/10.18637/jss.v067.i01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102" Target="https://doi.org/10.2307/2529588" TargetMode="External" /><Relationship Type="http://schemas.openxmlformats.org/officeDocument/2006/relationships/hyperlink" Id="rId91" Target="https://doi.org/10.2307/2707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Riesgo de fractura en la red OsteoRed</dc:title>
  <dc:creator>A. Martínez Mayoral (solución de referencia del profesorado)</dc:creator>
  <dc:language>es</dc:language>
  <cp:keywords/>
  <dcterms:created xsi:type="dcterms:W3CDTF">2026-07-22T11:43:32Z</dcterms:created>
  <dcterms:modified xsi:type="dcterms:W3CDTF">2026-07-22T11:43:32Z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../../references.bib</vt:lpwstr>
  </property>
  <property fmtid="{D5CDD505-2E9C-101B-9397-08002B2CF9AE}" pid="5" name="by-author">
    <vt:lpwstr/>
  </property>
  <property fmtid="{D5CDD505-2E9C-101B-9397-08002B2CF9AE}" pid="6" name="csl">
    <vt:lpwstr>https://www.zotero.org/styles/apa</vt:lpwstr>
  </property>
  <property fmtid="{D5CDD505-2E9C-101B-9397-08002B2CF9AE}" pid="7" name="date">
    <vt:lpwstr>22/7/26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Estudio de caso 1 · Cohorte del equipo_10 — Modelos Lineales Generalizados con R</vt:lpwstr>
  </property>
  <property fmtid="{D5CDD505-2E9C-101B-9397-08002B2CF9AE}" pid="14" name="toc-title">
    <vt:lpwstr>Tabla de contenidos</vt:lpwstr>
  </property>
</Properties>
</file>