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Frecuencia</w:t>
      </w:r>
      <w:r>
        <w:t xml:space="preserve"> </w:t>
      </w:r>
      <w:r>
        <w:t xml:space="preserve">de</w:t>
      </w:r>
      <w:r>
        <w:t xml:space="preserve"> </w:t>
      </w:r>
      <w:r>
        <w:t xml:space="preserve">siniestralidad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cartera</w:t>
      </w:r>
      <w:r>
        <w:t xml:space="preserve"> </w:t>
      </w:r>
      <w:r>
        <w:t xml:space="preserve">de</w:t>
      </w:r>
      <w:r>
        <w:t xml:space="preserve"> </w:t>
      </w:r>
      <w:r>
        <w:t xml:space="preserve">auto</w:t>
      </w:r>
      <w:r>
        <w:t xml:space="preserve"> </w:t>
      </w:r>
      <w:r>
        <w:t xml:space="preserve">(equipo_01)</w:t>
      </w:r>
    </w:p>
    <w:p>
      <w:pPr>
        <w:pStyle w:val="Subtitle"/>
      </w:pPr>
      <w:r>
        <w:t xml:space="preserve">Informe</w:t>
      </w:r>
      <w:r>
        <w:t xml:space="preserve"> </w:t>
      </w:r>
      <w:r>
        <w:t xml:space="preserve">ejecutivo</w:t>
      </w:r>
      <w:r>
        <w:t xml:space="preserve"> </w:t>
      </w:r>
      <w:r>
        <w:t xml:space="preserve">·</w:t>
      </w:r>
      <w:r>
        <w:t xml:space="preserve"> </w:t>
      </w:r>
      <w:r>
        <w:t xml:space="preserve">Estudio</w:t>
      </w:r>
      <w:r>
        <w:t xml:space="preserve"> </w:t>
      </w:r>
      <w:r>
        <w:t xml:space="preserve">de</w:t>
      </w:r>
      <w:r>
        <w:t xml:space="preserve"> </w:t>
      </w:r>
      <w:r>
        <w:t xml:space="preserve">caso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ritmo,</w:t>
      </w:r>
      <w:r>
        <w:t xml:space="preserve"> </w:t>
      </w:r>
      <w:r>
        <w:t xml:space="preserve">variabilidad</w:t>
      </w:r>
      <w:r>
        <w:t xml:space="preserve"> </w:t>
      </w:r>
      <w:r>
        <w:t xml:space="preserve">y</w:t>
      </w:r>
      <w:r>
        <w:t xml:space="preserve"> </w:t>
      </w:r>
      <w:r>
        <w:t xml:space="preserve">territorio</w:t>
      </w:r>
      <w:r>
        <w:t xml:space="preserve"> </w:t>
      </w:r>
      <w:r>
        <w:t xml:space="preserve">del</w:t>
      </w:r>
      <w:r>
        <w:t xml:space="preserve"> </w:t>
      </w:r>
      <w:r>
        <w:t xml:space="preserve">riesgo</w:t>
      </w:r>
    </w:p>
    <w:p>
      <w:pPr>
        <w:pStyle w:val="Author"/>
      </w:pPr>
      <w:r>
        <w:t xml:space="preserve">equipo_01</w:t>
      </w:r>
    </w:p>
    <w:p>
      <w:pPr>
        <w:pStyle w:val="Date"/>
      </w:pPr>
      <w:r>
        <w:t xml:space="preserve">22/7/26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</w:t>
          </w:r>
          <w:r>
            <w:t xml:space="preserve"> </w:t>
          </w:r>
          <w:r>
            <w:t xml:space="preserve">de</w:t>
          </w:r>
          <w:r>
            <w:t xml:space="preserve"> </w:t>
          </w:r>
          <w:r>
            <w:t xml:space="preserve">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atos-de-la-entrega"/>
    <w:p>
      <w:pPr>
        <w:pStyle w:val="Heading2"/>
      </w:pPr>
      <w:r>
        <w:t xml:space="preserve">Datos de la entrega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de siniestralidad en la cartera de auto (equipo_01)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equipo_01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Asignatura / titulación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Lineales Generalizados con R — 3.º del Grado en Ciencia de Datos e IA (6 ECTS)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académico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2025–2026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[Completar]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Audiencia destinataria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técnica de la aseguradora de automóvil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que se quiere apoyar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Tarificación de la frecuencia de siniestros, planificación de revisiones y gestión de la red de agencias</w:t>
            </w:r>
          </w:p>
        </w:tc>
      </w:tr>
    </w:tbl>
    <w:bookmarkEnd w:id="20"/>
    <w:bookmarkStart w:id="21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La dirección técnica necesita tarificar la frecuencia de siniestros, planificar las</w:t>
      </w:r>
      <w:r>
        <w:t xml:space="preserve"> </w:t>
      </w:r>
      <w:r>
        <w:t xml:space="preserve">revisiones de pólizas y gestionar su red de agencias con criterios cuantitativos. Este</w:t>
      </w:r>
      <w:r>
        <w:t xml:space="preserve"> </w:t>
      </w:r>
      <w:r>
        <w:t xml:space="preserve">informe responde a esas necesidades sobre la cartera de auto del</w:t>
      </w:r>
      <w:r>
        <w:t xml:space="preserve"> </w:t>
      </w:r>
      <w:r>
        <w:rPr>
          <w:bCs/>
          <w:b/>
        </w:rPr>
        <w:t xml:space="preserve">equipo_01</w:t>
      </w:r>
      <w:r>
        <w:t xml:space="preserve">: 3.093</w:t>
      </w:r>
      <w:r>
        <w:t xml:space="preserve"> </w:t>
      </w:r>
      <w:r>
        <w:t xml:space="preserve">pólizas simuladas —con proceso generador conocido, lo que permite validar el método—,</w:t>
      </w:r>
      <w:r>
        <w:t xml:space="preserve"> </w:t>
      </w:r>
      <w:r>
        <w:t xml:space="preserve">usando la exposición de cada póliza como denominador para modelar</w:t>
      </w:r>
      <w:r>
        <w:t xml:space="preserve"> </w:t>
      </w:r>
      <w:r>
        <w:rPr>
          <w:bCs/>
          <w:b/>
        </w:rPr>
        <w:t xml:space="preserve">tasas</w:t>
      </w:r>
      <w:r>
        <w:t xml:space="preserve"> </w:t>
      </w:r>
      <w:r>
        <w:t xml:space="preserve">y no</w:t>
      </w:r>
      <w:r>
        <w:t xml:space="preserve"> </w:t>
      </w:r>
      <w:r>
        <w:t xml:space="preserve">recuentos brutos.</w:t>
      </w:r>
    </w:p>
    <w:p>
      <w:pPr>
        <w:pStyle w:val="BodyText"/>
      </w:pPr>
      <w:r>
        <w:t xml:space="preserve">Tres hallazgos guían la decisión.</w:t>
      </w:r>
      <w:r>
        <w:t xml:space="preserve"> </w:t>
      </w:r>
      <w:r>
        <w:rPr>
          <w:bCs/>
          <w:b/>
        </w:rPr>
        <w:t xml:space="preserve">Primero</w:t>
      </w:r>
      <w:r>
        <w:t xml:space="preserve">, el ritmo de siniestros es predecible: lo</w:t>
      </w:r>
      <w:r>
        <w:t xml:space="preserve"> </w:t>
      </w:r>
      <w:r>
        <w:t xml:space="preserve">elevan la juventud del conductor (los menores de 25 años casi duplican la tasa de los</w:t>
      </w:r>
      <w:r>
        <w:t xml:space="preserve"> </w:t>
      </w:r>
      <w:r>
        <w:t xml:space="preserve">35–65), los kilómetros (+19 % por desviación estándar), la densidad del domicilio</w:t>
      </w:r>
      <w:r>
        <w:t xml:space="preserve"> </w:t>
      </w:r>
      <w:r>
        <w:t xml:space="preserve">(+20 %), la moto (+31 %) y el diésel (+21 %); pero la variabilidad real</w:t>
      </w:r>
      <w:r>
        <w:t xml:space="preserve"> </w:t>
      </w:r>
      <w:r>
        <w:rPr>
          <w:bCs/>
          <w:b/>
        </w:rPr>
        <w:t xml:space="preserve">supera</w:t>
      </w:r>
      <w:r>
        <w:t xml:space="preserve"> </w:t>
      </w:r>
      <w:r>
        <w:t xml:space="preserve">a la</w:t>
      </w:r>
      <w:r>
        <w:t xml:space="preserve"> </w:t>
      </w:r>
      <w:r>
        <w:t xml:space="preserve">de un modelo de Poisson simple (índice de dispersión 1,43), por lo que las primas deben</w:t>
      </w:r>
      <w:r>
        <w:t xml:space="preserve"> </w:t>
      </w:r>
      <w:r>
        <w:t xml:space="preserve">calcularse con los márgenes de una</w:t>
      </w:r>
      <w:r>
        <w:t xml:space="preserve"> </w:t>
      </w:r>
      <w:r>
        <w:rPr>
          <w:bCs/>
          <w:b/>
        </w:rPr>
        <w:t xml:space="preserve">binomial negativa</w:t>
      </w:r>
      <w:r>
        <w:t xml:space="preserve">.</w:t>
      </w:r>
      <w:r>
        <w:t xml:space="preserve"> </w:t>
      </w:r>
      <w:r>
        <w:rPr>
          <w:bCs/>
          <w:b/>
        </w:rPr>
        <w:t xml:space="preserve">Segundo</w:t>
      </w:r>
      <w:r>
        <w:t xml:space="preserve">, un</w:t>
      </w:r>
      <w:r>
        <w:t xml:space="preserve"> </w:t>
      </w:r>
      <w:r>
        <w:rPr>
          <w:bCs/>
          <w:b/>
        </w:rPr>
        <w:t xml:space="preserve">tercio</w:t>
      </w:r>
      <w:r>
        <w:t xml:space="preserve"> </w:t>
      </w:r>
      <w:r>
        <w:t xml:space="preserve">de</w:t>
      </w:r>
      <w:r>
        <w:t xml:space="preserve"> </w:t>
      </w:r>
      <w:r>
        <w:t xml:space="preserve">la variación del volumen de gestiones (ICC 0,33) es atribuible a la</w:t>
      </w:r>
      <w:r>
        <w:t xml:space="preserve"> </w:t>
      </w:r>
      <w:r>
        <w:rPr>
          <w:bCs/>
          <w:b/>
        </w:rPr>
        <w:t xml:space="preserve">agencia</w:t>
      </w:r>
      <w:r>
        <w:t xml:space="preserve">, no a la</w:t>
      </w:r>
      <w:r>
        <w:t xml:space="preserve"> </w:t>
      </w:r>
      <w:r>
        <w:t xml:space="preserve">póliza, y nueve agencias se desvían de forma significativa.</w:t>
      </w:r>
      <w:r>
        <w:t xml:space="preserve"> </w:t>
      </w:r>
      <w:r>
        <w:rPr>
          <w:bCs/>
          <w:b/>
        </w:rPr>
        <w:t xml:space="preserve">Tercero</w:t>
      </w:r>
      <w:r>
        <w:t xml:space="preserve">, el riesgo del</w:t>
      </w:r>
      <w:r>
        <w:t xml:space="preserve"> </w:t>
      </w:r>
      <w:r>
        <w:t xml:space="preserve">primer siniestro se</w:t>
      </w:r>
      <w:r>
        <w:t xml:space="preserve"> </w:t>
      </w:r>
      <w:r>
        <w:rPr>
          <w:bCs/>
          <w:b/>
        </w:rPr>
        <w:t xml:space="preserve">concentra en los primeros años</w:t>
      </w:r>
      <w:r>
        <w:t xml:space="preserve"> </w:t>
      </w:r>
      <w:r>
        <w:t xml:space="preserve">y decae después, lo que aconseja</w:t>
      </w:r>
      <w:r>
        <w:t xml:space="preserve"> </w:t>
      </w:r>
      <w:r>
        <w:t xml:space="preserve">revisar antes y con más frecuencia a los perfiles de mayor riesgo.</w:t>
      </w:r>
    </w:p>
    <w:p>
      <w:pPr>
        <w:pStyle w:val="BodyText"/>
      </w:pPr>
      <w:r>
        <w:rPr>
          <w:bCs/>
          <w:b/>
        </w:rPr>
        <w:t xml:space="preserve">Recomendación principal:</w:t>
      </w:r>
      <w:r>
        <w:t xml:space="preserve"> </w:t>
      </w:r>
      <w:r>
        <w:t xml:space="preserve">tarificar la frecuencia con un modelo binomial negativo</w:t>
      </w:r>
      <w:r>
        <w:t xml:space="preserve"> </w:t>
      </w:r>
      <w:r>
        <w:rPr>
          <w:bCs/>
          <w:b/>
        </w:rPr>
        <w:t xml:space="preserve">corto</w:t>
      </w:r>
      <w:r>
        <w:t xml:space="preserve"> </w:t>
      </w:r>
      <w:r>
        <w:t xml:space="preserve">(edad, kilómetros, densidad, tipo de vehículo y combustible),</w:t>
      </w:r>
      <w:r>
        <w:t xml:space="preserve"> </w:t>
      </w:r>
      <w:r>
        <w:rPr>
          <w:bCs/>
          <w:b/>
        </w:rPr>
        <w:t xml:space="preserve">excluyendo el</w:t>
      </w:r>
      <w:r>
        <w:rPr>
          <w:bCs/>
          <w:b/>
        </w:rPr>
        <w:t xml:space="preserve"> </w:t>
      </w:r>
      <w:r>
        <w:rPr>
          <w:bCs/>
          <w:b/>
        </w:rPr>
        <w:t xml:space="preserve">sexo</w:t>
      </w:r>
      <w:r>
        <w:t xml:space="preserve"> </w:t>
      </w:r>
      <w:r>
        <w:t xml:space="preserve">por imperativo legal; gestionar la red reconociendo el peso de la agencia; y</w:t>
      </w:r>
      <w:r>
        <w:t xml:space="preserve"> </w:t>
      </w:r>
      <w:r>
        <w:t xml:space="preserve">priorizar las revisiones en los primeros años de la póliza y en los perfiles de alto</w:t>
      </w:r>
      <w:r>
        <w:t xml:space="preserve"> </w:t>
      </w:r>
      <w:r>
        <w:t xml:space="preserve">riesgo.</w:t>
      </w:r>
    </w:p>
    <w:p>
      <w:pPr>
        <w:pStyle w:val="BodyText"/>
      </w:pPr>
      <w:r>
        <w:rPr>
          <w:bCs/>
          <w:b/>
        </w:rPr>
        <w:t xml:space="preserve">Cautela:</w:t>
      </w:r>
      <w:r>
        <w:t xml:space="preserve"> </w:t>
      </w:r>
      <w:r>
        <w:t xml:space="preserve">las magnitudes corresponden a esta cartera (simulada) y deben revalidarse</w:t>
      </w:r>
      <w:r>
        <w:t xml:space="preserve"> </w:t>
      </w:r>
      <w:r>
        <w:t xml:space="preserve">sobre datos reales antes de trasladarse a tarifa. El sexo predice la siniestralidad,</w:t>
      </w:r>
      <w:r>
        <w:t xml:space="preserve"> </w:t>
      </w:r>
      <w:r>
        <w:t xml:space="preserve">pero la normativa de primas unisex (</w:t>
      </w:r>
      <w:r>
        <w:rPr>
          <w:iCs/>
          <w:i/>
        </w:rPr>
        <w:t xml:space="preserve">Test-Achats</w:t>
      </w:r>
      <w:r>
        <w:t xml:space="preserve">) prohíbe usarlo para tarificar.</w:t>
      </w:r>
    </w:p>
    <w:bookmarkEnd w:id="21"/>
    <w:bookmarkStart w:id="22" w:name="X15862f4f332206a8ac875f584bbaef19c98f721"/>
    <w:p>
      <w:pPr>
        <w:pStyle w:val="Heading1"/>
      </w:pPr>
      <w:r>
        <w:t xml:space="preserve">2. Problema de negocio y decisión que se quiere apoyar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 ejecutivo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Situación de 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aseguradora gestiona una cartera de auto a través de una red de agencias y necesita fijar su tarifa de frecuencia y su política de revisiones con base cuantitativa, no por intuición.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 de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conoce con precisión qué perfiles concentran el riesgo, cuánta variabilidad hay por encima del perfil, cuánto pesa la agencia ni cómo evoluciona el riesgo en el tiempo.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Audiencia decisora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técnica (no estadística): espera respuestas y recomendaciones accionables.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o acción que se quiere apoyar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Fijar factores de tarificación de la frecuencia, dimensionar recargos por incertidumbre, planificar revisiones y gestionar la red de agencias.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Consecuencia de no actuar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 mal calibradas (primas injustas o insuficientes), provisiones infravaloradas y recursos de revisión mal asignados.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 de éxito o indicador relevante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Tasa de siniestros por unidad de exposición (IRR) y su intervalo; % de varianza por agencia (ICC); horizonte hasta el primer siniestro.</w:t>
            </w:r>
          </w:p>
        </w:tc>
      </w:tr>
    </w:tbl>
    <w:p>
      <w:pPr>
        <w:pStyle w:val="BlockText"/>
      </w:pPr>
      <w:r>
        <w:rPr>
          <w:bCs/>
          <w:b/>
        </w:rPr>
        <w:t xml:space="preserve">Formulación breve del problema:</w:t>
      </w:r>
      <w:r>
        <w:t xml:space="preserve"> </w:t>
      </w:r>
      <w:r>
        <w:t xml:space="preserve">¿a qué ritmo tienen siniestros las pólizas y qué</w:t>
      </w:r>
      <w:r>
        <w:t xml:space="preserve"> </w:t>
      </w:r>
      <w:r>
        <w:t xml:space="preserve">factores lo explican; cuánta variabilidad hay más allá del perfil observable; cuánto</w:t>
      </w:r>
      <w:r>
        <w:t xml:space="preserve"> </w:t>
      </w:r>
      <w:r>
        <w:t xml:space="preserve">depende el servicio de la agencia y del territorio; y cómo cambia el riesgo a lo largo</w:t>
      </w:r>
      <w:r>
        <w:t xml:space="preserve"> </w:t>
      </w:r>
      <w:r>
        <w:t xml:space="preserve">de la vida de la póliza? Con ello, qué modelo de frecuencia y qué política de revisión</w:t>
      </w:r>
      <w:r>
        <w:t xml:space="preserve"> </w:t>
      </w:r>
      <w:r>
        <w:t xml:space="preserve">adoptar.</w:t>
      </w:r>
    </w:p>
    <w:bookmarkEnd w:id="22"/>
    <w:bookmarkStart w:id="23" w:name="Xb217971b4c773e249f70fa314e49d81e8a4f6c6"/>
    <w:p>
      <w:pPr>
        <w:pStyle w:val="Heading1"/>
      </w:pPr>
      <w:r>
        <w:t xml:space="preserve">3. Evidencia disponible: datos, alcance y calidad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para la audiencia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Fuente y 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Cartera de auto simulada del equipo_01 (semilla 260101), con proceso generador conocido para control de calidad.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 de análisis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póliza (una fila por póliza); además, panel póliza-año para el análisis temporal.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3.093 pólizas; 14.524 filas póliza-año en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 o indicadores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Cuatro respuestas de conteo (siniestros, asistencias, fraude, gestiones), predictores de riesgo (edad, carnet, potencia, kilómetros, densidad, tipo, uso, combustible…), agencia y región, exposición (offset), bonus-malus y tiempo al primer siniestro.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y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 con al menos un tercio de la antigüedad máxima; exposición entre 0,01 y 1,00; horizonte de hasta 10 años.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Principales cautelas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simulados: validan el método, pero las magnitudes son propias de esta cartera. La exposición variable obliga a modelar tasas. El sexo está presente, pero no es legalmente tarificable.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Mensaje de adecuación de los datos:</w:t>
      </w:r>
      <w:r>
        <w:t xml:space="preserve"> </w:t>
      </w:r>
      <w:r>
        <w:t xml:space="preserve">los datos son suficientes y adecuados para la</w:t>
      </w:r>
      <w:r>
        <w:t xml:space="preserve"> </w:t>
      </w:r>
      <w:r>
        <w:t xml:space="preserve">decisión: contienen la exposición (imprescindible para modelar tasas), un conjunto</w:t>
      </w:r>
      <w:r>
        <w:t xml:space="preserve"> </w:t>
      </w:r>
      <w:r>
        <w:t xml:space="preserve">amplio de predictores de riesgo, la estructura de agencias y regiones para medir el</w:t>
      </w:r>
      <w:r>
        <w:t xml:space="preserve"> </w:t>
      </w:r>
      <w:r>
        <w:t xml:space="preserve">efecto territorial, y el tiempo al primer siniestro para el análisis temporal. Al ser</w:t>
      </w:r>
      <w:r>
        <w:t xml:space="preserve"> </w:t>
      </w:r>
      <w:r>
        <w:t xml:space="preserve">simulados con proceso generador conocido, permiten además verificar que las</w:t>
      </w:r>
      <w:r>
        <w:t xml:space="preserve"> </w:t>
      </w:r>
      <w:r>
        <w:t xml:space="preserve">estimaciones recuperan la «verdad». La principal restricción es que las magnitudes</w:t>
      </w:r>
      <w:r>
        <w:t xml:space="preserve"> </w:t>
      </w:r>
      <w:r>
        <w:t xml:space="preserve">concretas son de esta cartera y deben revalidarse en datos reales.</w:t>
      </w:r>
    </w:p>
    <w:bookmarkEnd w:id="23"/>
    <w:bookmarkStart w:id="24" w:name="enfoque-de-análisis"/>
    <w:p>
      <w:pPr>
        <w:pStyle w:val="Heading1"/>
      </w:pPr>
      <w:r>
        <w:t xml:space="preserve">4. Enfoque de análisis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Pregunta que se quería responder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era adecuado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¿Qué factores mueven el ritmo de siniestros y cuánto?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Regresión de Poisson con offset e interpretación en razones de tasas (IRR).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el modelo natural para tasas de conteo con exposición variable.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¿Refleja el modelo la variabilidad, o se queda corto?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 sobredispersión y binomial negativa; fragilidad individual.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Poisson impone media = varianza; los datos la superan (dispersión 1,43).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¿Cuánto del volumen de gestiones depende de la agencia y el territorio?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GLMM de Poisson con efectos aleatorios de agencia y región; ICC y BLUPs.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datos están agrupados por agencia; ignorarlo sesga la incertidumbre.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¿Cómo cambia el riesgo en el tiempo?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 a trozos (Poisson persona-periodo), Kaplan–Meier y Cox.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el tiempo a evento en una cadencia de revisión operativa.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Nota metodológica breve:</w:t>
      </w:r>
      <w:r>
        <w:t xml:space="preserve"> </w:t>
      </w:r>
      <w:r>
        <w:t xml:space="preserve">el eje es la regresión de Poisson con enlace log y la</w:t>
      </w:r>
      <w:r>
        <w:t xml:space="preserve"> </w:t>
      </w:r>
      <w:r>
        <w:t xml:space="preserve">exposición como</w:t>
      </w:r>
      <w:r>
        <w:t xml:space="preserve"> </w:t>
      </w:r>
      <w:r>
        <w:rPr>
          <w:iCs/>
          <w:i/>
        </w:rPr>
        <w:t xml:space="preserve">offset</w:t>
      </w:r>
      <w:r>
        <w:t xml:space="preserve">, cuyos coeficientes se leen como razones de tasas (IRR).</w:t>
      </w:r>
      <w:r>
        <w:t xml:space="preserve"> </w:t>
      </w:r>
      <w:r>
        <w:t xml:space="preserve">Cuando la variabilidad supera a la Poisson se emplea la binomial negativa; el exceso de</w:t>
      </w:r>
      <w:r>
        <w:t xml:space="preserve"> </w:t>
      </w:r>
      <w:r>
        <w:t xml:space="preserve">ceros del fraude se trata con modelos inflados de ceros. La estructura por agencia y</w:t>
      </w:r>
      <w:r>
        <w:t xml:space="preserve"> </w:t>
      </w:r>
      <w:r>
        <w:t xml:space="preserve">región se modela con GLMM de Poisson (resumido en el ICC). El tiempo al primer</w:t>
      </w:r>
      <w:r>
        <w:t xml:space="preserve"> </w:t>
      </w:r>
      <w:r>
        <w:t xml:space="preserve">siniestro se analiza como riesgos a trozos y se contrasta con Kaplan–Meier y Cox. Para</w:t>
      </w:r>
      <w:r>
        <w:t xml:space="preserve"> </w:t>
      </w:r>
      <w:r>
        <w:t xml:space="preserve">un modelo parsimonioso se comparan AIC/BIC, validación cruzada y lasso. Todo es</w:t>
      </w:r>
      <w:r>
        <w:t xml:space="preserve"> </w:t>
      </w:r>
      <w:r>
        <w:t xml:space="preserve">reproducible y validado contra los parámetros conocidos del proceso generador.</w:t>
      </w:r>
    </w:p>
    <w:bookmarkEnd w:id="24"/>
    <w:bookmarkStart w:id="40" w:name="hallazgos-clave"/>
    <w:p>
      <w:pPr>
        <w:pStyle w:val="Heading1"/>
      </w:pPr>
      <w:r>
        <w:t xml:space="preserve">5. Hallazgos clave</w:t>
      </w:r>
    </w:p>
    <w:bookmarkStart w:id="29" w:name="X35429b8f7a8ee43a1b750c9f38e7b38eef6f7be"/>
    <w:p>
      <w:pPr>
        <w:pStyle w:val="Heading2"/>
      </w:pPr>
      <w:r>
        <w:t xml:space="preserve">5.1 Hallazgo clave 1: el riesgo es predecible, pero más variable de lo que parece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perfil de riesgo es nítido, pero la Poisson simple subestima la variabilidad: la tarifa necesita los márgenes de la binomial negativa.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Jóvenes 18–25 casi duplican la tasa de 35–65 (IRR 0,53); +19 %/DE por km, +20 %/DE por densidad, moto +31 %, diésel +21 %. Índice de dispersión 1,43; la binomial negativa mejora el AIC en ~195 puntos.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Razones de tasas (IRR) con intervalos de confianza del modelo de frecuencia (Figura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Interpretación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factores permiten segmentar la tarifa con confianza; pero los intervalos honestos (NB) son ~20–30 % más anchos, lo que debe reflejarse en recargos y provisiones.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usar la Poisson simple (da falsa precisión). El sexo predice, pero está excluido por ley.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hallazgo-1"/>
          <w:p>
            <w:pPr>
              <w:pStyle w:val="Figure"/>
              <w:jc w:val="center"/>
            </w:pPr>
            <w:r>
              <w:drawing>
                <wp:inline>
                  <wp:extent cx="5334000" cy="273843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nforme_ejecutivo_equipo01_files/figure-docx/fig-hallazgo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384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Factores del ritmo de siniestros, en razones de tasas (IRR) con intervalo del 95 %. A la derecha de 1 elevan la tasa; a la izquierda la reducen. Cartera equipo_01.</w:t>
            </w:r>
          </w:p>
          <w:bookmarkEnd w:id="28"/>
        </w:tc>
      </w:tr>
    </w:tbl>
    <w:bookmarkEnd w:id="29"/>
    <w:bookmarkStart w:id="34" w:name="Xafefe43ca524516bf088ff6a953d41ffef431cb"/>
    <w:p>
      <w:pPr>
        <w:pStyle w:val="Heading2"/>
      </w:pPr>
      <w:r>
        <w:t xml:space="preserve">5.2 Hallazgo clave 2: un tercio del volumen de gestiones lo pone la agencia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volumen de gestiones depende sobre todo de la agencia: un tercio de la variación es suya, y algunas agencias se desvían con claridad.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0,33; desviación típica de agencia 0,45 (rango ×0,63 a ×1,58). La región aporta (p = 0,019; 39 % del agrupamiento es territorial). Nueve agencias atípicas: cinco por encima (hasta +66 %) y cuatro por debajo (hasta −42 %).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</w:t>
            </w:r>
            <w:r>
              <w:t xml:space="preserve"> </w:t>
            </w:r>
            <w:r>
              <w:rPr>
                <w:iCs/>
                <w:i/>
              </w:rPr>
              <w:t xml:space="preserve">caterpillar</w:t>
            </w:r>
            <w:r>
              <w:t xml:space="preserve"> </w:t>
            </w:r>
            <w:r>
              <w:t xml:space="preserve">de los efectos de agencia (BLUPs) ordenados (Figura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Interpretación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Auditar las agencias con más gestiones y exportar las prácticas de las más eficientes. Para una agencia nueva: esperar ~1,66 gestiones/año, pero planificar el rango [0,68; 4,04].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BLUPs incorporan</w:t>
            </w:r>
            <w:r>
              <w:t xml:space="preserve"> </w:t>
            </w:r>
            <w:r>
              <w:rPr>
                <w:iCs/>
                <w:i/>
              </w:rPr>
              <w:t xml:space="preserve">shrinkage</w:t>
            </w:r>
            <w:r>
              <w:t xml:space="preserve">: no penalizar a agencias pequeñas por ruido; los efectos absolutos quedan algo comprimidos.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hallazgo-2"/>
          <w:p>
            <w:pPr>
              <w:pStyle w:val="Figure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nforme_ejecutivo_equipo01_files/figure-docx/fig-hallazgo-2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 Efecto de cada agencia sobre la tasa de gestiones (BLUPs en escala log), ordenado, con ±1,96 EE. En rojo, agencias cuyo intervalo no cruza el 0. Cartera equipo_01.</w:t>
            </w:r>
          </w:p>
          <w:bookmarkEnd w:id="33"/>
        </w:tc>
      </w:tr>
    </w:tbl>
    <w:bookmarkEnd w:id="34"/>
    <w:bookmarkStart w:id="39" w:name="Xf8e888f52b396a35148f5899e161eea4b512d73"/>
    <w:p>
      <w:pPr>
        <w:pStyle w:val="Heading2"/>
      </w:pPr>
      <w:r>
        <w:t xml:space="preserve">5.3 Hallazgo clave 3: el riesgo se concentra al principio de la vida de la póliza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riesgo del primer siniestro es más alto al inicio y decae con la antigüedad, sin que un parte «llame» a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riesgo base cae de ~0,08 a ~0,03 por año; a los 5 años el 30 % ha tenido su primer parte. Un perfil de alto riesgo alcanza el 25 % en 1,2 años frente a 7,2 del bajo riesgo.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(hazard) del primer siniestro por tramo de antigüedad (Figura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Interpretación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los perfiles de alto riesgo con periodicidad ≈ anual y los de bajo riesgo cada 5–7 años, concentrando el esfuerzo en los primeros años del contrato.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caída del riesgo es poblacional (selección por fragilidad), no significa que cada póliza mejore con el tiempo.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hallazgo-3"/>
          <w:p>
            <w:pPr>
              <w:pStyle w:val="Figure"/>
              <w:jc w:val="center"/>
            </w:pPr>
            <w:r>
              <w:drawing>
                <wp:inline>
                  <wp:extent cx="5334000" cy="2587625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forme_ejecutivo_equipo01_files/figure-docx/fig-hallazgo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87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 Riesgo (hazard) del primer siniestro por tramo de antigüedad de la póliza. El riesgo es mayor los primeros años y decae después. Cartera equipo_01.</w:t>
            </w:r>
          </w:p>
          <w:bookmarkEnd w:id="38"/>
        </w:tc>
      </w:tr>
    </w:tbl>
    <w:bookmarkEnd w:id="39"/>
    <w:bookmarkEnd w:id="40"/>
    <w:bookmarkStart w:id="42" w:name="X38f29384ae6ec4e8314e474a592c98ce416d858"/>
    <w:p>
      <w:pPr>
        <w:pStyle w:val="Heading1"/>
      </w:pPr>
      <w:r>
        <w:t xml:space="preserve">6. Implicaciones y recomendaciones accionables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propuesta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que la respalda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o condición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Adoptar la binomial negativa como modelo de frecuencia para la tarifa (edad, km, densidad, tipo, combustible).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Índice de dispersión 1,43; la NB mejora el AIC en ~195 puntos frente a la Poisson.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Primas y recargos con márgenes honestos; provisiones bien dimensionadas.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Recalibrar sistemas de tarificación; revalidar en cartera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la red por efectos de agencia: auditar las atípicas y difundir buenas prácticas.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0,33; nueve agencias significativamente desviadas; BLUPs fiables (correlación 0,85 con la verdad).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variabilidad operativa y servicio más homogéneo.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</w:t>
            </w:r>
            <w:r>
              <w:t xml:space="preserve"> </w:t>
            </w:r>
            <w:r>
              <w:rPr>
                <w:iCs/>
                <w:i/>
              </w:rPr>
              <w:t xml:space="preserve">shrinkage</w:t>
            </w:r>
            <w:r>
              <w:t xml:space="preserve">; no actuar sobre agencias con poca cartera hasta tener historial.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 / futura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un programa de revisión basado en riesgo (alto riesgo ≈ anual; bajo riesgo cada 5–7 años).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Horizonte al 25 % de siniestro: 1,2 años (alto) vs 7,2 (bajo); riesgo concentrado al inicio.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eficiente de los recursos de revisión y detección temprana.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seguimiento; ajustar cadencia según la póliza revele su riesgo.</w:t>
            </w:r>
          </w:p>
        </w:tc>
      </w:tr>
    </w:tbl>
    <w:bookmarkStart w:id="41" w:name="decisión-recomendada"/>
    <w:p>
      <w:pPr>
        <w:pStyle w:val="Heading2"/>
      </w:pPr>
      <w:r>
        <w:t xml:space="preserve">6.1 Decisión recomendada</w:t>
      </w:r>
    </w:p>
    <w:p>
      <w:pPr>
        <w:pStyle w:val="BlockText"/>
      </w:pPr>
      <w:r>
        <w:t xml:space="preserve">Tarificar la frecuencia de siniestros con un modelo binomial negativo</w:t>
      </w:r>
      <w:r>
        <w:t xml:space="preserve"> </w:t>
      </w:r>
      <w:r>
        <w:rPr>
          <w:bCs/>
          <w:b/>
        </w:rPr>
        <w:t xml:space="preserve">corto</w:t>
      </w:r>
      <w:r>
        <w:t xml:space="preserve"> </w:t>
      </w:r>
      <w:r>
        <w:t xml:space="preserve">y</w:t>
      </w:r>
      <w:r>
        <w:t xml:space="preserve"> </w:t>
      </w:r>
      <w:r>
        <w:t xml:space="preserve">validado —edad, kilómetros, densidad, tipo de vehículo y combustible—,</w:t>
      </w:r>
      <w:r>
        <w:t xml:space="preserve"> </w:t>
      </w:r>
      <w:r>
        <w:rPr>
          <w:bCs/>
          <w:b/>
        </w:rPr>
        <w:t xml:space="preserve">excluyendo el</w:t>
      </w:r>
      <w:r>
        <w:rPr>
          <w:bCs/>
          <w:b/>
        </w:rPr>
        <w:t xml:space="preserve"> </w:t>
      </w:r>
      <w:r>
        <w:rPr>
          <w:bCs/>
          <w:b/>
        </w:rPr>
        <w:t xml:space="preserve">sexo</w:t>
      </w:r>
      <w:r>
        <w:t xml:space="preserve"> </w:t>
      </w:r>
      <w:r>
        <w:t xml:space="preserve">por imperativo legal; gestionar la red reconociendo el peso de la agencia (un</w:t>
      </w:r>
      <w:r>
        <w:t xml:space="preserve"> </w:t>
      </w:r>
      <w:r>
        <w:t xml:space="preserve">tercio de la variación); y priorizar las revisiones en los primeros años de la póliza y</w:t>
      </w:r>
      <w:r>
        <w:t xml:space="preserve"> </w:t>
      </w:r>
      <w:r>
        <w:t xml:space="preserve">en los perfiles de mayor riesgo. Es la combinación que mejor equilibra precisión,</w:t>
      </w:r>
      <w:r>
        <w:t xml:space="preserve"> </w:t>
      </w:r>
      <w:r>
        <w:t xml:space="preserve">fiabilidad y responsabilidad.</w:t>
      </w:r>
    </w:p>
    <w:bookmarkEnd w:id="41"/>
    <w:bookmarkEnd w:id="42"/>
    <w:bookmarkStart w:id="44" w:name="riesgos-limitaciones-y-próximos-pasos"/>
    <w:p>
      <w:pPr>
        <w:pStyle w:val="Heading1"/>
      </w:pPr>
      <w:r>
        <w:t xml:space="preserve">7. Riesgos, limitaciones y próximos pasos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 o limitación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gestionarlo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simulados: validan el método, pero las magnitudes son de esta cartera.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Revalidar el modelo sobre la cartera real antes de trasladarlo a tarifa.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Sobredispersión y exceso de ceros: un modelo mal especificado infravalora la incertidumbre.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binomial negativa / modelos de ceros y diagnósticos (índice de dispersión, residuos simulados).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Aplicación de la recomendación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shrinkage</w:t>
            </w:r>
            <w:r>
              <w:t xml:space="preserve"> </w:t>
            </w:r>
            <w:r>
              <w:t xml:space="preserve">comprime los efectos de agencia; las agencias pequeñas se estiman con más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sobre-reaccionar a agencias con poca cartera; acumular historial antes de decidir.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cartera/equipo difiere: las cifras no son directamente extrapolables.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Reestimar los parámetros en cada cartera; tratar las conclusiones como cualitativas fuera de ella.</w:t>
            </w:r>
          </w:p>
        </w:tc>
      </w:tr>
    </w:tbl>
    <w:bookmarkStart w:id="43" w:name="próximos-pasos-propuestos"/>
    <w:p>
      <w:pPr>
        <w:pStyle w:val="Heading2"/>
      </w:pPr>
      <w:r>
        <w:t xml:space="preserve">7.1 Próximos pasos propuestos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o 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 de seguimiento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Revalidar el modelo binomial negativo en la cartera real y fijar recargos por incertidumbre.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actuarial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los intervalos de predicción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Auditar las nueve agencias atípicas y documentar buenas prácticas.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Operaciones / Red de agencias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Reducción de la dispersión entre agencias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Diseñar el calendario de revisión basado en riesgo y pilotarlo.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primeros siniestros detectados en revisión</w:t>
            </w:r>
          </w:p>
        </w:tc>
      </w:tr>
    </w:tbl>
    <w:bookmarkEnd w:id="43"/>
    <w:bookmarkEnd w:id="44"/>
    <w:bookmarkStart w:id="48" w:name="Xb7f55f5b484997678a195a431dd3ce52e42a307"/>
    <w:p>
      <w:pPr>
        <w:pStyle w:val="Heading1"/>
      </w:pPr>
      <w:r>
        <w:t xml:space="preserve">8. Referencias, uso de IA y anexo metodológico breve</w:t>
      </w:r>
    </w:p>
    <w:bookmarkStart w:id="45" w:name="referencias"/>
    <w:p>
      <w:pPr>
        <w:pStyle w:val="Heading2"/>
      </w:pPr>
      <w:r>
        <w:t xml:space="preserve">8.1 Referencias</w:t>
      </w:r>
    </w:p>
    <w:p>
      <w:pPr>
        <w:pStyle w:val="FirstParagraph"/>
      </w:pPr>
      <w:r>
        <w:t xml:space="preserve">Brooks, M. E., Kristensen, K., van Benthem, K. J., Magnusson, A., Berg, C. W., Nielsen, A.,</w:t>
      </w:r>
      <w:r>
        <w:t xml:space="preserve"> </w:t>
      </w:r>
      <w:r>
        <w:t xml:space="preserve">Skaug, H. J., Mächler, M., &amp; Bolker, B. M. (2017). glmmTMB balances speed and flexibility</w:t>
      </w:r>
      <w:r>
        <w:t xml:space="preserve"> </w:t>
      </w:r>
      <w:r>
        <w:t xml:space="preserve">among packages for zero-inflated generalized linear mixed models.</w:t>
      </w:r>
      <w:r>
        <w:t xml:space="preserve"> </w:t>
      </w:r>
      <w:r>
        <w:rPr>
          <w:iCs/>
          <w:i/>
        </w:rPr>
        <w:t xml:space="preserve">The R Journal, 9</w:t>
      </w:r>
      <w:r>
        <w:t xml:space="preserve">(2),</w:t>
      </w:r>
      <w:r>
        <w:t xml:space="preserve"> </w:t>
      </w:r>
      <w:r>
        <w:t xml:space="preserve">378–400.</w:t>
      </w:r>
    </w:p>
    <w:p>
      <w:pPr>
        <w:pStyle w:val="BodyText"/>
      </w:pPr>
      <w:r>
        <w:t xml:space="preserve">Cameron, A. C., &amp; Trivedi, P. K. (2013).</w:t>
      </w:r>
      <w:r>
        <w:t xml:space="preserve"> </w:t>
      </w:r>
      <w:r>
        <w:rPr>
          <w:iCs/>
          <w:i/>
        </w:rPr>
        <w:t xml:space="preserve">Regression analysis of count data</w:t>
      </w:r>
      <w:r>
        <w:t xml:space="preserve"> </w:t>
      </w:r>
      <w:r>
        <w:t xml:space="preserve">(2.ª ed.).</w:t>
      </w:r>
      <w:r>
        <w:t xml:space="preserve"> </w:t>
      </w:r>
      <w:r>
        <w:t xml:space="preserve">Cambridge University Press.</w:t>
      </w:r>
    </w:p>
    <w:p>
      <w:pPr>
        <w:pStyle w:val="BodyText"/>
      </w:pPr>
      <w:r>
        <w:t xml:space="preserve">Dobson, A. J., &amp; Barnett, A. G. (2018).</w:t>
      </w:r>
      <w:r>
        <w:t xml:space="preserve"> </w:t>
      </w:r>
      <w:r>
        <w:rPr>
          <w:iCs/>
          <w:i/>
        </w:rPr>
        <w:t xml:space="preserve">An introduction to generalized linear models</w:t>
      </w:r>
      <w:r>
        <w:t xml:space="preserve"> </w:t>
      </w:r>
      <w:r>
        <w:t xml:space="preserve">(4.ª ed.). Chapman &amp; Hall/CRC.</w:t>
      </w:r>
    </w:p>
    <w:p>
      <w:pPr>
        <w:pStyle w:val="BodyText"/>
      </w:pPr>
      <w:r>
        <w:t xml:space="preserve">Friedman, J., Hastie, T., &amp; Tibshirani, R. (2010). Regularization paths for generalized</w:t>
      </w:r>
      <w:r>
        <w:t xml:space="preserve"> </w:t>
      </w:r>
      <w:r>
        <w:t xml:space="preserve">linear models via coordinate descent.</w:t>
      </w:r>
      <w:r>
        <w:t xml:space="preserve"> </w:t>
      </w:r>
      <w:r>
        <w:rPr>
          <w:iCs/>
          <w:i/>
        </w:rPr>
        <w:t xml:space="preserve">Journal of Statistical Software, 33</w:t>
      </w:r>
      <w:r>
        <w:t xml:space="preserve">(1), 1–22.</w:t>
      </w:r>
    </w:p>
    <w:p>
      <w:pPr>
        <w:pStyle w:val="BodyText"/>
      </w:pPr>
      <w:r>
        <w:t xml:space="preserve">Zeileis, A., Kleiber, C., &amp; Jackman, S. (2008). Regression models for count data in R.</w:t>
      </w:r>
      <w:r>
        <w:t xml:space="preserve"> </w:t>
      </w:r>
      <w:r>
        <w:rPr>
          <w:iCs/>
          <w:i/>
        </w:rPr>
        <w:t xml:space="preserve">Journal of Statistical Software, 27</w:t>
      </w:r>
      <w:r>
        <w:t xml:space="preserve">(8), 1–25.</w:t>
      </w:r>
    </w:p>
    <w:p>
      <w:pPr>
        <w:pStyle w:val="BodyText"/>
      </w:pPr>
      <w:r>
        <w:t xml:space="preserve">Tribunal de Justicia de la Unión Europea. (2011).</w:t>
      </w:r>
      <w:r>
        <w:t xml:space="preserve"> </w:t>
      </w:r>
      <w:r>
        <w:rPr>
          <w:iCs/>
          <w:i/>
        </w:rPr>
        <w:t xml:space="preserve">Association Belge des Consommateurs</w:t>
      </w:r>
      <w:r>
        <w:rPr>
          <w:iCs/>
          <w:i/>
        </w:rPr>
        <w:t xml:space="preserve"> </w:t>
      </w:r>
      <w:r>
        <w:rPr>
          <w:iCs/>
          <w:i/>
        </w:rPr>
        <w:t xml:space="preserve">Test-Achats ASBL y otros contra Conseil des ministres</w:t>
      </w:r>
      <w:r>
        <w:t xml:space="preserve"> </w:t>
      </w:r>
      <w:r>
        <w:t xml:space="preserve">(asunto C-236/09).</w:t>
      </w:r>
    </w:p>
    <w:bookmarkEnd w:id="45"/>
    <w:bookmarkStart w:id="46" w:name="X8222d5ec3f2ec0c7b2543ab1040c0ff5752c238"/>
    <w:p>
      <w:pPr>
        <w:pStyle w:val="Heading2"/>
      </w:pPr>
      <w:r>
        <w:t xml:space="preserve">8.2 Declaración responsable de uso de inteligencia artificial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utilizadas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Opus 4.8 (asistente de IA de Anthropic), julio de 2026; entorno R con Quarto.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Tareas para las que se utilizó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 en la redacción del código R, la estructura del cuaderno reproducible y un borrador de las interpretaciones.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humana realizada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equipo ejecutó y renderizó todo el código, verificó cada cifra frente a la salida y validó los resultados contra los parámetros conocidos del proceso generador.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Decisiones no delegadas en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Elección de modelos y variables, interpretación final, conclusiones y recomendaciones.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Errores, límites o ajustes 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ajustaron dependencias y rutas del código; no se incorporó ninguna cifra sin trazabilidad (todas proceden del render).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Modelo de declaración.</w:t>
      </w:r>
      <w:r>
        <w:t xml:space="preserve"> </w:t>
      </w:r>
      <w:r>
        <w:t xml:space="preserve">En este proyecto se han utilizado herramientas de inteligencia</w:t>
      </w:r>
      <w:r>
        <w:t xml:space="preserve"> </w:t>
      </w:r>
      <w:r>
        <w:t xml:space="preserve">artificial como apoyo para la redacción de código, la estructura del cuaderno y un borrador</w:t>
      </w:r>
      <w:r>
        <w:t xml:space="preserve"> </w:t>
      </w:r>
      <w:r>
        <w:t xml:space="preserve">de las interpretaciones. Todas las salidas generadas por estas herramientas han sido</w:t>
      </w:r>
      <w:r>
        <w:t xml:space="preserve"> </w:t>
      </w:r>
      <w:r>
        <w:t xml:space="preserve">revisadas críticamente por el equipo. La IA no ha sido utilizada como fuente autónoma de</w:t>
      </w:r>
      <w:r>
        <w:t xml:space="preserve"> </w:t>
      </w:r>
      <w:r>
        <w:t xml:space="preserve">resultados, ni como sustituto del análisis estadístico, ni como autora de las conclusiones.</w:t>
      </w:r>
      <w:r>
        <w:t xml:space="preserve"> </w:t>
      </w:r>
      <w:r>
        <w:t xml:space="preserve">Las decisiones sobre metodología, interpretación, recomendaciones y redacción final han sido</w:t>
      </w:r>
      <w:r>
        <w:t xml:space="preserve"> </w:t>
      </w:r>
      <w:r>
        <w:t xml:space="preserve">responsabilidad del equipo.</w:t>
      </w:r>
    </w:p>
    <w:bookmarkEnd w:id="46"/>
    <w:bookmarkStart w:id="47" w:name="anexo-metodológico-breve"/>
    <w:p>
      <w:pPr>
        <w:pStyle w:val="Heading2"/>
      </w:pPr>
      <w:r>
        <w:t xml:space="preserve">8.3 Anexo metodológico breve</w:t>
      </w:r>
    </w:p>
    <w:p>
      <w:pPr>
        <w:pStyle w:val="BlockText"/>
      </w:pPr>
      <w:r>
        <w:t xml:space="preserve">El análisis cubre las diecisiete preguntas de la dirección, organizadas en cinco bloques:</w:t>
      </w:r>
      <w:r>
        <w:t xml:space="preserve"> </w:t>
      </w:r>
      <w:r>
        <w:t xml:space="preserve">(2.1) Poisson con</w:t>
      </w:r>
      <w:r>
        <w:t xml:space="preserve"> </w:t>
      </w:r>
      <w:r>
        <w:rPr>
          <w:iCs/>
          <w:i/>
        </w:rPr>
        <w:t xml:space="preserve">offset</w:t>
      </w:r>
      <w:r>
        <w:t xml:space="preserve"> </w:t>
      </w:r>
      <w:r>
        <w:t xml:space="preserve">e IRR, predicción con intervalo, modelos log-lineales y tablas</w:t>
      </w:r>
      <w:r>
        <w:t xml:space="preserve"> </w:t>
      </w:r>
      <w:r>
        <w:t xml:space="preserve">cuadradas del bonus-malus; (2.2–2.3) sobredispersión (quasi-Poisson y binomial negativa),</w:t>
      </w:r>
      <w:r>
        <w:t xml:space="preserve"> </w:t>
      </w:r>
      <w:r>
        <w:t xml:space="preserve">fragilidad no observada y exceso de ceros del fraude (inflado de ceros frente a barrera);</w:t>
      </w:r>
      <w:r>
        <w:t xml:space="preserve"> </w:t>
      </w:r>
      <w:r>
        <w:t xml:space="preserve">(2.4) GLMM de Poisson con agencia y región, ICC y BLUPs; (2.5) riesgos a trozos, Kaplan–Meier</w:t>
      </w:r>
      <w:r>
        <w:t xml:space="preserve"> </w:t>
      </w:r>
      <w:r>
        <w:t xml:space="preserve">y Cox, y eventos recurrentes con fragilidad; (2.6) selección por AIC/BIC, validación cruzada</w:t>
      </w:r>
      <w:r>
        <w:t xml:space="preserve"> </w:t>
      </w:r>
      <w:r>
        <w:t xml:space="preserve">y lasso, y auditoría de equidad (exclusión del sexo y detección de</w:t>
      </w:r>
      <w:r>
        <w:t xml:space="preserve"> </w:t>
      </w:r>
      <w:r>
        <w:rPr>
          <w:iCs/>
          <w:i/>
        </w:rPr>
        <w:t xml:space="preserve">proxies</w:t>
      </w:r>
      <w:r>
        <w:t xml:space="preserve">). Cada bloque se</w:t>
      </w:r>
      <w:r>
        <w:t xml:space="preserve"> </w:t>
      </w:r>
      <w:r>
        <w:t xml:space="preserve">validó contra la «verdad» del proceso generador. El detalle y el código completo están en el</w:t>
      </w:r>
      <w:r>
        <w:t xml:space="preserve"> </w:t>
      </w:r>
      <w:r>
        <w:t xml:space="preserve">cuaderno reproducible</w:t>
      </w:r>
      <w:r>
        <w:t xml:space="preserve"> </w:t>
      </w:r>
      <w:r>
        <w:rPr>
          <w:rStyle w:val="VerbatimChar"/>
        </w:rPr>
        <w:t xml:space="preserve">resolucion_equipo01.qmd</w:t>
      </w:r>
      <w:r>
        <w:t xml:space="preserve">.</w:t>
      </w:r>
    </w:p>
    <w:bookmarkEnd w:id="47"/>
    <w:bookmarkEnd w:id="48"/>
    <w:bookmarkStart w:id="49" w:name="anexos-opcionales"/>
    <w:p>
      <w:pPr>
        <w:pStyle w:val="Heading1"/>
      </w:pPr>
      <w:r>
        <w:t xml:space="preserve">9. Anexos opcionales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 A. Nota metodológica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Cuaderno reproducible</w:t>
            </w:r>
            <w:r>
              <w:t xml:space="preserve"> </w:t>
            </w:r>
            <w:r>
              <w:rPr>
                <w:rStyle w:val="VerbatimChar"/>
              </w:rPr>
              <w:t xml:space="preserve">resolucion_equipo01.qmd</w:t>
            </w:r>
            <w:r>
              <w:t xml:space="preserve"> </w:t>
            </w:r>
            <w:r>
              <w:t xml:space="preserve">(código, salidas y validación contra el DGP).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 B. Visualizaciones complementarias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y tablas completas del cuaderno (distribuciones, IRR,</w:t>
            </w:r>
            <w:r>
              <w:t xml:space="preserve"> </w:t>
            </w:r>
            <w:r>
              <w:rPr>
                <w:iCs/>
                <w:i/>
              </w:rPr>
              <w:t xml:space="preserve">caterpillar</w:t>
            </w:r>
            <w:r>
              <w:t xml:space="preserve">, hazard, Kaplan–Meier).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 C. Calidad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simulados sin valores ausentes relevantes (salvo coste, no usado aquí); exposición como</w:t>
            </w:r>
            <w:r>
              <w:t xml:space="preserve"> </w:t>
            </w:r>
            <w:r>
              <w:rPr>
                <w:iCs/>
                <w:i/>
              </w:rPr>
              <w:t xml:space="preserve">offset</w:t>
            </w:r>
            <w:r>
              <w:t xml:space="preserve">; semilla fija.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 D. Prompts de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procede en esta entrega.</w:t>
            </w:r>
          </w:p>
        </w:tc>
      </w:tr>
    </w:tbl>
    <w:bookmarkEnd w:id="49"/>
    <w:bookmarkStart w:id="50" w:name="checklist-final-antes-de-entregar"/>
    <w:p>
      <w:pPr>
        <w:pStyle w:val="Heading1"/>
      </w:pPr>
      <w:r>
        <w:t xml:space="preserve">10. Checklist final antes de entregar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revisar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resumen ejecutivo puede leerse de forma autónoma.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decisión que se quiere apoyar aparece claramente formulada.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Solo se incluyen resultados relevantes para la decisión.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gráficos son pocos, legibles y con títulos interpretativos.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metodología se explica de forma breve y comprensible.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 recomendaciones son concretas, priorizadas y respaldadas por evidencia.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 explican beneficios esperados, riesgos y forma de evaluar impacto.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 limitaciones principales están reconocidas sin exceso técnico.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 referencias y fuentes de datos están citadas.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uso de IA está declarado si procede.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Frecuencia de siniestralidad en la cartera de auto (equipo_01)</dc:title>
  <dc:creator>equipo_01</dc:creator>
  <dc:language>es</dc:language>
  <cp:keywords/>
  <dcterms:created xsi:type="dcterms:W3CDTF">2026-07-22T11:33:48Z</dcterms:created>
  <dcterms:modified xsi:type="dcterms:W3CDTF">2026-07-22T11:33:48Z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22/7/26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Informe ejecutivo · Estudio de caso 2 — ritmo, variabilidad y territorio del riesgo</vt:lpwstr>
  </property>
  <property fmtid="{D5CDD505-2E9C-101B-9397-08002B2CF9AE}" pid="12" name="toc-title">
    <vt:lpwstr>Tabla de contenidos</vt:lpwstr>
  </property>
</Properties>
</file>