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2"/>
        </w:rPr>
        <w:t>PLANTILLA DE INFORME</w:t>
      </w:r>
    </w:p>
    <w:p>
      <w:pPr>
        <w:pStyle w:val="Title"/>
        <w:jc w:val="center"/>
      </w:pPr>
      <w:r>
        <w:t>Plantilla de informe ejecutivo basado en datos</w:t>
      </w:r>
    </w:p>
    <w:p>
      <w:pPr>
        <w:jc w:val="center"/>
      </w:pPr>
      <w:r>
        <w:rPr>
          <w:color w:val="666666"/>
          <w:sz w:val="22"/>
        </w:rPr>
        <w:t>Comunicación breve, clara y orientada a decisiones empresariales</w:t>
      </w:r>
    </w:p>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jc w:val="center"/>
            </w:pPr>
            <w:r>
              <w:rPr>
                <w:b/>
                <w:color w:val="1F4E5F"/>
                <w:sz w:val="20"/>
              </w:rPr>
              <w:t>Idea fuerza</w:t>
            </w:r>
          </w:p>
          <w:p>
            <w:pPr>
              <w:jc w:val="center"/>
            </w:pPr>
            <w:r>
              <w:rPr>
                <w:sz w:val="22"/>
              </w:rPr>
              <w:t>Un informe ejecutivo no resume todo el análisis: selecciona la evidencia necesaria para decidir que hacer, por que hacerlo y con que cautelas.</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Título del proyecto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8"/>
              </w:rPr>
              <w:t>Frecuencia de siniestralidad en la cartera de auto: ritmo, variabilidad y territorio (equipo_01)</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Equipo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8"/>
              </w:rPr>
              <w:t>equipo_01</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Asignatura / titulación</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8"/>
              </w:rPr>
              <w:t>Modelos Lineales Generalizados con R — 3.º del Grado en Ciencia de Datos e IA (6 ECTS)</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Curso académico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8"/>
              </w:rPr>
              <w:t>2025–2026</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Profesorado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Audiencia destinataria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8"/>
              </w:rPr>
              <w:t>Dirección técnica de la aseguradora de automóvil</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Decisión que se quiere apoyar</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8"/>
              </w:rPr>
              <w:t>Tarificación de la frecuencia de siniestros, planificación de revisiones y gestión de la red de agencias</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Producto esperado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Documento breve para que una audiencia empresarial comprenda el problema, valore la evidencia y decida proximas acciones.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Extensión orientativa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5-10 páginas sin contar anexos, salvo indicación expresa del profesorado.</w:t>
            </w:r>
          </w:p>
        </w:tc>
      </w:tr>
    </w:tbl>
    <w:p>
      <w:pPr>
        <w:jc w:val="center"/>
      </w:pPr>
      <w:r>
        <w:rPr>
          <w:i/>
          <w:color w:val="666666"/>
        </w:rPr>
        <w:t>Versión para cumplimentar por el alumnado</w:t>
      </w:r>
    </w:p>
    <w:p>
      <w:r>
        <w:br w:type="page"/>
      </w:r>
    </w:p>
    <w:p>
      <w:pPr>
        <w:pStyle w:val="Heading1"/>
      </w:pPr>
      <w:r>
        <w:t>Instrucciones de uso de la plantilla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Criterio general de calidad</w:t>
            </w:r>
          </w:p>
          <w:p>
            <w:r>
              <w:rPr>
                <w:sz w:val="19"/>
              </w:rPr>
              <w:t>El informe ejecutivo debe priorizar claridad, relevancia y acción. No debe copiar la estructura completa de un informe técnico ni acumular gráficos. Las indicaciones entre corchetes deben sustituirse por contenido real y no mantenerse en la versión final.</w:t>
            </w:r>
          </w:p>
        </w:tc>
      </w:tr>
    </w:tbl>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Sección</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Función en el informe ejecutivo</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Resumen ejecutivo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Comunicar en una página el problema, evidencia, hallazgos, recomendacion y cautelas.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1. Problema de negocio y decisión</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Definir que debe decidir la audiencia y por que importa.</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2. Evidencia disponible</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Resumir datos, alcance y calidad suficiente para interpretar resultados.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3. Enfoque de análisis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Explicar el método de forma breve y comprensible.</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4. Hallazgos clave</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Presentar 2-4 resultados seleccionados, con visualizaciones claras.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5. Implicaciones y recomendaciones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Traducir resultados en acciones priorizadas.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6. Riesgos, limitaciones y próximos pasos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Explicar cautelas y definir el siguiente paso operativo.</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7. Referencias, IA y anexo metodológico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Aportar trazabilidad sin sobrecargar el documento principal.</w:t>
            </w:r>
          </w:p>
        </w:tc>
      </w:tr>
    </w:tbl>
    <w:p>
      <w:pPr>
        <w:pStyle w:val="Heading1"/>
      </w:pPr>
      <w:r>
        <w:t>Resumen ejecutivo</w:t>
      </w:r>
    </w:p>
    <w:p>
      <w:r>
        <w:t>[Debe redactarse al final, aunque aparezca al principio. Extensión recomendada: 250-400 palabras o una página como máximo.]</w:t>
      </w:r>
    </w:p>
    <w:p>
      <w:pPr>
        <w:ind w:left="227" w:hanging="142"/>
      </w:pPr>
      <w:r>
        <w:rPr>
          <w:sz w:val="20"/>
        </w:rPr>
        <w:t>- Que problema o decisión se aborda.</w:t>
      </w:r>
    </w:p>
    <w:p>
      <w:pPr>
        <w:ind w:left="227" w:hanging="142"/>
      </w:pPr>
      <w:r>
        <w:rPr>
          <w:sz w:val="20"/>
        </w:rPr>
        <w:t>- Que datos se han utilizado y que alcance tienen.</w:t>
      </w:r>
    </w:p>
    <w:p>
      <w:pPr>
        <w:ind w:left="227" w:hanging="142"/>
      </w:pPr>
      <w:r>
        <w:rPr>
          <w:sz w:val="20"/>
        </w:rPr>
        <w:t>- Que hallazgos debe recordar la audiencia.</w:t>
      </w:r>
    </w:p>
    <w:p>
      <w:pPr>
        <w:ind w:left="227" w:hanging="142"/>
      </w:pPr>
      <w:r>
        <w:rPr>
          <w:sz w:val="20"/>
        </w:rPr>
        <w:t>- Que implicaciones tienen esos hallazgos.</w:t>
      </w:r>
    </w:p>
    <w:p>
      <w:pPr>
        <w:ind w:left="227" w:hanging="142"/>
      </w:pPr>
      <w:r>
        <w:rPr>
          <w:sz w:val="20"/>
        </w:rPr>
        <w:t>- Que recomendacion principal se propone.</w:t>
      </w:r>
    </w:p>
    <w:p>
      <w:pPr>
        <w:ind w:left="227" w:hanging="142"/>
      </w:pPr>
      <w:r>
        <w:rPr>
          <w:sz w:val="20"/>
        </w:rPr>
        <w:t>- Que cautela o riesgo debe tenerse en cuenta.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Espacio para redactar el resumen ejecutivo</w:t>
            </w:r>
          </w:p>
          <w:p>
            <w:r>
              <w:rPr>
                <w:b w:val="0"/>
                <w:i/>
                <w:color w:val="666666"/>
              </w:rPr>
              <w:t>Problema y decisión. La dirección técnica necesita tarificar la frecuencia de siniestros, planificar las revisiones de pólizas y gestionar su red de agencias con criterios cuantitativos. Este informe responde a esas preguntas sobre la cartera de auto del equipo_01.</w:t>
            </w:r>
          </w:p>
          <w:p>
            <w:r>
              <w:rPr>
                <w:b w:val="0"/>
              </w:rPr>
              <w:t>Datos. 3.093 pólizas simuladas (proceso generador conocido, que permite validar el método), con la exposición de cada póliza como denominador (offset) para modelar tasas, no recuentos brutos.</w:t>
            </w:r>
          </w:p>
          <w:p>
            <w:r>
              <w:rPr>
                <w:b w:val="0"/>
              </w:rPr>
              <w:t>Hallazgos. (1) El ritmo de siniestros lo explican de forma robusta la edad (los menores de 25 años casi duplican la tasa de los 35–65), los kilómetros (+19 % por desviación estándar), la densidad del domicilio (+20 %), la moto (+31 %) y el diésel (+21 %); pero la variabilidad real supera a la de un modelo Poisson simple (índice de dispersión 1,43), por lo que las primas deben calcularse con los márgenes de una binomial negativa. (2) Un tercio de la variación del volumen de gestiones (ICC 0,33) es atribuible a la agencia, no a la póliza, y nueve agencias se desvían de forma significativa. (3) El riesgo del primer siniestro se concentra en los primeros años y decae después, lo que aconseja revisar antes y con más frecuencia a los perfiles de alto riesgo.</w:t>
            </w:r>
          </w:p>
          <w:p>
            <w:r>
              <w:rPr>
                <w:b w:val="0"/>
              </w:rPr>
              <w:t>Recomendación principal. Adoptar un modelo binomial negativo corto (edad, kilómetros, densidad, tipo de vehículo y combustible) para tarificar la frecuencia, excluyendo el sexo por imperativo legal; gestionar la red por efectos de agencia; y priorizar las revisiones en los primeros años de vida de la póliza y en los perfiles de mayor riesgo.</w:t>
            </w:r>
          </w:p>
          <w:p>
            <w:r>
              <w:rPr>
                <w:b w:val="0"/>
              </w:rPr>
              <w:t>Cautela. Las magnitudes corresponden a esta cartera (simulada); antes de aplicarlas deben revalidarse sobre datos reales. El sexo predice la siniestralidad pero no puede usarse para tarificar.</w:t>
            </w:r>
          </w:p>
        </w:tc>
      </w:tr>
    </w:tbl>
    <w:p>
      <w:pPr>
        <w:pStyle w:val="Heading1"/>
      </w:pPr>
      <w:r>
        <w:t>1. Problema de negocio y decisión que se quiere apoyar</w:t>
      </w:r>
    </w:p>
    <w:p>
      <w:r>
        <w:t>Esta sección debe situar rapidamente a la audiencia: que ocurre, por que importa, a quien afecta y que decisión se quiere apoyar con el análisis.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ejecutivo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Situacion de partida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La aseguradora gestiona una cartera de auto a través de una red de agencias y necesita decidir su tarifa de frecuencia y su política de revisiones con base cuantitativa, no por intuición.</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Problema de negocio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No se conoce con precisión qué perfiles concentran el riesgo, cuánta variabilidad hay por encima del perfil, cuánto pesa la agencia ni cómo evoluciona el riesgo en el tiempo.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Audiencia decisora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Dirección técnica (no estadística): espera respuestas y recomendaciones accionables.</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Decisión o acción que se quiere apoyar</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Fijar factores de tarificación de la frecuencia, dimensionar recargos por incertidumbre, planificar revisiones y gestionar la red de agencias.</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Consecuencia de no actuar</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Tarifas mal calibradas (primas injustas o insuficientes), provisiones infravaloradas y recursos de revisión mal asignados.</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Criterio de éxito o indicador relevante</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Tasa de siniestros por unidad de exposición (IRR) y su intervalo; % de varianza por agencia (ICC); horizonte hasta el primer siniestro.</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Formulacion breve del problema</w:t>
            </w:r>
          </w:p>
          <w:p>
            <w:r>
              <w:rPr>
                <w:b w:val="0"/>
                <w:i/>
                <w:color w:val="666666"/>
              </w:rPr>
              <w:t>¿A qué ritmo tienen siniestros las pólizas y qué factores lo explican; cuánta variabilidad hay más allá del perfil observable; cuánto depende el servicio de la agencia y del territorio; y cómo cambia el riesgo a lo largo de la vida de la póliza? Con ello, qué modelo de frecuencia y qué política de revisión adoptar.</w:t>
            </w:r>
          </w:p>
        </w:tc>
      </w:tr>
    </w:tbl>
    <w:p>
      <w:pPr>
        <w:pStyle w:val="Heading1"/>
      </w:pPr>
      <w:r>
        <w:t>2. Evidencia disponible: datos, alcance y calidad</w:t>
      </w:r>
    </w:p>
    <w:p>
      <w:r>
        <w:t>El lector ejecutivo no necesita todo el detalle técnico, pero si necesita saber si la evidencia es suficiente y que alcance tienen los datos.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Resumen para la audiencia</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Fuente y periodo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Cartera de auto simulada del equipo_01 (semilla 260101), con proceso generador conocido para control de calidad.</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Unidad de análisis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La póliza (una fila por póliza); además, panel póliza-año para el análisis temporal y de eventos recurrentes.</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Volumen de datos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3.093 pólizas; 14.524 filas póliza-año en el panel.</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Variables o indicadores principales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Cuatro respuestas de conteo (siniestros, asistencias, fraude, gestiones), predictores de riesgo (edad, carnet, potencia, kilómetros, densidad, tipo, uso, combustible…), agencia y región, exposición (offset), bonus-malus y tiempo al primer siniestro.</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Cobertura y alcance</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Clientes con al menos un tercio de la antigüedad máxima; exposición entre 0,01 y 1,00; horizonte de hasta 10 años.</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Principales cautelas de calidad</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Datos simulados: validan el método pero las magnitudes son propias de esta cartera. La exposición variable obliga a modelar tasas (offset). Sexo presente pero legalmente no tarificable.</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Mensaje de adecuacion de los datos</w:t>
            </w:r>
          </w:p>
          <w:p>
            <w:r>
              <w:rPr>
                <w:b w:val="0"/>
                <w:i/>
                <w:color w:val="666666"/>
              </w:rPr>
              <w:t>Los datos son suficientes y adecuados para la decisión: contienen la exposición (imprescindible para modelar tasas), un conjunto amplio de predictores de riesgo, la estructura de agencias y regiones para medir el efecto territorial, y el tiempo al primer siniestro para el análisis temporal. Al ser simulados con proceso generador conocido, permiten además verificar que las estimaciones recuperan la 'verdad'. La principal cautela es que las magnitudes concretas son de esta cartera y deben revalidarse en datos reales antes de trasladarse a tarifa.</w:t>
            </w:r>
          </w:p>
        </w:tc>
      </w:tr>
    </w:tbl>
    <w:p>
      <w:pPr>
        <w:pStyle w:val="Heading1"/>
      </w:pPr>
      <w:r>
        <w:t>3. Enfoque de análisis</w:t>
      </w:r>
    </w:p>
    <w:p>
      <w:r>
        <w:t>Explicar el enfoque metodológico sin convertirlo en una clase técnica. La pregunta clave es: por que este análisis es adecuado para apoyar la decisión.</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Pregunta que se queria responder</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Análisis realizado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Por que era adecuado</w:t>
            </w:r>
          </w:p>
        </w:tc>
      </w:tr>
      <w:tr>
        <w:trPr>
          <w:cantSplit/>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¿Qué factores mueven el ritmo de siniestros y cuánto?</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Regresión de Poisson con offset(log(exposición)); lectura en razones de tasas (IRR).</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Es el modelo natural para tasas de conteo con exposición variable.</w:t>
            </w:r>
          </w:p>
        </w:tc>
      </w:tr>
      <w:tr>
        <w:trPr>
          <w:cantSplit/>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¿Refleja el modelo la variabilidad, o se queda corto?</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Diagnóstico de sobredispersión y comparación quasi-Poisson / binomial negativa; fragilidad (efecto aleatorio).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La Poisson impone media = varianza; los datos la superan (dispersión 1,43).</w:t>
            </w:r>
          </w:p>
        </w:tc>
      </w:tr>
      <w:tr>
        <w:trPr>
          <w:cantSplit/>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¿Cuánto del volumen de gestiones depende de la agencia y el territorio?</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GLMM de Poisson con efectos aleatorios de agencia y región; ICC y BLUPs.</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Los datos están agrupados por agencia; ignorarlo sesga la incertidumbre.</w:t>
            </w:r>
          </w:p>
        </w:tc>
      </w:tr>
      <w:tr>
        <w:tc>
          <w:tcPr>
            <w:tcW w:type="dxa" w:w="3326"/>
          </w:tcPr>
          <w:p>
            <w:r>
              <w:rPr>
                <w:b w:val="0"/>
              </w:rPr>
              <w:t>¿Cómo distinguir pólizas que nunca levantan revisión antifraude?</w:t>
            </w:r>
          </w:p>
        </w:tc>
        <w:tc>
          <w:tcPr>
            <w:tcW w:type="dxa" w:w="3326"/>
          </w:tcPr>
          <w:p>
            <w:r>
              <w:rPr>
                <w:b w:val="0"/>
              </w:rPr>
              <w:t>Modelos de exceso de ceros (inflado de ceros vs barrera) sobre n_fraude.</w:t>
            </w:r>
          </w:p>
        </w:tc>
        <w:tc>
          <w:tcPr>
            <w:tcW w:type="dxa" w:w="3326"/>
          </w:tcPr>
          <w:p>
            <w:r>
              <w:rPr>
                <w:b w:val="0"/>
              </w:rPr>
              <w:t>El 87 % de ceros mezcla pólizas 'inmunes' con otras que aún no han ocurrido.</w:t>
            </w:r>
          </w:p>
        </w:tc>
      </w:tr>
      <w:tr>
        <w:tc>
          <w:tcPr>
            <w:tcW w:type="dxa" w:w="3326"/>
          </w:tcPr>
          <w:p>
            <w:r>
              <w:rPr>
                <w:b w:val="0"/>
              </w:rPr>
              <w:t>¿Cómo cambia el riesgo en el tiempo y qué variables conservar?</w:t>
            </w:r>
          </w:p>
        </w:tc>
        <w:tc>
          <w:tcPr>
            <w:tcW w:type="dxa" w:w="3326"/>
          </w:tcPr>
          <w:p>
            <w:r>
              <w:rPr>
                <w:b w:val="0"/>
              </w:rPr>
              <w:t>Riesgos a trozos ≡ Poisson persona-periodo (con Cox/KM); selección por AIC/BIC, validación cruzada y lasso.</w:t>
            </w:r>
          </w:p>
        </w:tc>
        <w:tc>
          <w:tcPr>
            <w:tcW w:type="dxa" w:w="3326"/>
          </w:tcPr>
          <w:p>
            <w:r>
              <w:rPr>
                <w:b w:val="0"/>
              </w:rPr>
              <w:t>Traduce el tiempo a evento a una cadencia de revisión y entrega un modelo corto y fiable.</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Nota metodológica breve</w:t>
            </w:r>
          </w:p>
          <w:p>
            <w:r>
              <w:rPr>
                <w:b w:val="0"/>
                <w:i/>
                <w:color w:val="666666"/>
              </w:rPr>
              <w:t>El eje del análisis es la regresión de Poisson con enlace log y la exposición como offset, que modela tasas y cuyos coeficientes se leen como razones de tasas (IRR). Cuando la variabilidad supera a la Poisson (sobredispersión), se emplea la binomial negativa; el exceso de ceros del fraude se trata con modelos inflados de ceros. La estructura por agencia y región se modela con GLMM de Poisson (efectos aleatorios), resumida en el coeficiente de correlación intraclase (ICC). El tiempo hasta el primer siniestro se analiza como riesgos a trozos —equivalentes a una Poisson sobre datos persona-periodo— y se contrasta con Kaplan–Meier y Cox. Para elegir un modelo parsimonioso se comparan AIC/BIC, validación cruzada y regularización lasso. Todo el cuaderno es reproducible (semilla fija) y las estimaciones se validan contra los parámetros conocidos del proceso generador.</w:t>
            </w:r>
          </w:p>
        </w:tc>
      </w:tr>
    </w:tbl>
    <w:p>
      <w:pPr>
        <w:pStyle w:val="Heading1"/>
      </w:pPr>
      <w:r>
        <w:t>4. Hallazgos clave</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Regla de selección</w:t>
            </w:r>
          </w:p>
          <w:p>
            <w:r>
              <w:rPr>
                <w:sz w:val="19"/>
              </w:rPr>
              <w:t>Seleccionar solo los resultados que cambian la comprension del problema, priorizan una decisión o sostienen una recomendacion. Dos o tres hallazgos bien explicados son preferibles a muchos gráficos mostrados sin interpretación.</w:t>
            </w:r>
          </w:p>
        </w:tc>
      </w:tr>
    </w:tbl>
    <w:p>
      <w:pPr>
        <w:pStyle w:val="Heading2"/>
      </w:pPr>
      <w:r>
        <w:rPr>
          <w:b w:val="0"/>
        </w:rPr>
        <w:t>4.1. Hallazgo clave 1: el riesgo es predecible, pero más variable de lo que parece</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Mensaje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El perfil de riesgo es nítido, pero la Poisson simple subestima la variabilidad: la tarifa necesita los márgenes de la binomial negativa.</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Evidencia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Jóvenes 18–25 casi duplican la tasa de 35–65 (IRR 0,53); +19 %/DE por km, +20 %/DE por densidad, moto +31 %, diésel +21 %. Índice de dispersión 1,43; la binomial negativa mejora el AIC en ~195 puntos.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sugerida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Distribución de las cuatro respuestas y tabla de IRR (cuaderno, EDA y Q1–Q6).</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 ejecutiva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Los factores permiten segmentar la tarifa con confianza; pero los intervalos honestos (NB) son ~20–30 % más anchos, lo que debe reflejarse en recargos y provisiones.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No usar la Poisson simple (da falsa precisión). El sexo predice pero está excluido por ley.</w:t>
            </w:r>
          </w:p>
        </w:tc>
      </w:tr>
    </w:tbl>
    <w:p>
      <w:r>
        <w:rPr>
          <w:b w:val="0"/>
        </w:rPr>
        <w:t>Figura: distribución de las cuatro respuestas de conteo y tabla de IRR (véase el cuaderno reproducible, secciones EDA y Q1).</w:t>
      </w:r>
    </w:p>
    <w:p>
      <w:pPr>
        <w:pStyle w:val="Heading2"/>
      </w:pPr>
      <w:r>
        <w:rPr>
          <w:b w:val="0"/>
        </w:rPr>
        <w:t>4.2. Hallazgo clave 2: un tercio del volumen de gestiones lo pone la agencia</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Mensaje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El volumen de gestiones depende sobre todo de la agencia: un tercio de la variación es suya, y algunas agencias se desvían con claridad.</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Evidencia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ICC 0,33; desviación típica de agencia 0,45 (rango ×0,63 a ×1,58). La región aporta (p = 0,019; 39 % del agrupamiento es territorial). Nueve agencias atípicas: 23, 16, 5, 9, 15 por encima (hasta +66 %); 22, 27, 10, 13 por debajo (hasta −42 %).</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sugerida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Gráfico caterpillar de BLUPs por agencia (cuaderno, Q9–Q12).</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 ejecutiva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Auditar las agencias con más gestiones y exportar las prácticas de las más eficientes. Para una agencia nueva: esperar ~1,66 gestiones/año, pero planificar el rango [0,68; 4,04].</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Los BLUPs incorporan shrinkage: no penalizar a agencias pequeñas por ruido; los efectos absolutos quedan algo comprimidos.</w:t>
            </w:r>
          </w:p>
        </w:tc>
      </w:tr>
    </w:tbl>
    <w:p>
      <w:r>
        <w:rPr>
          <w:b w:val="0"/>
        </w:rPr>
        <w:t>Figura: gráfico caterpillar de los BLUPs por agencia (cuaderno reproducible, Q11).</w:t>
      </w:r>
    </w:p>
    <w:p>
      <w:pPr>
        <w:pStyle w:val="Heading2"/>
      </w:pPr>
      <w:r>
        <w:rPr>
          <w:b w:val="0"/>
        </w:rPr>
        <w:t>4.3. Hallazgo clave 3: el riesgo se concentra al principio de la vida de la póliza</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Mensaje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El riesgo del primer siniestro es más alto al inicio y decae con la antigüedad, sin que un parte 'llame' a otro.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Evidencia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Hazard base 0,08 → 0,03; a los 5 años el 30 % ha tenido su primer parte. Alto riesgo alcanza el 25 % en 1,2 años frente a 7,2 del bajo riesgo. Sin dependencia de estado (IRR de 'ya tuvo parte' 0,93; p = 0,47).</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sugerida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Hazard base por tramo y curva de Kaplan–Meier (cuaderno, Q13–Q15).</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 ejecutiva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Revisar los perfiles de alto riesgo con periodicidad ≈ anual y los de bajo riesgo cada 5–7 años, concentrando el esfuerzo en los primeros años del contrato.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La caída del riesgo es poblacional (selección por fragilidad), no significa que cada póliza mejore con el tiempo.</w:t>
            </w:r>
          </w:p>
        </w:tc>
      </w:tr>
    </w:tbl>
    <w:p>
      <w:r>
        <w:rPr>
          <w:b w:val="0"/>
        </w:rPr>
        <w:t>Figura: hazard base del primer siniestro por tramo de antigüedad y curva de Kaplan–Meier (cuaderno reproducible, Q13).</w:t>
      </w:r>
    </w:p>
    <w:p>
      <w:pPr>
        <w:pStyle w:val="Heading1"/>
      </w:pPr>
      <w:r>
        <w:t>5. Implicaciones y recomendaciones accionables</w:t>
      </w:r>
    </w:p>
    <w:p>
      <w:r>
        <w:t>Esta sección debe transformar evidencia en acción. Cada recomendacion debe indicar que hacer, por que, que beneficio se espera, que riesgo existe y como evaluar el impacto.</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cantSplit/>
          <w:tblHeader w:val="true"/>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Prioridad</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Acción propuesta</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Evidencia que la respalda</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Beneficio esperado</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Riesgo o condicion</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Alta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Adoptar la binomial negativa como modelo de frecuencia para la tarifa (variables: edad, km, densidad, tipo, combustible).</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Índice de dispersión 1,43; la NB mejora el AIC en ~195 puntos frente a la Poisson.</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Primas y recargos con márgenes honestos; provisiones bien dimensionadas.</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Recalibrar sistemas de tarificación; revalidar en cartera real.</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4"/>
              </w:rPr>
              <w:t>Media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4"/>
              </w:rPr>
              <w:t>Gestionar la red por efectos de agencia: auditar las atípicas y difundir buenas prácticas.</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4"/>
              </w:rPr>
              <w:t>ICC 0,33; nueve agencias significativamente desviadas; BLUPs fiables (correlación 0,85 con la verdad).</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4"/>
              </w:rPr>
              <w:t>Menor variabilidad operativa y mejor servicio homogéneo.</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4"/>
              </w:rPr>
              <w:t>Aplicar shrinkage; no actuar sobre agencias con poca cartera hasta tener historial.</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Baja / futura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Implantar un programa de revisión basado en riesgo (alto riesgo ≈ anual; bajo riesgo cada 5–7 años).</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Horizonte al 25 % de siniestro: 1,2 años (alto) vs 7,2 (bajo); riesgo concentrado al inicio.</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Uso eficiente de los recursos de revisión y detección temprana.</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4"/>
              </w:rPr>
              <w:t>Requiere seguimiento; ajustar cadencia a medida que la póliza revela su riesgo.</w:t>
            </w:r>
          </w:p>
        </w:tc>
      </w:tr>
    </w:tbl>
    <w:p>
      <w:pPr>
        <w:pStyle w:val="Heading2"/>
      </w:pPr>
      <w:r>
        <w:t>5.1. Decisión recomendada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Recomendacion principal</w:t>
            </w:r>
          </w:p>
          <w:p>
            <w:r>
              <w:rPr>
                <w:b w:val="0"/>
                <w:i/>
                <w:color w:val="666666"/>
              </w:rPr>
              <w:t>Tarificar la frecuencia de siniestros con un modelo binomial negativo corto y validado —edad, kilómetros, densidad, tipo de vehículo y combustible—, excluyendo el sexo por imperativo legal; gestionar la red reconociendo el peso de la agencia (un tercio de la variación); y priorizar las revisiones en los primeros años de la póliza y en los perfiles de mayor riesgo. Es la combinación que mejor equilibra precisión, fiabilidad y responsabilidad.</w:t>
            </w:r>
          </w:p>
        </w:tc>
      </w:tr>
    </w:tbl>
    <w:p>
      <w:pPr>
        <w:pStyle w:val="Heading1"/>
      </w:pPr>
      <w:r>
        <w:t>6. Riesgos, limitaciones y próximos pasos</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Riesgo o limitacion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Por que importa</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Como gestionarlo</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Datos</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Los datos son simulados: validan el método, pero las magnitudes son de esta cartera.</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Revalidar el modelo sobre la cartera real antes de trasladarlo a tarifa.</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Método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Sobredispersión y exceso de ceros: un modelo mal especificado infravalora la incertidumbre.</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Usar binomial negativa / modelos de ceros y diagnósticos (índice de dispersión, residuos simulados).</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Aplicación de la recomendacion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El shrinkage comprime los efectos de agencia; las agencias pequeñas se estiman con más error.</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No sobre-reaccionar a agencias con poca cartera; acumular historial antes de decidir.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Generalizacion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Cada cartera/equipo difiere: las cifras no son directamente extrapolables.</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Reestimar los parámetros en cada cartera; tratar las conclusiones como cualitativas fuera de ella.</w:t>
            </w:r>
          </w:p>
        </w:tc>
      </w:tr>
    </w:tbl>
    <w:p>
      <w:pPr>
        <w:pStyle w:val="Heading2"/>
      </w:pPr>
      <w:r>
        <w:t>6.1. Próximos pasos propuestos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Paso</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Acción</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Responsable o área</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Indicador de seguimiento</w:t>
            </w:r>
          </w:p>
        </w:tc>
      </w:tr>
      <w:tr>
        <w:trPr>
          <w:cantSplit/>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1</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Revalidar el modelo binomial negativo en la cartera real y fijar recargos por incertidumbre.</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Área actuarial</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Cobertura de los intervalos de predicción</w:t>
            </w:r>
          </w:p>
        </w:tc>
      </w:tr>
      <w:tr>
        <w:trPr>
          <w:cantSplit/>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2</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Auditar las nueve agencias atípicas y documentar buenas prácticas.</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Operaciones / Red de agencias</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6"/>
              </w:rPr>
              <w:t>Reducción de la dispersión entre agencias</w:t>
            </w:r>
          </w:p>
        </w:tc>
      </w:tr>
      <w:tr>
        <w:trPr>
          <w:cantSplit/>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3</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Diseñar el calendario de revisión basado en riesgo y pilotarlo.</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Suscripción</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6"/>
              </w:rPr>
              <w:t>% de primeros siniestros detectados en revisión</w:t>
            </w:r>
          </w:p>
        </w:tc>
      </w:tr>
    </w:tbl>
    <w:p>
      <w:pPr>
        <w:pStyle w:val="Heading1"/>
      </w:pPr>
      <w:r>
        <w:t>7. Referencias, uso de IA y anexo metodológico breve</w:t>
      </w:r>
    </w:p>
    <w:p>
      <w:pPr>
        <w:pStyle w:val="Heading2"/>
      </w:pPr>
      <w:r>
        <w:t>7.1. Referencias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Referencias citadas</w:t>
            </w:r>
          </w:p>
          <w:p>
            <w:r>
              <w:rPr>
                <w:b w:val="0"/>
                <w:i/>
                <w:color w:val="666666"/>
              </w:rPr>
              <w:t>Brooks, M. E., Kristensen, K., van Benthem, K. J., Magnusson, A., Berg, C. W., Nielsen, A., Skaug, H. J., Mächler, M., &amp; Bolker, B. M. (2017). glmmTMB balances speed and flexibility among packages for zero-inflated generalized linear mixed models. The R Journal, 9(2), 378–400.</w:t>
            </w:r>
          </w:p>
          <w:p>
            <w:r>
              <w:rPr>
                <w:b w:val="0"/>
              </w:rPr>
              <w:t>Cameron, A. C., &amp; Trivedi, P. K. (2013). Regression analysis of count data (2nd ed.). Cambridge University Press.</w:t>
            </w:r>
          </w:p>
          <w:p>
            <w:r>
              <w:rPr>
                <w:b w:val="0"/>
              </w:rPr>
              <w:t>Dobson, A. J., &amp; Barnett, A. G. (2018). An introduction to generalized linear models (4th ed.). Chapman &amp; Hall/CRC.</w:t>
            </w:r>
          </w:p>
          <w:p>
            <w:r>
              <w:rPr>
                <w:b w:val="0"/>
              </w:rPr>
              <w:t>Friedman, J., Hastie, T., &amp; Tibshirani, R. (2010). Regularization paths for generalized linear models via coordinate descent. Journal of Statistical Software, 33(1), 1–22.</w:t>
            </w:r>
          </w:p>
          <w:p>
            <w:r>
              <w:rPr>
                <w:b w:val="0"/>
              </w:rPr>
              <w:t>Zeileis, A., Kleiber, C., &amp; Jackman, S. (2008). Regression models for count data in R. Journal of Statistical Software, 27(8), 1–25.</w:t>
            </w:r>
          </w:p>
          <w:p>
            <w:r>
              <w:rPr>
                <w:b w:val="0"/>
              </w:rPr>
              <w:t>Tribunal de Justicia de la Unión Europea. (2011). Association Belge des Consommateurs Test-Achats ASBL y otros contra Conseil des ministres (asunto C-236/09).</w:t>
            </w:r>
          </w:p>
        </w:tc>
      </w:tr>
    </w:tbl>
    <w:p>
      <w:pPr>
        <w:pStyle w:val="Heading2"/>
      </w:pPr>
      <w:r>
        <w:t>7.2. Declaracion responsable de uso de inteligencia artificial</w:t>
      </w:r>
    </w:p>
    <w:p>
      <w:r>
        <w:t>[Este apartado es obligatorio si se ha utilizado IA en cualquier fase del proyecto. Debe ser transparente, concreto y permitir constatar que la autoría del trabajo no es de la IA, sino que esta se ha utilizado como asistente.]</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Declaracion a 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Herramientas utilizadas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Claude Opus 4.8 (asistente de IA de Anthropic), julio de 2026; entorno R con Quarto.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Tareas para las que se utilizó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Asistencia en la redacción del código R, la estructura del cuaderno reproducible y un borrador de las interpretaciones.</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Revisión humana realizada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El equipo ejecutó y renderizó todo el código, verificó cada cifra frente a la salida y validó los resultados contra los parámetros conocidos del proceso generador.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Decisiones no delegadas en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Elección de modelos y variables, interpretación final, conclusiones y recomendaciones.</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Errores, límites o ajustes detectados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Se ajustaron dependencias y rutas del código; no se incorporó ninguna cifra sin trazabilidad (todas proceden del render).</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Modelo de declaracion</w:t>
            </w:r>
          </w:p>
          <w:p>
            <w:r>
              <w:rPr>
                <w:i/>
                <w:color w:val="666666"/>
              </w:rPr>
              <w:t>En este proyecto se han utilizado herramientas de inteligencia artificial como apoyo para [indicar tareas concretas]. Todas las salidas generadas por estas herramientas han sido revisadas críticamente por el equipo. La IA no ha sido utilizada como fuente autónoma de resultados, ni como sustituto del análisis estadístico, ni como autora de las conclusiones. Las decisiones sobre limpieza de datos, metodología, interpretación, recomendaciones y redacción final han sido responsabilidad del equipo.</w:t>
            </w:r>
          </w:p>
        </w:tc>
      </w:tr>
    </w:tbl>
    <w:p>
      <w:pPr>
        <w:pStyle w:val="Heading2"/>
      </w:pPr>
      <w:r>
        <w:t>7.3. Anexo metodológico breve</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Nota metodológica ampliada</w:t>
            </w:r>
          </w:p>
          <w:p>
            <w:r>
              <w:rPr>
                <w:b w:val="0"/>
                <w:i/>
                <w:color w:val="666666"/>
              </w:rPr>
              <w:t>El análisis cubre las diecisiete preguntas de la dirección sobre la cartera del equipo_01, organizadas en cinco bloques: (2.1) Poisson con offset e IRR, predicción con intervalo, modelos log-lineales para asociación y tablas cuadradas (simetría / homogeneidad marginal) del bonus-malus; (2.2–2.3) sobredispersión (quasi-Poisson y binomial negativa), fragilidad no observada (efecto aleatorio a nivel de observación) y exceso de ceros del fraude (inflado de ceros frente a barrera); (2.4) GLMM de Poisson con agencia y región, ICC, BLUPs y predicción condicional frente a marginal; (2.5) riesgos a trozos equivalentes a Poisson persona-periodo, comparados con Kaplan–Meier y Cox, y eventos recurrentes con fragilidad; (2.6) selección por AIC/BIC, validación cruzada y lasso, y auditoría de equidad (exclusión del sexo y detección de proxies). Cada bloque se validó contra la 'verdad' del proceso generador; el detalle y el código están en el cuaderno reproducible resolucion_equipo01.qmd.</w:t>
            </w:r>
          </w:p>
        </w:tc>
      </w:tr>
    </w:tbl>
    <w:p>
      <w:pPr>
        <w:pStyle w:val="Heading1"/>
      </w:pPr>
      <w:r>
        <w:t>Anexos opcionales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Anexo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recomendado</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A. Nota metodológica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Cuaderno Quarto reproducible resolucion_equipo01.qmd (código, salidas y validación contra el DGP).</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B. Visualizaciones complementarias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Figuras y tablas completas del cuaderno (distribuciones, IRR, caterpillar de agencias, hazard, Kaplan–Meier).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C. Calidad de datos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Datos simulados sin valores ausentes relevantes (salvo coste, no usado aquí); exposición como offset; semilla fija.</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D. Prompts de IA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No procede en esta entrega.</w:t>
            </w:r>
          </w:p>
        </w:tc>
      </w:tr>
    </w:tbl>
    <w:p>
      <w:pPr>
        <w:pStyle w:val="Heading1"/>
      </w:pPr>
      <w:r>
        <w:t>Checklist final antes de entregar</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Comprobacion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Sí</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 revisar</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El resumen ejecutivo puede leerse de forma autónoma.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 decisión que se quiere apoyar aparece claramente formulada.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Solo se incluyen resultados relevantes para la decisión.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Los gráficos son pocos, legibles y con titulos interpretativos.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 metodología se explica de forma breve y comprensible.</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Las recomendaciones son concretas, priorizadas y respaldadas por evidencia.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Se explican beneficios esperados, riesgos y forma de evaluar impacto.</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Las limitaciones principales estan reconocidas sin exceso técnico.</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Las referencias y fuentes de datos estan citadas.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El uso de IA esta declarado si procede.</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b w:val="0"/>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bl>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Informe ejecutivo · Versión para cumplimentar por el alumnado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COMUNICACIÓN CCDATOS · Plantillas de informes basados en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1F4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