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B2AD0" w14:textId="77777777" w:rsidR="00460383" w:rsidRDefault="00000000">
      <w:pPr>
        <w:spacing w:before="1600"/>
        <w:jc w:val="center"/>
      </w:pPr>
      <w:r>
        <w:rPr>
          <w:b/>
          <w:bCs/>
          <w:color w:val="2E5496"/>
          <w:sz w:val="28"/>
          <w:szCs w:val="28"/>
        </w:rPr>
        <w:t>GUÍA DOCENTE</w:t>
      </w:r>
    </w:p>
    <w:p w14:paraId="77E633B1" w14:textId="77777777" w:rsidR="00460383" w:rsidRDefault="00000000">
      <w:pPr>
        <w:spacing w:before="240"/>
        <w:jc w:val="center"/>
      </w:pPr>
      <w:r>
        <w:rPr>
          <w:b/>
          <w:bCs/>
          <w:color w:val="1F3864"/>
          <w:sz w:val="52"/>
          <w:szCs w:val="52"/>
        </w:rPr>
        <w:t>Modelos Lineales Generalizados con R</w:t>
      </w:r>
    </w:p>
    <w:p w14:paraId="555A0E1A" w14:textId="77777777" w:rsidR="00460383" w:rsidRDefault="00000000">
      <w:pPr>
        <w:pBdr>
          <w:bottom w:val="single" w:sz="8" w:space="8" w:color="2E5496"/>
        </w:pBdr>
        <w:spacing w:before="200"/>
        <w:jc w:val="center"/>
      </w:pPr>
      <w:r>
        <w:rPr>
          <w:i/>
          <w:iCs/>
          <w:color w:val="555555"/>
          <w:sz w:val="26"/>
          <w:szCs w:val="26"/>
        </w:rPr>
        <w:t>Modelización de datos, diagnóstico e interpretación</w:t>
      </w:r>
    </w:p>
    <w:p w14:paraId="7ADBDE92" w14:textId="77777777" w:rsidR="00460383" w:rsidRDefault="00000000">
      <w:pPr>
        <w:spacing w:before="360"/>
        <w:jc w:val="center"/>
      </w:pPr>
      <w:r>
        <w:rPr>
          <w:sz w:val="26"/>
          <w:szCs w:val="26"/>
        </w:rPr>
        <w:t>Grado en Ciencia de Datos e Inteligencia Artificial</w:t>
      </w:r>
    </w:p>
    <w:p w14:paraId="5FF69327" w14:textId="77777777" w:rsidR="00460383" w:rsidRDefault="00000000">
      <w:pPr>
        <w:spacing w:before="80"/>
        <w:jc w:val="center"/>
      </w:pPr>
      <w:r>
        <w:rPr>
          <w:color w:val="555555"/>
        </w:rPr>
        <w:t>Tercer curso · 6 ECTS · 14 semanas · Lenguaje de trabajo: R</w:t>
      </w:r>
    </w:p>
    <w:p w14:paraId="117832C9" w14:textId="77777777" w:rsidR="00460383" w:rsidRDefault="00000000">
      <w:pPr>
        <w:spacing w:before="80"/>
        <w:jc w:val="center"/>
      </w:pPr>
      <w:r>
        <w:rPr>
          <w:i/>
          <w:iCs/>
          <w:color w:val="777777"/>
          <w:sz w:val="20"/>
          <w:szCs w:val="20"/>
        </w:rPr>
        <w:t>Enfoque práctico mediante un portafolio de estudios de caso, con fundamentación teórica rigurosa</w:t>
      </w:r>
    </w:p>
    <w:p w14:paraId="4B4106E9" w14:textId="77777777" w:rsidR="00460383" w:rsidRDefault="00000000">
      <w:r>
        <w:br w:type="page"/>
      </w:r>
    </w:p>
    <w:p w14:paraId="18B2F3D6" w14:textId="77777777" w:rsidR="00460383" w:rsidRDefault="00000000">
      <w:pPr>
        <w:pStyle w:val="Ttulo1"/>
      </w:pPr>
      <w:r>
        <w:lastRenderedPageBreak/>
        <w:t>Índice</w:t>
      </w:r>
    </w:p>
    <w:sdt>
      <w:sdtPr>
        <w:id w:val="1691072969"/>
        <w:docPartObj>
          <w:docPartGallery w:val="Table of Contents"/>
          <w:docPartUnique/>
        </w:docPartObj>
      </w:sdtPr>
      <w:sdtContent>
        <w:p w14:paraId="24410E65" w14:textId="77777777" w:rsidR="00460383" w:rsidRDefault="00000000">
          <w:pPr>
            <w:widowControl w:val="0"/>
            <w:tabs>
              <w:tab w:val="right" w:pos="12000"/>
            </w:tabs>
            <w:spacing w:before="60"/>
            <w:rPr>
              <w:b/>
              <w:bCs/>
              <w:color w:val="000000"/>
            </w:rPr>
          </w:pPr>
          <w:r>
            <w:fldChar w:fldCharType="begin"/>
          </w:r>
          <w:r>
            <w:instrText xml:space="preserve"> TOC \h \u \z \t "Heading 1,1,Heading 2,2,"</w:instrText>
          </w:r>
          <w:r>
            <w:fldChar w:fldCharType="separate"/>
          </w:r>
          <w:r>
            <w:rPr>
              <w:b/>
              <w:bCs/>
              <w:color w:val="000000"/>
            </w:rPr>
            <w:t>Índice</w:t>
          </w:r>
          <w:r>
            <w:rPr>
              <w:b/>
              <w:bCs/>
              <w:color w:val="000000"/>
            </w:rPr>
            <w:tab/>
            <w:t>2</w:t>
          </w:r>
        </w:p>
        <w:p w14:paraId="6ED1EE43" w14:textId="77777777" w:rsidR="00460383" w:rsidRDefault="00000000">
          <w:pPr>
            <w:widowControl w:val="0"/>
            <w:tabs>
              <w:tab w:val="right" w:pos="12000"/>
            </w:tabs>
            <w:spacing w:before="60"/>
            <w:rPr>
              <w:b/>
              <w:bCs/>
              <w:color w:val="000000"/>
            </w:rPr>
          </w:pPr>
          <w:r>
            <w:rPr>
              <w:b/>
              <w:bCs/>
              <w:color w:val="000000"/>
            </w:rPr>
            <w:t>1. Presentación y enfoque</w:t>
          </w:r>
          <w:r>
            <w:rPr>
              <w:b/>
              <w:bCs/>
              <w:color w:val="000000"/>
            </w:rPr>
            <w:tab/>
            <w:t>3</w:t>
          </w:r>
        </w:p>
        <w:p w14:paraId="06AE7BAD" w14:textId="77777777" w:rsidR="00460383" w:rsidRDefault="00000000">
          <w:pPr>
            <w:widowControl w:val="0"/>
            <w:tabs>
              <w:tab w:val="right" w:pos="12000"/>
            </w:tabs>
            <w:spacing w:before="60"/>
            <w:rPr>
              <w:b/>
              <w:bCs/>
              <w:color w:val="000000"/>
            </w:rPr>
          </w:pPr>
          <w:r>
            <w:rPr>
              <w:b/>
              <w:bCs/>
              <w:color w:val="000000"/>
            </w:rPr>
            <w:t>2. Requisitos previos</w:t>
          </w:r>
          <w:r>
            <w:rPr>
              <w:b/>
              <w:bCs/>
              <w:color w:val="000000"/>
            </w:rPr>
            <w:tab/>
            <w:t>3</w:t>
          </w:r>
        </w:p>
        <w:p w14:paraId="6ECB4EB9" w14:textId="77777777" w:rsidR="00460383" w:rsidRDefault="00000000">
          <w:pPr>
            <w:widowControl w:val="0"/>
            <w:tabs>
              <w:tab w:val="right" w:pos="12000"/>
            </w:tabs>
            <w:spacing w:before="60"/>
            <w:rPr>
              <w:b/>
              <w:bCs/>
              <w:color w:val="000000"/>
            </w:rPr>
          </w:pPr>
          <w:r>
            <w:rPr>
              <w:b/>
              <w:bCs/>
              <w:color w:val="000000"/>
            </w:rPr>
            <w:t>3. Resultados de aprendizaje</w:t>
          </w:r>
          <w:r>
            <w:rPr>
              <w:b/>
              <w:bCs/>
              <w:color w:val="000000"/>
            </w:rPr>
            <w:tab/>
            <w:t>3</w:t>
          </w:r>
        </w:p>
        <w:p w14:paraId="0897F5DD" w14:textId="77777777" w:rsidR="00460383" w:rsidRDefault="00000000">
          <w:pPr>
            <w:widowControl w:val="0"/>
            <w:tabs>
              <w:tab w:val="right" w:pos="12000"/>
            </w:tabs>
            <w:spacing w:before="60"/>
            <w:rPr>
              <w:b/>
              <w:bCs/>
              <w:color w:val="000000"/>
            </w:rPr>
          </w:pPr>
          <w:r>
            <w:rPr>
              <w:b/>
              <w:bCs/>
              <w:color w:val="000000"/>
            </w:rPr>
            <w:t>4. Metodología</w:t>
          </w:r>
          <w:r>
            <w:rPr>
              <w:b/>
              <w:bCs/>
              <w:color w:val="000000"/>
            </w:rPr>
            <w:tab/>
            <w:t>3</w:t>
          </w:r>
        </w:p>
        <w:p w14:paraId="48BFCD11" w14:textId="77777777" w:rsidR="00460383" w:rsidRDefault="00000000">
          <w:pPr>
            <w:widowControl w:val="0"/>
            <w:tabs>
              <w:tab w:val="right" w:pos="12000"/>
            </w:tabs>
            <w:spacing w:before="60"/>
            <w:rPr>
              <w:b/>
              <w:bCs/>
              <w:color w:val="000000"/>
            </w:rPr>
          </w:pPr>
          <w:r>
            <w:rPr>
              <w:b/>
              <w:bCs/>
              <w:color w:val="000000"/>
            </w:rPr>
            <w:t>5. Contenidos</w:t>
          </w:r>
          <w:r>
            <w:rPr>
              <w:b/>
              <w:bCs/>
              <w:color w:val="000000"/>
            </w:rPr>
            <w:tab/>
            <w:t>5</w:t>
          </w:r>
        </w:p>
        <w:p w14:paraId="012ADE58" w14:textId="77777777" w:rsidR="00460383" w:rsidRDefault="00000000">
          <w:pPr>
            <w:widowControl w:val="0"/>
            <w:tabs>
              <w:tab w:val="right" w:pos="12000"/>
            </w:tabs>
            <w:spacing w:before="60"/>
            <w:ind w:left="360"/>
            <w:rPr>
              <w:color w:val="000000"/>
            </w:rPr>
          </w:pPr>
          <w:r>
            <w:rPr>
              <w:color w:val="000000"/>
            </w:rPr>
            <w:t>Caso 1 · «¿Ocurre el evento? ¿Y cuándo?» — Respuestas binarias y tiempo hasta el evento</w:t>
          </w:r>
          <w:r>
            <w:rPr>
              <w:color w:val="000000"/>
            </w:rPr>
            <w:tab/>
            <w:t>5</w:t>
          </w:r>
        </w:p>
        <w:p w14:paraId="64A08F49" w14:textId="77777777" w:rsidR="00460383" w:rsidRDefault="00000000">
          <w:pPr>
            <w:widowControl w:val="0"/>
            <w:tabs>
              <w:tab w:val="right" w:pos="12000"/>
            </w:tabs>
            <w:spacing w:before="60"/>
            <w:ind w:left="360"/>
            <w:rPr>
              <w:color w:val="000000"/>
            </w:rPr>
          </w:pPr>
          <w:r>
            <w:rPr>
              <w:color w:val="000000"/>
            </w:rPr>
            <w:t>Caso 2 · «¿Cuántas veces y a qué ritmo?» — Conteos, tasas e intensidad del riesgo</w:t>
          </w:r>
          <w:r>
            <w:rPr>
              <w:color w:val="000000"/>
            </w:rPr>
            <w:tab/>
            <w:t>5</w:t>
          </w:r>
        </w:p>
        <w:p w14:paraId="7EA5E1FF" w14:textId="77777777" w:rsidR="00460383" w:rsidRDefault="00000000">
          <w:pPr>
            <w:widowControl w:val="0"/>
            <w:tabs>
              <w:tab w:val="right" w:pos="12000"/>
            </w:tabs>
            <w:spacing w:before="60"/>
            <w:ind w:left="360"/>
            <w:rPr>
              <w:color w:val="000000"/>
            </w:rPr>
          </w:pPr>
          <w:r>
            <w:rPr>
              <w:color w:val="000000"/>
            </w:rPr>
            <w:t>Caso 3 · «¿Cuánto y hasta cuándo?» — Magnitudes positivas y vida útil hasta el fallo</w:t>
          </w:r>
          <w:r>
            <w:rPr>
              <w:color w:val="000000"/>
            </w:rPr>
            <w:tab/>
            <w:t>6</w:t>
          </w:r>
        </w:p>
        <w:p w14:paraId="3CDBF051" w14:textId="77777777" w:rsidR="00460383" w:rsidRDefault="00000000">
          <w:pPr>
            <w:widowControl w:val="0"/>
            <w:tabs>
              <w:tab w:val="right" w:pos="12000"/>
            </w:tabs>
            <w:spacing w:before="60"/>
            <w:rPr>
              <w:b/>
              <w:bCs/>
              <w:color w:val="000000"/>
            </w:rPr>
          </w:pPr>
          <w:r>
            <w:rPr>
              <w:b/>
              <w:bCs/>
              <w:color w:val="000000"/>
            </w:rPr>
            <w:t>6. Cronograma global</w:t>
          </w:r>
          <w:r>
            <w:rPr>
              <w:b/>
              <w:bCs/>
              <w:color w:val="000000"/>
            </w:rPr>
            <w:tab/>
            <w:t>7</w:t>
          </w:r>
        </w:p>
        <w:p w14:paraId="5C9F36DB" w14:textId="77777777" w:rsidR="00460383" w:rsidRDefault="00000000">
          <w:pPr>
            <w:widowControl w:val="0"/>
            <w:tabs>
              <w:tab w:val="right" w:pos="12000"/>
            </w:tabs>
            <w:spacing w:before="60"/>
            <w:rPr>
              <w:b/>
              <w:bCs/>
              <w:color w:val="000000"/>
            </w:rPr>
          </w:pPr>
          <w:r>
            <w:rPr>
              <w:b/>
              <w:bCs/>
              <w:color w:val="000000"/>
            </w:rPr>
            <w:t>7. Sistema de evaluación</w:t>
          </w:r>
          <w:r>
            <w:rPr>
              <w:b/>
              <w:bCs/>
              <w:color w:val="000000"/>
            </w:rPr>
            <w:tab/>
            <w:t>8</w:t>
          </w:r>
        </w:p>
        <w:p w14:paraId="63084AD2" w14:textId="77777777" w:rsidR="00460383" w:rsidRDefault="00000000">
          <w:pPr>
            <w:widowControl w:val="0"/>
            <w:tabs>
              <w:tab w:val="right" w:pos="12000"/>
            </w:tabs>
            <w:spacing w:before="60"/>
            <w:ind w:left="360"/>
            <w:rPr>
              <w:color w:val="000000"/>
            </w:rPr>
          </w:pPr>
          <w:r>
            <w:rPr>
              <w:color w:val="000000"/>
            </w:rPr>
            <w:t>7.1. Descripción de cada indicador</w:t>
          </w:r>
          <w:r>
            <w:rPr>
              <w:color w:val="000000"/>
            </w:rPr>
            <w:tab/>
            <w:t>8</w:t>
          </w:r>
        </w:p>
        <w:p w14:paraId="502B3D45" w14:textId="77777777" w:rsidR="00460383" w:rsidRDefault="00000000">
          <w:pPr>
            <w:widowControl w:val="0"/>
            <w:tabs>
              <w:tab w:val="right" w:pos="12000"/>
            </w:tabs>
            <w:spacing w:before="60"/>
            <w:ind w:left="360"/>
            <w:rPr>
              <w:color w:val="000000"/>
            </w:rPr>
          </w:pPr>
          <w:r>
            <w:rPr>
              <w:color w:val="000000"/>
            </w:rPr>
            <w:t>7.2. Determinación del factor individual w</w:t>
          </w:r>
          <w:r>
            <w:rPr>
              <w:color w:val="000000"/>
            </w:rPr>
            <w:tab/>
            <w:t>8</w:t>
          </w:r>
        </w:p>
        <w:p w14:paraId="25DA57E2" w14:textId="77777777" w:rsidR="00460383" w:rsidRDefault="00000000">
          <w:pPr>
            <w:widowControl w:val="0"/>
            <w:tabs>
              <w:tab w:val="right" w:pos="12000"/>
            </w:tabs>
            <w:spacing w:before="60"/>
            <w:ind w:left="360"/>
            <w:rPr>
              <w:color w:val="000000"/>
            </w:rPr>
          </w:pPr>
          <w:r>
            <w:rPr>
              <w:color w:val="000000"/>
            </w:rPr>
            <w:t>7.3. Condiciones mínimas para superar la asignatura</w:t>
          </w:r>
          <w:r>
            <w:rPr>
              <w:color w:val="000000"/>
            </w:rPr>
            <w:tab/>
            <w:t>9</w:t>
          </w:r>
        </w:p>
        <w:p w14:paraId="446A4E72" w14:textId="77777777" w:rsidR="00460383" w:rsidRDefault="00000000">
          <w:pPr>
            <w:widowControl w:val="0"/>
            <w:tabs>
              <w:tab w:val="right" w:pos="12000"/>
            </w:tabs>
            <w:spacing w:before="60"/>
            <w:ind w:left="360"/>
            <w:rPr>
              <w:color w:val="000000"/>
            </w:rPr>
          </w:pPr>
          <w:r>
            <w:rPr>
              <w:color w:val="000000"/>
            </w:rPr>
            <w:t>7.4. Ejemplos numéricos</w:t>
          </w:r>
          <w:r>
            <w:rPr>
              <w:color w:val="000000"/>
            </w:rPr>
            <w:tab/>
            <w:t>9</w:t>
          </w:r>
        </w:p>
        <w:p w14:paraId="3D5040FC" w14:textId="77777777" w:rsidR="00460383" w:rsidRDefault="00000000">
          <w:pPr>
            <w:widowControl w:val="0"/>
            <w:tabs>
              <w:tab w:val="right" w:pos="12000"/>
            </w:tabs>
            <w:spacing w:before="60"/>
            <w:rPr>
              <w:b/>
              <w:bCs/>
              <w:color w:val="000000"/>
            </w:rPr>
          </w:pPr>
          <w:r>
            <w:rPr>
              <w:b/>
              <w:bCs/>
              <w:color w:val="000000"/>
            </w:rPr>
            <w:t>8. Rúbricas y plantillas</w:t>
          </w:r>
          <w:r>
            <w:rPr>
              <w:b/>
              <w:bCs/>
              <w:color w:val="000000"/>
            </w:rPr>
            <w:tab/>
            <w:t>11</w:t>
          </w:r>
        </w:p>
        <w:p w14:paraId="4AD9C7A8" w14:textId="77777777" w:rsidR="00460383" w:rsidRDefault="00000000">
          <w:pPr>
            <w:widowControl w:val="0"/>
            <w:tabs>
              <w:tab w:val="right" w:pos="12000"/>
            </w:tabs>
            <w:spacing w:before="60"/>
            <w:ind w:left="360"/>
            <w:rPr>
              <w:color w:val="000000"/>
            </w:rPr>
          </w:pPr>
          <w:r>
            <w:rPr>
              <w:color w:val="000000"/>
            </w:rPr>
            <w:t>8.1. Rúbrica del informe de estudio de caso (P, grupal)</w:t>
          </w:r>
          <w:r>
            <w:rPr>
              <w:color w:val="000000"/>
            </w:rPr>
            <w:tab/>
            <w:t>11</w:t>
          </w:r>
        </w:p>
        <w:p w14:paraId="1FCD5625" w14:textId="77777777" w:rsidR="00460383" w:rsidRDefault="00000000">
          <w:pPr>
            <w:widowControl w:val="0"/>
            <w:tabs>
              <w:tab w:val="right" w:pos="12000"/>
            </w:tabs>
            <w:spacing w:before="60"/>
            <w:ind w:left="360"/>
            <w:rPr>
              <w:color w:val="000000"/>
            </w:rPr>
          </w:pPr>
          <w:r>
            <w:rPr>
              <w:color w:val="000000"/>
            </w:rPr>
            <w:t>8.2. Rúbrica de la reflexión individual (R)</w:t>
          </w:r>
          <w:r>
            <w:rPr>
              <w:color w:val="000000"/>
            </w:rPr>
            <w:tab/>
            <w:t>11</w:t>
          </w:r>
        </w:p>
        <w:p w14:paraId="236E8250" w14:textId="77777777" w:rsidR="00460383" w:rsidRDefault="00000000">
          <w:pPr>
            <w:widowControl w:val="0"/>
            <w:tabs>
              <w:tab w:val="right" w:pos="12000"/>
            </w:tabs>
            <w:spacing w:before="60"/>
            <w:ind w:left="360"/>
            <w:rPr>
              <w:color w:val="000000"/>
            </w:rPr>
          </w:pPr>
          <w:r>
            <w:rPr>
              <w:color w:val="000000"/>
            </w:rPr>
            <w:t>8.3. Rúbrica de la exposición (E)</w:t>
          </w:r>
          <w:r>
            <w:rPr>
              <w:color w:val="000000"/>
            </w:rPr>
            <w:tab/>
            <w:t>11</w:t>
          </w:r>
        </w:p>
        <w:p w14:paraId="618A0BBB" w14:textId="77777777" w:rsidR="00460383" w:rsidRDefault="00000000">
          <w:pPr>
            <w:widowControl w:val="0"/>
            <w:tabs>
              <w:tab w:val="right" w:pos="12000"/>
            </w:tabs>
            <w:spacing w:before="60"/>
            <w:ind w:left="360"/>
            <w:rPr>
              <w:color w:val="000000"/>
            </w:rPr>
          </w:pPr>
          <w:r>
            <w:rPr>
              <w:color w:val="000000"/>
            </w:rPr>
            <w:t>8.4. Rúbrica del Q&amp;A — factor de ponderación individual (w)</w:t>
          </w:r>
          <w:r>
            <w:rPr>
              <w:color w:val="000000"/>
            </w:rPr>
            <w:tab/>
            <w:t>12</w:t>
          </w:r>
        </w:p>
        <w:p w14:paraId="07F0E884" w14:textId="77777777" w:rsidR="00460383" w:rsidRDefault="00000000">
          <w:pPr>
            <w:widowControl w:val="0"/>
            <w:tabs>
              <w:tab w:val="right" w:pos="12000"/>
            </w:tabs>
            <w:spacing w:before="60"/>
            <w:ind w:left="360"/>
            <w:rPr>
              <w:color w:val="000000"/>
            </w:rPr>
          </w:pPr>
          <w:r>
            <w:rPr>
              <w:color w:val="000000"/>
            </w:rPr>
            <w:t>8.5. Plantilla del documento de reflexión individual</w:t>
          </w:r>
          <w:r>
            <w:rPr>
              <w:color w:val="000000"/>
            </w:rPr>
            <w:tab/>
            <w:t>13</w:t>
          </w:r>
        </w:p>
        <w:p w14:paraId="4014D2CA" w14:textId="77777777" w:rsidR="00460383" w:rsidRDefault="00000000">
          <w:pPr>
            <w:widowControl w:val="0"/>
            <w:tabs>
              <w:tab w:val="right" w:pos="12000"/>
            </w:tabs>
            <w:spacing w:before="60"/>
            <w:rPr>
              <w:b/>
              <w:bCs/>
              <w:color w:val="000000"/>
            </w:rPr>
          </w:pPr>
          <w:r>
            <w:rPr>
              <w:b/>
              <w:bCs/>
              <w:color w:val="000000"/>
            </w:rPr>
            <w:t>9. Bibliografía</w:t>
          </w:r>
          <w:r>
            <w:rPr>
              <w:b/>
              <w:bCs/>
              <w:color w:val="000000"/>
            </w:rPr>
            <w:tab/>
            <w:t>15</w:t>
          </w:r>
        </w:p>
        <w:p w14:paraId="79E76A1E" w14:textId="77777777" w:rsidR="00460383" w:rsidRDefault="00000000">
          <w:pPr>
            <w:widowControl w:val="0"/>
            <w:tabs>
              <w:tab w:val="right" w:pos="12000"/>
            </w:tabs>
            <w:spacing w:before="60"/>
            <w:ind w:left="360"/>
            <w:rPr>
              <w:color w:val="000000"/>
            </w:rPr>
          </w:pPr>
          <w:r>
            <w:rPr>
              <w:color w:val="000000"/>
            </w:rPr>
            <w:t>Libros y artículos</w:t>
          </w:r>
          <w:r>
            <w:rPr>
              <w:color w:val="000000"/>
            </w:rPr>
            <w:tab/>
            <w:t>15</w:t>
          </w:r>
        </w:p>
        <w:p w14:paraId="3DDEFFD4" w14:textId="77777777" w:rsidR="00460383" w:rsidRDefault="00000000">
          <w:pPr>
            <w:widowControl w:val="0"/>
            <w:tabs>
              <w:tab w:val="right" w:pos="12000"/>
            </w:tabs>
            <w:spacing w:before="60"/>
            <w:ind w:left="360"/>
            <w:rPr>
              <w:color w:val="000000"/>
            </w:rPr>
          </w:pPr>
          <w:r>
            <w:rPr>
              <w:color w:val="000000"/>
            </w:rPr>
            <w:t>Software y paquetes de R</w:t>
          </w:r>
          <w:r>
            <w:rPr>
              <w:color w:val="000000"/>
            </w:rPr>
            <w:tab/>
            <w:t>15</w:t>
          </w:r>
          <w:r>
            <w:fldChar w:fldCharType="end"/>
          </w:r>
        </w:p>
      </w:sdtContent>
    </w:sdt>
    <w:p w14:paraId="2F093678" w14:textId="77777777" w:rsidR="00460383" w:rsidRDefault="00000000">
      <w:r>
        <w:br w:type="page"/>
      </w:r>
    </w:p>
    <w:p w14:paraId="0F7B53E4" w14:textId="77777777" w:rsidR="00460383" w:rsidRDefault="00000000">
      <w:pPr>
        <w:pStyle w:val="Ttulo1"/>
      </w:pPr>
      <w:r>
        <w:lastRenderedPageBreak/>
        <w:t>0. Contextualización</w:t>
      </w:r>
    </w:p>
    <w:p w14:paraId="094E1172" w14:textId="77777777" w:rsidR="00460383" w:rsidRDefault="00000000">
      <w:r>
        <w:t>Los modelos lineales generalizados son una herramienta central del análisis de datos profesional: predicen e interpretan respuestas binarias, de recuento, categóricas y continuas asimétricas en sanidad (riesgo clínico), banca y seguros (impago, siniestralidad), marketing (conversión, abandono) o industria (calidad). Saber ajustarlos y diagnosticarlos en R, interpretarlos y comunicarlos en distintos formatos, aporta una base imprescindible en la formación de un científico de datos.</w:t>
      </w:r>
    </w:p>
    <w:p w14:paraId="12FFFE0F" w14:textId="77777777" w:rsidR="00460383" w:rsidRDefault="00460383"/>
    <w:p w14:paraId="01C24F68" w14:textId="77777777" w:rsidR="00460383" w:rsidRDefault="00000000">
      <w:r>
        <w:t>Els models lineals generalitzats són una ferramenta central de l'anàlisi de dades professional: prediuen i interpreten respostes binàries, de recompte, categòriques i contínues asimètriques en sanitat (risc clínic), banca i assegurances (impagament, sinistralitat), màrqueting (conversió, abandó) o indústria (qualitat). Saber ajustar-los i diagnosticar-los en R, interpretar-los i comunicar-los en diferents formats, aporta una base imprescindible en la formació d'un científic de dades.</w:t>
      </w:r>
    </w:p>
    <w:p w14:paraId="166D06F9" w14:textId="77777777" w:rsidR="00460383" w:rsidRDefault="00460383"/>
    <w:p w14:paraId="6FB14F28" w14:textId="77777777" w:rsidR="00460383" w:rsidRDefault="00000000">
      <w:r>
        <w:t>Generalised linear models are a key tool in professional data analysis: they predict and interpret binary, count, categorical and asymmetric continuous responses in healthcare (clinical risk), banking and insurance (default, claims), marketing (conversion, churn) and industry (quality). Knowing how to fit and diagnose these models in R, and how to interpret and communicate them in various formats, provides an essential foundation for the training of a data scientist.</w:t>
      </w:r>
    </w:p>
    <w:p w14:paraId="00369411" w14:textId="77777777" w:rsidR="00460383" w:rsidRDefault="00460383"/>
    <w:p w14:paraId="48DAFE42" w14:textId="77777777" w:rsidR="00460383" w:rsidRDefault="00000000">
      <w:pPr>
        <w:pStyle w:val="Ttulo1"/>
      </w:pPr>
      <w:r>
        <w:t>1. Presentación y enfoque</w:t>
      </w:r>
    </w:p>
    <w:p w14:paraId="1458F8A8" w14:textId="77777777" w:rsidR="00460383" w:rsidRDefault="00000000">
      <w:pPr>
        <w:spacing w:after="120" w:line="276" w:lineRule="auto"/>
      </w:pPr>
      <w:r>
        <w:t>Esta asignatura capacita al estudiante para elegir, ajustar, diagnosticar e interpretar el modelo lineal generalizado (GLM) adecuado a cada tipo de respuesta —binaria, categórica, de conteo o continua positiva— y para reconocer los datos censurados de tiempo-a-evento (supervivencia) como casos especiales del propio marco GLM. El hilo conductor es el ciclo completo de modelización: del dato al modelo, del modelo al diagnóstico, y del diagnóstico a la interpretación y la comunicación de resultados.</w:t>
      </w:r>
    </w:p>
    <w:p w14:paraId="3447FC41" w14:textId="77777777" w:rsidR="00460383" w:rsidRDefault="00000000">
      <w:pPr>
        <w:spacing w:after="120" w:line="276" w:lineRule="auto"/>
      </w:pPr>
      <w:r>
        <w:t xml:space="preserve">El diseño es deliberadamente </w:t>
      </w:r>
      <w:r>
        <w:rPr>
          <w:b/>
          <w:bCs/>
        </w:rPr>
        <w:t>problema-primero</w:t>
      </w:r>
      <w:r>
        <w:t xml:space="preserve">: el curso no arranca con teoría abstracta, sino con datos reales sobre los que el modelo lineal clásico falla de forma evidente (probabilidades predichas imposibles, residuos heterocedásticos, soporte acotado). Esa insuficiencia motiva la necesidad del GLM, y la teoría se introduce </w:t>
      </w:r>
      <w:r>
        <w:rPr>
          <w:i/>
          <w:iCs/>
        </w:rPr>
        <w:t>a demanda</w:t>
      </w:r>
      <w:r>
        <w:t>, bajo el paraguas de un primer estudio de caso, consolidándose después en una sesión de síntesis que reensambla el marco completo. La asignatura se vertebra en torno a un portafolio de tres estudios de caso, uno por familia de modelos, desarrollados en clase.</w:t>
      </w:r>
    </w:p>
    <w:p w14:paraId="48A51E6F" w14:textId="77777777" w:rsidR="00460383" w:rsidRDefault="00000000">
      <w:pPr>
        <w:pStyle w:val="Ttulo1"/>
      </w:pPr>
      <w:r>
        <w:t>2. Requisitos previos</w:t>
      </w:r>
    </w:p>
    <w:p w14:paraId="018D537B" w14:textId="77777777" w:rsidR="00460383" w:rsidRDefault="00000000">
      <w:pPr>
        <w:spacing w:after="120" w:line="276" w:lineRule="auto"/>
      </w:pPr>
      <w:r>
        <w:t>Cálculo, álgebra lineal, probabilidad e inferencia estadística básica, regresión lineal por mínimos cuadrados y soltura en programación. No se exige experiencia previa en R: se introduce de forma progresiva desde el primer estudio de caso.</w:t>
      </w:r>
    </w:p>
    <w:p w14:paraId="25C85048" w14:textId="77777777" w:rsidR="00460383" w:rsidRDefault="00000000">
      <w:pPr>
        <w:pStyle w:val="Ttulo1"/>
      </w:pPr>
      <w:r>
        <w:t>3. Resultados de aprendizaje</w:t>
      </w:r>
    </w:p>
    <w:p w14:paraId="10BC8F49" w14:textId="77777777" w:rsidR="00460383" w:rsidRDefault="00000000">
      <w:pPr>
        <w:numPr>
          <w:ilvl w:val="0"/>
          <w:numId w:val="2"/>
        </w:numPr>
        <w:spacing w:after="80" w:line="276" w:lineRule="auto"/>
      </w:pPr>
      <w:r>
        <w:rPr>
          <w:b/>
          <w:bCs/>
          <w:color w:val="000000"/>
        </w:rPr>
        <w:lastRenderedPageBreak/>
        <w:t xml:space="preserve">RA1 — Reconocer el marco común de los GLM. </w:t>
      </w:r>
      <w:r>
        <w:rPr>
          <w:color w:val="000000"/>
        </w:rPr>
        <w:t>Reconocer la estructura común de los GLM (familia exponencial, predictor lineal y función de enlace) y justificar cuándo un dato exige un GLM frente a OLS.</w:t>
      </w:r>
    </w:p>
    <w:p w14:paraId="2CD19A2E" w14:textId="77777777" w:rsidR="00460383" w:rsidRDefault="00000000">
      <w:pPr>
        <w:numPr>
          <w:ilvl w:val="0"/>
          <w:numId w:val="2"/>
        </w:numPr>
        <w:spacing w:after="80" w:line="276" w:lineRule="auto"/>
      </w:pPr>
      <w:r>
        <w:rPr>
          <w:b/>
          <w:bCs/>
          <w:color w:val="000000"/>
        </w:rPr>
        <w:t xml:space="preserve">RA2 — Respuestas binarias y politómicas. </w:t>
      </w:r>
      <w:r>
        <w:rPr>
          <w:color w:val="000000"/>
        </w:rPr>
        <w:t>Ajustar, interpretar (en la escala correcta), diagnosticar y comparar/seleccionar modelos para respuestas binarias y categóricas —regresión logística y binomial agrupada, politómica nominal y ordinal—: lectura de odds ratios y probabilidades, diagnóstico de separación y calibración, y selección por deviance y AIC/BIC.</w:t>
      </w:r>
    </w:p>
    <w:p w14:paraId="0014B0D1" w14:textId="77777777" w:rsidR="00460383" w:rsidRDefault="00000000">
      <w:pPr>
        <w:numPr>
          <w:ilvl w:val="0"/>
          <w:numId w:val="2"/>
        </w:numPr>
        <w:spacing w:after="80" w:line="276" w:lineRule="auto"/>
      </w:pPr>
      <w:r>
        <w:rPr>
          <w:b/>
          <w:bCs/>
          <w:color w:val="000000"/>
        </w:rPr>
        <w:t xml:space="preserve">RA3 — Conteos y tasas. </w:t>
      </w:r>
      <w:r>
        <w:rPr>
          <w:color w:val="000000"/>
        </w:rPr>
        <w:t>Ajustar, interpretar, diagnosticar y comparar/seleccionar modelos para conteos y tasas —regresión de Poisson y binomial negativa, con offset para tasas—: lectura de razones de tasas, diagnóstico y tratamiento de la sobredispersión y el exceso de ceros, y selección por deviance, AIC/BIC, validación cruzada y regularización.</w:t>
      </w:r>
    </w:p>
    <w:p w14:paraId="34CFF271" w14:textId="77777777" w:rsidR="00460383" w:rsidRDefault="00000000">
      <w:pPr>
        <w:numPr>
          <w:ilvl w:val="0"/>
          <w:numId w:val="2"/>
        </w:numPr>
        <w:spacing w:after="80" w:line="276" w:lineRule="auto"/>
      </w:pPr>
      <w:r>
        <w:rPr>
          <w:b/>
          <w:bCs/>
          <w:color w:val="000000"/>
        </w:rPr>
        <w:t xml:space="preserve">RA4 — Magnitudes positivas y vida útil. </w:t>
      </w:r>
      <w:r>
        <w:rPr>
          <w:color w:val="000000"/>
        </w:rPr>
        <w:t>Ajustar, interpretar, diagnosticar y comparar/seleccionar modelos para magnitudes continuas positivas y tiempos de vida —regresión Gamma (y log-normal) con enlace log y modelos de tiempo de fallo acelerado (AFT)—: interpretación multiplicativa de los efectos y diagnóstico del ajuste.</w:t>
      </w:r>
    </w:p>
    <w:p w14:paraId="2894B734" w14:textId="77777777" w:rsidR="00460383" w:rsidRDefault="00000000">
      <w:pPr>
        <w:numPr>
          <w:ilvl w:val="0"/>
          <w:numId w:val="2"/>
        </w:numPr>
        <w:spacing w:after="80" w:line="276" w:lineRule="auto"/>
      </w:pPr>
      <w:r>
        <w:rPr>
          <w:b/>
          <w:bCs/>
          <w:color w:val="000000"/>
        </w:rPr>
        <w:t xml:space="preserve">RA5 — Extender a mixtos y supervivencia. </w:t>
      </w:r>
      <w:r>
        <w:rPr>
          <w:color w:val="000000"/>
        </w:rPr>
        <w:t>Extender los GLM a datos agrupados (GLMM/efectos mixtos) y a tiempo-a-evento censurado (tiempo discreto, riesgos a trozos, AFT), situando el modelo de Cox como su frontera —dos hilos en espiral a lo largo de los tres casos—.</w:t>
      </w:r>
    </w:p>
    <w:p w14:paraId="6C44FCB3" w14:textId="77777777" w:rsidR="00460383" w:rsidRDefault="00000000">
      <w:pPr>
        <w:numPr>
          <w:ilvl w:val="0"/>
          <w:numId w:val="2"/>
        </w:numPr>
        <w:spacing w:after="80" w:line="276" w:lineRule="auto"/>
      </w:pPr>
      <w:r>
        <w:rPr>
          <w:b/>
          <w:bCs/>
          <w:color w:val="000000"/>
        </w:rPr>
        <w:t xml:space="preserve">RA6 — Comunicar y reproducir. </w:t>
      </w:r>
      <w:r>
        <w:rPr>
          <w:color w:val="000000"/>
        </w:rPr>
        <w:t>Desarrollar, presentar y defender estudios de caso que apliquen criterios de reproducibilidad (código y datos documentados y reejecutables, literate programming, control de versiones), ante audiencias técnicas y profesionales y en distintos formatos.</w:t>
      </w:r>
    </w:p>
    <w:p w14:paraId="2D9F4711" w14:textId="77777777" w:rsidR="00460383" w:rsidRDefault="00000000">
      <w:pPr>
        <w:pStyle w:val="Ttulo1"/>
      </w:pPr>
      <w:r>
        <w:t>4. Metodología</w:t>
      </w:r>
    </w:p>
    <w:p w14:paraId="527625ED" w14:textId="77777777" w:rsidR="00460383" w:rsidRDefault="00000000">
      <w:pPr>
        <w:spacing w:after="120" w:line="276" w:lineRule="auto"/>
      </w:pPr>
      <w:r>
        <w:t>Cada estudio de caso se construye en sesiones de laboratorio con acompañamiento docente, sobre datos reales y de forma reproducible (Quarto/R Markdown con control de versiones en Git). La teoría se imparte integrada en cada caso y se consolida en sesiones de síntesis. Las primeras sesiones de cada bloque se dedican a la fundamentación conceptual y las últimas al trabajo del estudio de caso y a las exposiciones.</w:t>
      </w:r>
    </w:p>
    <w:p w14:paraId="1999CB45" w14:textId="77777777" w:rsidR="00460383" w:rsidRDefault="00000000">
      <w:pPr>
        <w:spacing w:after="120" w:line="276" w:lineRule="auto"/>
      </w:pPr>
      <w:r>
        <w:t>Tres hilos transversales recorren el curso:</w:t>
      </w:r>
    </w:p>
    <w:p w14:paraId="3C17C532" w14:textId="77777777" w:rsidR="00460383" w:rsidRDefault="00000000">
      <w:pPr>
        <w:numPr>
          <w:ilvl w:val="0"/>
          <w:numId w:val="2"/>
        </w:numPr>
        <w:pBdr>
          <w:top w:val="nil"/>
          <w:left w:val="nil"/>
          <w:bottom w:val="nil"/>
          <w:right w:val="nil"/>
          <w:between w:val="nil"/>
        </w:pBdr>
        <w:spacing w:after="80" w:line="276" w:lineRule="auto"/>
      </w:pPr>
      <w:r>
        <w:rPr>
          <w:b/>
          <w:bCs/>
          <w:color w:val="000000"/>
        </w:rPr>
        <w:t xml:space="preserve">Comunicación: </w:t>
      </w:r>
      <w:r>
        <w:rPr>
          <w:color w:val="000000"/>
        </w:rPr>
        <w:t>desde el primer caso se trabaja la estructura del informe de modelización y la interpretación en la escala correcta; se practica en cada caso mediante un informe y una exposición.</w:t>
      </w:r>
    </w:p>
    <w:p w14:paraId="76F4F2AA" w14:textId="77777777" w:rsidR="00460383" w:rsidRDefault="00000000">
      <w:pPr>
        <w:numPr>
          <w:ilvl w:val="0"/>
          <w:numId w:val="2"/>
        </w:numPr>
        <w:pBdr>
          <w:top w:val="nil"/>
          <w:left w:val="nil"/>
          <w:bottom w:val="nil"/>
          <w:right w:val="nil"/>
          <w:between w:val="nil"/>
        </w:pBdr>
        <w:spacing w:after="80" w:line="276" w:lineRule="auto"/>
      </w:pPr>
      <w:r>
        <w:rPr>
          <w:b/>
          <w:bCs/>
          <w:color w:val="000000"/>
        </w:rPr>
        <w:t xml:space="preserve">Efectos mixtos (en espiral): </w:t>
      </w:r>
      <w:r>
        <w:rPr>
          <w:color w:val="000000"/>
        </w:rPr>
        <w:t>el concepto de datos agrupados y efectos aleatorios se introduce en el Caso 1 (intercepto aleatorio) y se reactiva en el Caso 2 (GLMM de conteo), integrándose progresivamente en lugar de quedar como un tema terminal aislado.</w:t>
      </w:r>
    </w:p>
    <w:p w14:paraId="2E0E6C5A" w14:textId="77777777" w:rsidR="00460383" w:rsidRDefault="00000000">
      <w:pPr>
        <w:numPr>
          <w:ilvl w:val="0"/>
          <w:numId w:val="2"/>
        </w:numPr>
        <w:pBdr>
          <w:top w:val="nil"/>
          <w:left w:val="nil"/>
          <w:bottom w:val="nil"/>
          <w:right w:val="nil"/>
          <w:between w:val="nil"/>
        </w:pBdr>
        <w:spacing w:after="80" w:line="276" w:lineRule="auto"/>
      </w:pPr>
      <w:r>
        <w:rPr>
          <w:b/>
          <w:bCs/>
          <w:color w:val="000000"/>
        </w:rPr>
        <w:t xml:space="preserve">Censura y supervivencia (en espiral): </w:t>
      </w:r>
      <w:r>
        <w:rPr>
          <w:color w:val="000000"/>
        </w:rPr>
        <w:t xml:space="preserve">el andamiaje de la supervivencia (función de supervivencia, hazard, conjunto de riesgo, censura) se introduce una sola vez al final del Caso 1 y se reactiva en cada bloque. La supervivencia se presenta como caso especial del marco GLM: riesgos a trozos equivalen a una regresión de Poisson </w:t>
      </w:r>
      <w:r>
        <w:rPr>
          <w:color w:val="000000"/>
        </w:rPr>
        <w:lastRenderedPageBreak/>
        <w:t>(Holford, 1980; Aitkin y Clayton, 1980; Laird y Olivier, 1981), el tiempo discreto equivale a una regresión logística, y el modelo de Cox se sitúa como referencia semiparamétrica fuera del marco.</w:t>
      </w:r>
    </w:p>
    <w:p w14:paraId="7A5F97A0" w14:textId="77777777" w:rsidR="00460383" w:rsidRDefault="00000000">
      <w:pPr>
        <w:spacing w:after="120" w:line="276" w:lineRule="auto"/>
      </w:pPr>
      <w:r>
        <w:rPr>
          <w:b/>
          <w:bCs/>
        </w:rPr>
        <w:t xml:space="preserve">Pila de software. </w:t>
      </w:r>
      <w:r>
        <w:t>Núcleo: stats::glm(), tidyverse, broom. Interpretación: marginaleffects, emmeans, effects/ggeffects, car. Diagnóstico: DHARMa, performance, pROC. Modelos específicos: MASS (binomial negativa, logística ordinal), nnet/VGAM (multinomial/ordinal), pscl/glmmTMB (inflados de ceros), glmnet (regularización), lme4/glmmTMB (GLMM), survival (supervivencia). Entorno: Quarto, renv y Git.</w:t>
      </w:r>
    </w:p>
    <w:p w14:paraId="4048DAA6" w14:textId="77777777" w:rsidR="00460383" w:rsidRDefault="00000000">
      <w:pPr>
        <w:pStyle w:val="Ttulo1"/>
      </w:pPr>
      <w:r>
        <w:t>5. Contenidos</w:t>
      </w:r>
    </w:p>
    <w:p w14:paraId="45F8E028" w14:textId="77777777" w:rsidR="00460383" w:rsidRDefault="00000000">
      <w:pPr>
        <w:spacing w:after="120" w:line="276" w:lineRule="auto"/>
      </w:pPr>
      <w:r>
        <w:t>La asignatura se organiza en tres estudios de caso, uno por familia de modelos. En cada uno, las primeras semanas son de fundamentación y la última se dedica al trabajo del estudio de caso y a las exposiciones. Las referencias completas figuran en la sección 9.</w:t>
      </w:r>
    </w:p>
    <w:p w14:paraId="77BC2DCD" w14:textId="77777777" w:rsidR="00460383" w:rsidRDefault="00460383">
      <w:pPr>
        <w:pStyle w:val="Ttulo2"/>
      </w:pPr>
    </w:p>
    <w:p w14:paraId="0936186C" w14:textId="77777777" w:rsidR="00460383" w:rsidRDefault="00000000">
      <w:pPr>
        <w:pStyle w:val="Ttulo1"/>
        <w:spacing w:before="240" w:after="240"/>
      </w:pPr>
      <w:bookmarkStart w:id="0" w:name="_heading=h.mc6p52tpufc4" w:colFirst="0" w:colLast="0"/>
      <w:bookmarkEnd w:id="0"/>
      <w:r>
        <w:t>CONTENIDOS RESUMIDOS</w:t>
      </w:r>
    </w:p>
    <w:p w14:paraId="7B539FF4" w14:textId="77777777" w:rsidR="00460383" w:rsidRDefault="00000000">
      <w:pPr>
        <w:spacing w:before="240" w:after="240"/>
      </w:pPr>
      <w:r>
        <w:t>Caso 1 - Respuesta binaria: del dato dicotómico al marco GLM</w:t>
      </w:r>
      <w:r>
        <w:br/>
        <w:t xml:space="preserve"> Entrada al marco GLM desde una respuesta binaria (sí/no): se muestra dónde falla el modelo lineal, se desarrolla la regresión logística -estimación, interpretación, inferencia, diagnóstico y clasificación- y se extiende a respuestas categóricas, abriendo los hilos de efectos mixtos y supervivencia.</w:t>
      </w:r>
    </w:p>
    <w:p w14:paraId="522C40BC" w14:textId="77777777" w:rsidR="00460383" w:rsidRDefault="00000000">
      <w:pPr>
        <w:spacing w:before="240" w:after="240"/>
      </w:pPr>
      <w:r>
        <w:t>Caso 2 - Datos de recuento: regresión de Poisson y más allá</w:t>
      </w:r>
      <w:r>
        <w:br/>
        <w:t xml:space="preserve"> Respuestas de recuento y tasas (familia Poisson, enlace log): regresión de Poisson, offsets para tasas, sobredispersión (quasi-Poisson, binomial negativa) y modelos log-lineales, con los efectos mixtos reactivados sobre conteos.</w:t>
      </w:r>
    </w:p>
    <w:p w14:paraId="06BC581F" w14:textId="77777777" w:rsidR="00460383" w:rsidRDefault="00000000">
      <w:pPr>
        <w:spacing w:before="240" w:after="240"/>
      </w:pPr>
      <w:r>
        <w:t>Caso 3 - Respuestas continuas positivas y fronteras del marco</w:t>
      </w:r>
      <w:r>
        <w:br/>
        <w:t>Respuestas continuas positivas -costes, duraciones- con familias Gamma e inversa gaussiana, y las fronteras del marco: el modelo de Cox como cierre del hilo de supervivencia y una mirada a extensiones más allá del GLM.</w:t>
      </w:r>
    </w:p>
    <w:p w14:paraId="028D5F5A" w14:textId="77777777" w:rsidR="00460383" w:rsidRDefault="00460383">
      <w:pPr>
        <w:spacing w:before="240" w:after="240"/>
        <w:rPr>
          <w:b/>
          <w:bCs/>
        </w:rPr>
      </w:pPr>
    </w:p>
    <w:p w14:paraId="048FBB1E" w14:textId="77777777" w:rsidR="00460383" w:rsidRDefault="00000000">
      <w:pPr>
        <w:spacing w:before="240" w:after="240"/>
        <w:rPr>
          <w:b/>
          <w:bCs/>
        </w:rPr>
      </w:pPr>
      <w:r>
        <w:rPr>
          <w:b/>
          <w:bCs/>
        </w:rPr>
        <w:t>Valencià</w:t>
      </w:r>
    </w:p>
    <w:p w14:paraId="190A22F4" w14:textId="77777777" w:rsidR="00460383" w:rsidRDefault="00000000">
      <w:pPr>
        <w:spacing w:before="240" w:after="240"/>
      </w:pPr>
      <w:r>
        <w:t>Cas 1 - Resposta binària: de la dada dicotòmica al marc GLM</w:t>
      </w:r>
      <w:r>
        <w:br/>
        <w:t xml:space="preserve"> Entrada al marc GLM des d'una resposta binària (sí/no): es mostra on falla el model lineal, es desenvolupa la regressió logística -estimació, interpretació, inferència, diagnòstic i classificació- i s'estén a respostes categòriques, obrint els fils d'efectes mixtos i supervivència.</w:t>
      </w:r>
    </w:p>
    <w:p w14:paraId="34EBA5D3" w14:textId="77777777" w:rsidR="00460383" w:rsidRDefault="00000000">
      <w:pPr>
        <w:spacing w:before="240" w:after="240"/>
      </w:pPr>
      <w:r>
        <w:t>Cas 2 - Dades de recompte: regressió de Poisson i més enllà</w:t>
      </w:r>
      <w:r>
        <w:br/>
        <w:t xml:space="preserve"> Respostes de recompte i taxes (família Poisson, enllaç log): regressió de Poisson, </w:t>
      </w:r>
      <w:r>
        <w:rPr>
          <w:i/>
          <w:iCs/>
        </w:rPr>
        <w:t>offsets</w:t>
      </w:r>
      <w:r>
        <w:t xml:space="preserve"> per a taxes, sobredispersió (quasi-Poisson, binomial negativa) i models log-lineals, amb els efectes mixtos reactivats sobre recomptes.</w:t>
      </w:r>
    </w:p>
    <w:p w14:paraId="4F456D46" w14:textId="77777777" w:rsidR="00460383" w:rsidRDefault="00000000">
      <w:pPr>
        <w:spacing w:before="240" w:after="240"/>
      </w:pPr>
      <w:r>
        <w:t>Cas 3 - Respostes contínues positives i fronteres del marc</w:t>
      </w:r>
      <w:r>
        <w:br/>
        <w:t xml:space="preserve"> Respostes contínues positives -costos, durades- amb famílies Gamma i inversa gaussiana, </w:t>
      </w:r>
      <w:r>
        <w:lastRenderedPageBreak/>
        <w:t>i les fronteres del marc: el model de Cox com a tancament del fil de supervivència i una mirada a extensions més enllà del GLM.</w:t>
      </w:r>
    </w:p>
    <w:p w14:paraId="357E01EA" w14:textId="77777777" w:rsidR="00460383" w:rsidRDefault="00000000">
      <w:pPr>
        <w:spacing w:before="240" w:after="240"/>
        <w:rPr>
          <w:b/>
          <w:bCs/>
        </w:rPr>
      </w:pPr>
      <w:r>
        <w:rPr>
          <w:b/>
          <w:bCs/>
        </w:rPr>
        <w:t>English</w:t>
      </w:r>
    </w:p>
    <w:p w14:paraId="3E1C4A52" w14:textId="77777777" w:rsidR="00460383" w:rsidRDefault="00000000">
      <w:pPr>
        <w:spacing w:before="240" w:after="240"/>
      </w:pPr>
      <w:r>
        <w:t>Case 1 - Binary response: from the dichotomous datum to the GLM framework</w:t>
      </w:r>
      <w:r>
        <w:br/>
        <w:t xml:space="preserve"> Entry to the GLM framework from a binary (yes/no) response: it shows where the linear model fails, develops logistic regression in full -estimation, interpretation, inference, diagnostics and classification- and extends to categorical responses, opening the mixed-effects and survival threads.</w:t>
      </w:r>
    </w:p>
    <w:p w14:paraId="5E5BFD3C" w14:textId="77777777" w:rsidR="00460383" w:rsidRDefault="00000000">
      <w:pPr>
        <w:spacing w:before="240" w:after="240"/>
      </w:pPr>
      <w:r>
        <w:t>Case 2 - Count data: Poisson regression and beyond</w:t>
      </w:r>
      <w:r>
        <w:br/>
        <w:t xml:space="preserve"> Count and rate responses (Poisson family, log link): Poisson regression, offsets for rates, overdispersion (quasi-Poisson, negative binomial) and log-linear models, with the mixed-effects thread reactivated on counts.</w:t>
      </w:r>
    </w:p>
    <w:p w14:paraId="0A0ED1A6" w14:textId="77777777" w:rsidR="00460383" w:rsidRDefault="00000000">
      <w:pPr>
        <w:spacing w:before="240" w:after="240"/>
      </w:pPr>
      <w:r>
        <w:t>Case 3 - Positive continuous responses and the framework's frontiers</w:t>
      </w:r>
      <w:r>
        <w:br/>
        <w:t xml:space="preserve"> Positive continuous responses -costs, durations- with Gamma and inverse Gaussian families, and the framework's frontiers: the Cox model as the closing of the survival thread and a look at extensions beyond the GLM.</w:t>
      </w:r>
    </w:p>
    <w:p w14:paraId="758D8187" w14:textId="77777777" w:rsidR="00460383" w:rsidRDefault="00460383">
      <w:pPr>
        <w:pStyle w:val="Ttulo2"/>
      </w:pPr>
    </w:p>
    <w:p w14:paraId="50AF0909" w14:textId="77777777" w:rsidR="00460383" w:rsidRDefault="00DF095A">
      <w:pPr>
        <w:pStyle w:val="Ttulo2"/>
      </w:pPr>
      <w:r>
        <w:rPr>
          <w:noProof/>
        </w:rPr>
        <w:pict w14:anchorId="2BA12C95">
          <v:rect id="_x0000_i1033" alt="" style="width:425.2pt;height:.05pt;mso-width-percent:0;mso-height-percent:0;mso-width-percent:0;mso-height-percent:0" o:hralign="center" o:hrstd="t" o:hr="t" fillcolor="#a0a0a0" stroked="f"/>
        </w:pict>
      </w:r>
    </w:p>
    <w:p w14:paraId="65FA74CF" w14:textId="77777777" w:rsidR="00460383" w:rsidRDefault="00460383">
      <w:pPr>
        <w:pStyle w:val="Ttulo2"/>
      </w:pPr>
    </w:p>
    <w:p w14:paraId="54602188" w14:textId="77777777" w:rsidR="00460383" w:rsidRDefault="00000000">
      <w:pPr>
        <w:pStyle w:val="Ttulo2"/>
      </w:pPr>
      <w:r>
        <w:t>Caso 1 · «¿Ocurre el evento? ¿Y cuándo?» — Respuestas binarias y tiempo hasta el evento</w:t>
      </w:r>
    </w:p>
    <w:p w14:paraId="06F353AC" w14:textId="77777777" w:rsidR="00460383" w:rsidRDefault="00000000">
      <w:pPr>
        <w:spacing w:after="120" w:line="276" w:lineRule="auto"/>
      </w:pPr>
      <w:r>
        <w:rPr>
          <w:b/>
          <w:bCs/>
        </w:rPr>
        <w:t xml:space="preserve">Contenidos. </w:t>
      </w:r>
      <w:r>
        <w:t>De la insuficiencia de OLS en respuestas binarias al marco GLM completo (tres componentes, familia exponencial, enlace, IWLS, deviance, inferencia). Regresión logística: odds ratios y efectos marginales. Evaluación de clasificadores (ROC/AUC, calibración, Hosmer–Lemeshow, separación). Respuestas politómicas/ordinales (breve). Capa de mixtos: intercepto aleatorio (GLMM logístico). Apertura del hilo de censura: función de supervivencia, hazard y conjunto de riesgo; supervivencia en tiempo discreto con enlace complementary log-log sobre datos persona-periodo.</w:t>
      </w:r>
    </w:p>
    <w:p w14:paraId="3FDDAB3A" w14:textId="77777777" w:rsidR="00460383" w:rsidRDefault="00000000">
      <w:pPr>
        <w:spacing w:after="120" w:line="276" w:lineRule="auto"/>
      </w:pPr>
      <w:r>
        <w:rPr>
          <w:b/>
          <w:bCs/>
        </w:rPr>
        <w:t xml:space="preserve">Librerías de R. </w:t>
      </w:r>
      <w:r>
        <w:t>stats (glm), broom, marginaleffects, emmeans, ggeffects, car, pROC, performance, DHARMa, lme4, MASS/nnet/VGAM (politómicas), survival (Surv).</w:t>
      </w:r>
    </w:p>
    <w:p w14:paraId="35FE9D53" w14:textId="77777777" w:rsidR="00460383" w:rsidRDefault="00000000">
      <w:pPr>
        <w:spacing w:after="120" w:line="276" w:lineRule="auto"/>
      </w:pPr>
      <w:r>
        <w:rPr>
          <w:b/>
          <w:bCs/>
        </w:rPr>
        <w:t xml:space="preserve">Bibliografía. </w:t>
      </w:r>
      <w:r>
        <w:t>Dobson &amp; Barnett (caps. 1–5, 7 y cap. de supervivencia); Agresti (caps. 4–7); Nelder &amp; Wedderburn (1972); McCullagh &amp; Nelder (caps. 1–2); Faraway (caps. 2, 5–8); Hosmer, Lemeshow &amp; Sturdivant (caps. 1–5, 8); Fox (cap. 14); Bates et al. (2015); Aitkin &amp; Clayton (1980).</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0"/>
        <w:gridCol w:w="1680"/>
        <w:gridCol w:w="3263"/>
        <w:gridCol w:w="3263"/>
      </w:tblGrid>
      <w:tr w:rsidR="00460383" w14:paraId="0128756F" w14:textId="77777777">
        <w:trPr>
          <w:tblHeader/>
        </w:trPr>
        <w:tc>
          <w:tcPr>
            <w:tcW w:w="82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03E6370C" w14:textId="77777777" w:rsidR="00460383" w:rsidRDefault="00000000">
            <w:pPr>
              <w:spacing w:line="252" w:lineRule="auto"/>
            </w:pPr>
            <w:r>
              <w:rPr>
                <w:b/>
                <w:bCs/>
                <w:color w:val="FFFFFF"/>
              </w:rPr>
              <w:t>Sem.</w:t>
            </w:r>
          </w:p>
        </w:tc>
        <w:tc>
          <w:tcPr>
            <w:tcW w:w="168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31DA7C2F" w14:textId="77777777" w:rsidR="00460383" w:rsidRDefault="00000000">
            <w:pPr>
              <w:spacing w:line="252" w:lineRule="auto"/>
            </w:pPr>
            <w:r>
              <w:rPr>
                <w:b/>
                <w:bCs/>
                <w:color w:val="FFFFFF"/>
              </w:rPr>
              <w:t>Fase</w:t>
            </w:r>
          </w:p>
        </w:tc>
        <w:tc>
          <w:tcPr>
            <w:tcW w:w="3263"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25DAF317" w14:textId="77777777" w:rsidR="00460383" w:rsidRDefault="00000000">
            <w:pPr>
              <w:spacing w:line="252" w:lineRule="auto"/>
            </w:pPr>
            <w:r>
              <w:rPr>
                <w:b/>
                <w:bCs/>
                <w:color w:val="FFFFFF"/>
              </w:rPr>
              <w:t>Teoría (2 h)</w:t>
            </w:r>
          </w:p>
        </w:tc>
        <w:tc>
          <w:tcPr>
            <w:tcW w:w="3263"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5BAC6EEE" w14:textId="77777777" w:rsidR="00460383" w:rsidRDefault="00000000">
            <w:pPr>
              <w:spacing w:line="252" w:lineRule="auto"/>
            </w:pPr>
            <w:r>
              <w:rPr>
                <w:b/>
                <w:bCs/>
                <w:color w:val="FFFFFF"/>
              </w:rPr>
              <w:t>Laboratorio (2 h)</w:t>
            </w:r>
          </w:p>
        </w:tc>
      </w:tr>
      <w:tr w:rsidR="00460383" w14:paraId="143EAB87"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82DD60E" w14:textId="77777777" w:rsidR="00460383" w:rsidRDefault="00000000">
            <w:pPr>
              <w:spacing w:line="252" w:lineRule="auto"/>
            </w:pPr>
            <w:r>
              <w:t>1</w:t>
            </w:r>
          </w:p>
        </w:tc>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1798970" w14:textId="77777777" w:rsidR="00460383" w:rsidRDefault="00000000">
            <w:pPr>
              <w:spacing w:line="252" w:lineRule="auto"/>
            </w:pPr>
            <w:r>
              <w:t>Fundamentación</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E9A756E" w14:textId="77777777" w:rsidR="00460383" w:rsidRDefault="00000000">
            <w:pPr>
              <w:spacing w:line="252" w:lineRule="auto"/>
            </w:pPr>
            <w:r>
              <w:t>OLS falla en binaria; tres componentes del GLM; tipología de respuestas.</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697AFC3" w14:textId="77777777" w:rsidR="00460383" w:rsidRDefault="00000000">
            <w:pPr>
              <w:spacing w:line="252" w:lineRule="auto"/>
            </w:pPr>
            <w:r>
              <w:t>Refresco R/tidyverse; primer glm(binomial); broom.</w:t>
            </w:r>
          </w:p>
        </w:tc>
      </w:tr>
      <w:tr w:rsidR="00460383" w14:paraId="767381CA" w14:textId="77777777">
        <w:tc>
          <w:tcPr>
            <w:tcW w:w="82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43470BCC" w14:textId="77777777" w:rsidR="00460383" w:rsidRDefault="00000000">
            <w:pPr>
              <w:spacing w:line="252" w:lineRule="auto"/>
            </w:pPr>
            <w:r>
              <w:t>2</w:t>
            </w:r>
          </w:p>
        </w:tc>
        <w:tc>
          <w:tcPr>
            <w:tcW w:w="168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179C5BF7" w14:textId="77777777" w:rsidR="00460383" w:rsidRDefault="00000000">
            <w:pPr>
              <w:spacing w:line="252" w:lineRule="auto"/>
            </w:pPr>
            <w:r>
              <w:t>Fundamentación</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6480D7D0" w14:textId="77777777" w:rsidR="00460383" w:rsidRDefault="00000000">
            <w:pPr>
              <w:spacing w:line="252" w:lineRule="auto"/>
            </w:pPr>
            <w:r>
              <w:t>Familia exponencial y enlace; MV e IWLS; deviance.</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3DE43289" w14:textId="77777777" w:rsidR="00460383" w:rsidRDefault="00000000">
            <w:pPr>
              <w:spacing w:line="252" w:lineRule="auto"/>
            </w:pPr>
            <w:r>
              <w:t>family(); enlaces logit/probit; lectura de summary; IWLS “a mano”.</w:t>
            </w:r>
          </w:p>
        </w:tc>
      </w:tr>
      <w:tr w:rsidR="00460383" w14:paraId="57E097A0"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8472249" w14:textId="77777777" w:rsidR="00460383" w:rsidRDefault="00000000">
            <w:pPr>
              <w:spacing w:line="252" w:lineRule="auto"/>
            </w:pPr>
            <w:r>
              <w:lastRenderedPageBreak/>
              <w:t>3</w:t>
            </w:r>
          </w:p>
        </w:tc>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BFB26C1" w14:textId="77777777" w:rsidR="00460383" w:rsidRDefault="00000000">
            <w:pPr>
              <w:spacing w:line="252" w:lineRule="auto"/>
            </w:pPr>
            <w:r>
              <w:t>Fundamentación</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D0AAAF5" w14:textId="77777777" w:rsidR="00460383" w:rsidRDefault="00000000">
            <w:pPr>
              <w:spacing w:line="252" w:lineRule="auto"/>
            </w:pPr>
            <w:r>
              <w:t>Inferencia (Wald, LRT, AIC/BIC); logística e interpretación; consolidación teórica.</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D4D41C3" w14:textId="77777777" w:rsidR="00460383" w:rsidRDefault="00000000">
            <w:pPr>
              <w:spacing w:line="252" w:lineRule="auto"/>
            </w:pPr>
            <w:r>
              <w:t>marginaleffects, emmeans, ggeffects.</w:t>
            </w:r>
          </w:p>
        </w:tc>
      </w:tr>
      <w:tr w:rsidR="00460383" w14:paraId="076C7C20" w14:textId="77777777">
        <w:tc>
          <w:tcPr>
            <w:tcW w:w="82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5E25C165" w14:textId="77777777" w:rsidR="00460383" w:rsidRDefault="00000000">
            <w:pPr>
              <w:spacing w:line="252" w:lineRule="auto"/>
            </w:pPr>
            <w:r>
              <w:t>4</w:t>
            </w:r>
          </w:p>
        </w:tc>
        <w:tc>
          <w:tcPr>
            <w:tcW w:w="168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69792B96" w14:textId="77777777" w:rsidR="00460383" w:rsidRDefault="00000000">
            <w:pPr>
              <w:spacing w:line="252" w:lineRule="auto"/>
            </w:pPr>
            <w:r>
              <w:t>Fundam. + extensiones</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688A08E9" w14:textId="77777777" w:rsidR="00460383" w:rsidRDefault="00000000">
            <w:pPr>
              <w:spacing w:line="252" w:lineRule="auto"/>
            </w:pPr>
            <w:r>
              <w:t>Evaluación de clasificadores; intercepto aleatorio; censura + supervivencia en tiempo discreto (cloglog).</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1284B04F" w14:textId="77777777" w:rsidR="00460383" w:rsidRDefault="00000000">
            <w:pPr>
              <w:spacing w:line="252" w:lineRule="auto"/>
            </w:pPr>
            <w:r>
              <w:t>pROC, performance, DHARMa; glmer; persona-periodo + glm(cloglog).</w:t>
            </w:r>
          </w:p>
        </w:tc>
      </w:tr>
      <w:tr w:rsidR="00460383" w14:paraId="3880A7F9"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7E29EA8" w14:textId="77777777" w:rsidR="00460383" w:rsidRDefault="00000000">
            <w:pPr>
              <w:spacing w:line="252" w:lineRule="auto"/>
            </w:pPr>
            <w:r>
              <w:t>5</w:t>
            </w:r>
          </w:p>
        </w:tc>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BED745C" w14:textId="77777777" w:rsidR="00460383" w:rsidRDefault="00000000">
            <w:pPr>
              <w:spacing w:line="252" w:lineRule="auto"/>
            </w:pPr>
            <w:r>
              <w:t>Estudio de caso</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F95EBC0" w14:textId="77777777" w:rsidR="00460383" w:rsidRDefault="00000000">
            <w:pPr>
              <w:spacing w:line="252" w:lineRule="auto"/>
            </w:pPr>
            <w:r>
              <w:t>—</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582082F" w14:textId="77777777" w:rsidR="00460383" w:rsidRDefault="00000000">
            <w:pPr>
              <w:spacing w:line="252" w:lineRule="auto"/>
            </w:pPr>
            <w:r>
              <w:t>Trabajo acompañado del caso (binario / tiempo-a-evento discreto); exposiciones y Q&amp;A.</w:t>
            </w:r>
          </w:p>
        </w:tc>
      </w:tr>
    </w:tbl>
    <w:p w14:paraId="3AB8DE70" w14:textId="77777777" w:rsidR="00460383" w:rsidRDefault="00000000">
      <w:pPr>
        <w:pStyle w:val="Ttulo2"/>
      </w:pPr>
      <w:r>
        <w:t>Caso 2 · «¿Cuántas veces y a qué ritmo?» — Conteos, tasas e intensidad del riesgo</w:t>
      </w:r>
    </w:p>
    <w:p w14:paraId="613A4680" w14:textId="77777777" w:rsidR="00460383" w:rsidRDefault="00000000">
      <w:pPr>
        <w:spacing w:after="120" w:line="276" w:lineRule="auto"/>
      </w:pPr>
      <w:r>
        <w:rPr>
          <w:b/>
          <w:bCs/>
        </w:rPr>
        <w:t xml:space="preserve">Contenidos. </w:t>
      </w:r>
      <w:sdt>
        <w:sdtPr>
          <w:tag w:val="goog_rdk_0"/>
          <w:id w:val="1893146713"/>
        </w:sdtPr>
        <w:sdtContent>
          <w:r>
            <w:rPr>
              <w:rFonts w:ascii="Arial Unicode MS" w:eastAsia="Arial Unicode MS" w:hAnsi="Arial Unicode MS" w:cs="Arial Unicode MS"/>
            </w:rPr>
            <w:t>Regresión de Poisson; tasas, offset e interpretación (IRR); modelos log-lineales. Sobredispersión: quasi-Poisson y binomial negativa. Exceso de ceros (hurdle, zero-inflated). Capa de mixtos: GLMM de Poisson. Supervivencia: modelo de riesgos a trozos como regresión de Poisson con offset(log tiempo-persona), y nexo con los modelos de fragilidad (frailty ≡ GLMM de Poisson).</w:t>
          </w:r>
        </w:sdtContent>
      </w:sdt>
    </w:p>
    <w:p w14:paraId="13AF9836" w14:textId="77777777" w:rsidR="00460383" w:rsidRDefault="00000000">
      <w:pPr>
        <w:spacing w:after="120" w:line="276" w:lineRule="auto"/>
      </w:pPr>
      <w:r>
        <w:rPr>
          <w:b/>
          <w:bCs/>
        </w:rPr>
        <w:t xml:space="preserve">Librerías de R. </w:t>
      </w:r>
      <w:r>
        <w:t>stats (glm), MASS (glm.nb), pscl, glmmTMB, lme4, DHARMa, performance, marginaleffects, survival.</w:t>
      </w:r>
    </w:p>
    <w:p w14:paraId="526EFED2" w14:textId="77777777" w:rsidR="00460383" w:rsidRDefault="00000000">
      <w:pPr>
        <w:spacing w:after="120" w:line="276" w:lineRule="auto"/>
      </w:pPr>
      <w:r>
        <w:rPr>
          <w:b/>
          <w:bCs/>
        </w:rPr>
        <w:t xml:space="preserve">Bibliografía. </w:t>
      </w:r>
      <w:r>
        <w:t>Hilbe (caps. 1–8, 11–12); Dobson &amp; Barnett (cap. 9 y cap. de supervivencia); Agresti (cap. 7); Faraway (cap. 5); McCullagh &amp; Nelder (cap. 6); Aitkin &amp; Clayton (1980).</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0"/>
        <w:gridCol w:w="1680"/>
        <w:gridCol w:w="3263"/>
        <w:gridCol w:w="3263"/>
      </w:tblGrid>
      <w:tr w:rsidR="00460383" w14:paraId="47F28C8E" w14:textId="77777777">
        <w:trPr>
          <w:tblHeader/>
        </w:trPr>
        <w:tc>
          <w:tcPr>
            <w:tcW w:w="82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0732A8C4" w14:textId="77777777" w:rsidR="00460383" w:rsidRDefault="00000000">
            <w:pPr>
              <w:spacing w:line="252" w:lineRule="auto"/>
            </w:pPr>
            <w:r>
              <w:rPr>
                <w:b/>
                <w:bCs/>
                <w:color w:val="FFFFFF"/>
              </w:rPr>
              <w:t>Sem.</w:t>
            </w:r>
          </w:p>
        </w:tc>
        <w:tc>
          <w:tcPr>
            <w:tcW w:w="168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3D811EF3" w14:textId="77777777" w:rsidR="00460383" w:rsidRDefault="00000000">
            <w:pPr>
              <w:spacing w:line="252" w:lineRule="auto"/>
            </w:pPr>
            <w:r>
              <w:rPr>
                <w:b/>
                <w:bCs/>
                <w:color w:val="FFFFFF"/>
              </w:rPr>
              <w:t>Fase</w:t>
            </w:r>
          </w:p>
        </w:tc>
        <w:tc>
          <w:tcPr>
            <w:tcW w:w="3263"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1D8D2F83" w14:textId="77777777" w:rsidR="00460383" w:rsidRDefault="00000000">
            <w:pPr>
              <w:spacing w:line="252" w:lineRule="auto"/>
            </w:pPr>
            <w:r>
              <w:rPr>
                <w:b/>
                <w:bCs/>
                <w:color w:val="FFFFFF"/>
              </w:rPr>
              <w:t>Teoría (2 h)</w:t>
            </w:r>
          </w:p>
        </w:tc>
        <w:tc>
          <w:tcPr>
            <w:tcW w:w="3263"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4C648942" w14:textId="77777777" w:rsidR="00460383" w:rsidRDefault="00000000">
            <w:pPr>
              <w:spacing w:line="252" w:lineRule="auto"/>
            </w:pPr>
            <w:r>
              <w:rPr>
                <w:b/>
                <w:bCs/>
                <w:color w:val="FFFFFF"/>
              </w:rPr>
              <w:t>Laboratorio (2 h)</w:t>
            </w:r>
          </w:p>
        </w:tc>
      </w:tr>
      <w:tr w:rsidR="00460383" w14:paraId="4FEC8668"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F070CC9" w14:textId="77777777" w:rsidR="00460383" w:rsidRDefault="00000000">
            <w:pPr>
              <w:spacing w:line="252" w:lineRule="auto"/>
            </w:pPr>
            <w:r>
              <w:t>6</w:t>
            </w:r>
          </w:p>
        </w:tc>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C8255C3" w14:textId="77777777" w:rsidR="00460383" w:rsidRDefault="00000000">
            <w:pPr>
              <w:spacing w:line="252" w:lineRule="auto"/>
            </w:pPr>
            <w:r>
              <w:t>Fundamentación</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20CC0A" w14:textId="77777777" w:rsidR="00460383" w:rsidRDefault="00000000">
            <w:pPr>
              <w:spacing w:line="252" w:lineRule="auto"/>
            </w:pPr>
            <w:r>
              <w:t>Poisson; tasas, offset, IRR; modelos log-lineales.</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840904C" w14:textId="77777777" w:rsidR="00460383" w:rsidRDefault="00000000">
            <w:pPr>
              <w:spacing w:line="252" w:lineRule="auto"/>
            </w:pPr>
            <w:r>
              <w:t>glm(poisson) + offset; marginaleffects.</w:t>
            </w:r>
          </w:p>
        </w:tc>
      </w:tr>
      <w:tr w:rsidR="00460383" w14:paraId="54D8CB57" w14:textId="77777777">
        <w:tc>
          <w:tcPr>
            <w:tcW w:w="82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3FED129B" w14:textId="77777777" w:rsidR="00460383" w:rsidRDefault="00000000">
            <w:pPr>
              <w:spacing w:line="252" w:lineRule="auto"/>
            </w:pPr>
            <w:r>
              <w:t>7</w:t>
            </w:r>
          </w:p>
        </w:tc>
        <w:tc>
          <w:tcPr>
            <w:tcW w:w="168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04EFA173" w14:textId="77777777" w:rsidR="00460383" w:rsidRDefault="00000000">
            <w:pPr>
              <w:spacing w:line="252" w:lineRule="auto"/>
            </w:pPr>
            <w:r>
              <w:t>Fundamentación</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781163C8" w14:textId="77777777" w:rsidR="00460383" w:rsidRDefault="00000000">
            <w:pPr>
              <w:spacing w:line="252" w:lineRule="auto"/>
            </w:pPr>
            <w:r>
              <w:t>Sobredispersión: diagnóstico, quasi-Poisson, binomial negativa.</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4E2DF9E6" w14:textId="77777777" w:rsidR="00460383" w:rsidRDefault="00000000">
            <w:pPr>
              <w:spacing w:line="252" w:lineRule="auto"/>
            </w:pPr>
            <w:r>
              <w:t>check_overdispersion, DHARMa; glm.nb; quasipoisson.</w:t>
            </w:r>
          </w:p>
        </w:tc>
      </w:tr>
      <w:tr w:rsidR="00460383" w14:paraId="43C6CC26"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BFD99D5" w14:textId="77777777" w:rsidR="00460383" w:rsidRDefault="00000000">
            <w:pPr>
              <w:spacing w:line="252" w:lineRule="auto"/>
            </w:pPr>
            <w:r>
              <w:t>8</w:t>
            </w:r>
          </w:p>
        </w:tc>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B032FF5" w14:textId="77777777" w:rsidR="00460383" w:rsidRDefault="00000000">
            <w:pPr>
              <w:spacing w:line="252" w:lineRule="auto"/>
            </w:pPr>
            <w:r>
              <w:t>Fundam. + extensiones</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453B0F4" w14:textId="77777777" w:rsidR="00460383" w:rsidRDefault="00000000">
            <w:pPr>
              <w:spacing w:line="252" w:lineRule="auto"/>
            </w:pPr>
            <w:sdt>
              <w:sdtPr>
                <w:tag w:val="goog_rdk_1"/>
                <w:id w:val="-1314872703"/>
              </w:sdtPr>
              <w:sdtContent>
                <w:r>
                  <w:rPr>
                    <w:rFonts w:ascii="Arial Unicode MS" w:eastAsia="Arial Unicode MS" w:hAnsi="Arial Unicode MS" w:cs="Arial Unicode MS"/>
                  </w:rPr>
                  <w:t>Exceso de ceros; riesgos a trozos ≡ Poisson con offset; GLMM de Poisson y fragilidad.</w:t>
                </w:r>
              </w:sdtContent>
            </w:sdt>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9B870A8" w14:textId="77777777" w:rsidR="00460383" w:rsidRDefault="00000000">
            <w:pPr>
              <w:spacing w:line="252" w:lineRule="auto"/>
            </w:pPr>
            <w:r>
              <w:t>pscl/glmmTMB; piecewise-exp vía glm Poisson; glmer.</w:t>
            </w:r>
          </w:p>
        </w:tc>
      </w:tr>
      <w:tr w:rsidR="00460383" w14:paraId="46A33EE2" w14:textId="77777777">
        <w:tc>
          <w:tcPr>
            <w:tcW w:w="82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3C92B5F5" w14:textId="77777777" w:rsidR="00460383" w:rsidRDefault="00000000">
            <w:pPr>
              <w:spacing w:line="252" w:lineRule="auto"/>
            </w:pPr>
            <w:r>
              <w:t>9</w:t>
            </w:r>
          </w:p>
        </w:tc>
        <w:tc>
          <w:tcPr>
            <w:tcW w:w="168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635B3DE9" w14:textId="77777777" w:rsidR="00460383" w:rsidRDefault="00000000">
            <w:pPr>
              <w:spacing w:line="252" w:lineRule="auto"/>
            </w:pPr>
            <w:r>
              <w:t>Estudio de caso</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3E62FF8B" w14:textId="77777777" w:rsidR="00460383" w:rsidRDefault="00000000">
            <w:pPr>
              <w:spacing w:line="252" w:lineRule="auto"/>
            </w:pPr>
            <w:r>
              <w:t>—</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76F2408C" w14:textId="77777777" w:rsidR="00460383" w:rsidRDefault="00000000">
            <w:pPr>
              <w:spacing w:line="252" w:lineRule="auto"/>
            </w:pPr>
            <w:r>
              <w:t>Trabajo acompañado (conteo/tasas/tiempo-a-evento); exposiciones y Q&amp;A.</w:t>
            </w:r>
          </w:p>
        </w:tc>
      </w:tr>
    </w:tbl>
    <w:p w14:paraId="7FB04009" w14:textId="77777777" w:rsidR="00460383" w:rsidRDefault="00000000">
      <w:pPr>
        <w:pStyle w:val="Ttulo2"/>
      </w:pPr>
      <w:r>
        <w:t>Caso 3 · «¿Cuánto y hasta cuándo?» — Magnitudes positivas y vida útil hasta el fallo</w:t>
      </w:r>
    </w:p>
    <w:p w14:paraId="2795949A" w14:textId="77777777" w:rsidR="00460383" w:rsidRDefault="00000000">
      <w:pPr>
        <w:spacing w:after="120" w:line="276" w:lineRule="auto"/>
      </w:pPr>
      <w:r>
        <w:rPr>
          <w:b/>
          <w:bCs/>
        </w:rPr>
        <w:lastRenderedPageBreak/>
        <w:t xml:space="preserve">Contenidos. </w:t>
      </w:r>
      <w:r>
        <w:t>GLM para continuas positivas (Gamma, inverse Gaussian); elección de enlace; comparación con log-OLS. Selección de variables y regularización (lasso, ridge, elastic-net; validación cruzada). Supervivencia: modelos paramétricos AFT (exponencial, Weibull, log-normal) para tiempo hasta fallo, con censura en la verosimilitud; Kaplan–Meier descriptivo; Cox de riesgos proporcionales como frontera (semiparamétrico, no GLM) y diagnóstico. Síntesis: las tres lentes de supervivencia sobre un mismo problema.</w:t>
      </w:r>
    </w:p>
    <w:p w14:paraId="3072B130" w14:textId="77777777" w:rsidR="00460383" w:rsidRDefault="00000000">
      <w:pPr>
        <w:spacing w:after="120" w:line="276" w:lineRule="auto"/>
      </w:pPr>
      <w:r>
        <w:rPr>
          <w:b/>
          <w:bCs/>
        </w:rPr>
        <w:t xml:space="preserve">Librerías de R. </w:t>
      </w:r>
      <w:r>
        <w:t>stats (glm Gamma), glmnet, tidymodels, survival (Surv, survreg, coxph), survminer, flexsurv (opcional), DHARMa.</w:t>
      </w:r>
    </w:p>
    <w:p w14:paraId="3B043EBA" w14:textId="77777777" w:rsidR="00460383" w:rsidRDefault="00000000">
      <w:pPr>
        <w:spacing w:after="120" w:line="276" w:lineRule="auto"/>
      </w:pPr>
      <w:r>
        <w:rPr>
          <w:b/>
          <w:bCs/>
        </w:rPr>
        <w:t xml:space="preserve">Bibliografía. </w:t>
      </w:r>
      <w:r>
        <w:t>Dobson &amp; Barnett (cap. 8 y cap. de supervivencia); McCullagh &amp; Nelder (cap. 8); Faraway (cap. 9); Fox (cap. 15); Friedman, Hastie &amp; Tibshirani (2010); Therneau &amp; Grambsch (2000); Aitkin &amp; Clayton (1980).</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0"/>
        <w:gridCol w:w="1680"/>
        <w:gridCol w:w="3263"/>
        <w:gridCol w:w="3263"/>
      </w:tblGrid>
      <w:tr w:rsidR="00460383" w14:paraId="4840B3A3" w14:textId="77777777">
        <w:trPr>
          <w:tblHeader/>
        </w:trPr>
        <w:tc>
          <w:tcPr>
            <w:tcW w:w="82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2CE73991" w14:textId="77777777" w:rsidR="00460383" w:rsidRDefault="00000000">
            <w:pPr>
              <w:spacing w:line="252" w:lineRule="auto"/>
            </w:pPr>
            <w:r>
              <w:rPr>
                <w:b/>
                <w:bCs/>
                <w:color w:val="FFFFFF"/>
              </w:rPr>
              <w:t>Sem.</w:t>
            </w:r>
          </w:p>
        </w:tc>
        <w:tc>
          <w:tcPr>
            <w:tcW w:w="168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3D983AE7" w14:textId="77777777" w:rsidR="00460383" w:rsidRDefault="00000000">
            <w:pPr>
              <w:spacing w:line="252" w:lineRule="auto"/>
            </w:pPr>
            <w:r>
              <w:rPr>
                <w:b/>
                <w:bCs/>
                <w:color w:val="FFFFFF"/>
              </w:rPr>
              <w:t>Fase</w:t>
            </w:r>
          </w:p>
        </w:tc>
        <w:tc>
          <w:tcPr>
            <w:tcW w:w="3263"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141897D9" w14:textId="77777777" w:rsidR="00460383" w:rsidRDefault="00000000">
            <w:pPr>
              <w:spacing w:line="252" w:lineRule="auto"/>
            </w:pPr>
            <w:r>
              <w:rPr>
                <w:b/>
                <w:bCs/>
                <w:color w:val="FFFFFF"/>
              </w:rPr>
              <w:t>Teoría (2 h)</w:t>
            </w:r>
          </w:p>
        </w:tc>
        <w:tc>
          <w:tcPr>
            <w:tcW w:w="3263"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0E8610D7" w14:textId="77777777" w:rsidR="00460383" w:rsidRDefault="00000000">
            <w:pPr>
              <w:spacing w:line="252" w:lineRule="auto"/>
            </w:pPr>
            <w:r>
              <w:rPr>
                <w:b/>
                <w:bCs/>
                <w:color w:val="FFFFFF"/>
              </w:rPr>
              <w:t>Laboratorio (2 h)</w:t>
            </w:r>
          </w:p>
        </w:tc>
      </w:tr>
      <w:tr w:rsidR="00460383" w14:paraId="133FBFC2"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5386282" w14:textId="77777777" w:rsidR="00460383" w:rsidRDefault="00000000">
            <w:pPr>
              <w:spacing w:line="252" w:lineRule="auto"/>
            </w:pPr>
            <w:r>
              <w:t>10</w:t>
            </w:r>
          </w:p>
        </w:tc>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F27FD75" w14:textId="77777777" w:rsidR="00460383" w:rsidRDefault="00000000">
            <w:pPr>
              <w:spacing w:line="252" w:lineRule="auto"/>
            </w:pPr>
            <w:r>
              <w:t>Fundamentación</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C331818" w14:textId="77777777" w:rsidR="00460383" w:rsidRDefault="00000000">
            <w:pPr>
              <w:spacing w:line="252" w:lineRule="auto"/>
            </w:pPr>
            <w:r>
              <w:t>Gamma e inverse Gaussian; elección de enlace; sesgo de retransformación.</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F30191A" w14:textId="77777777" w:rsidR="00460383" w:rsidRDefault="00000000">
            <w:pPr>
              <w:spacing w:line="252" w:lineRule="auto"/>
            </w:pPr>
            <w:r>
              <w:t>glm(Gamma(link=“log”)); interpretación.</w:t>
            </w:r>
          </w:p>
        </w:tc>
      </w:tr>
      <w:tr w:rsidR="00460383" w14:paraId="64837C4C" w14:textId="77777777">
        <w:tc>
          <w:tcPr>
            <w:tcW w:w="82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0FAC29A1" w14:textId="77777777" w:rsidR="00460383" w:rsidRDefault="00000000">
            <w:pPr>
              <w:spacing w:line="252" w:lineRule="auto"/>
            </w:pPr>
            <w:r>
              <w:t>11</w:t>
            </w:r>
          </w:p>
        </w:tc>
        <w:tc>
          <w:tcPr>
            <w:tcW w:w="168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5AC5C926" w14:textId="77777777" w:rsidR="00460383" w:rsidRDefault="00000000">
            <w:pPr>
              <w:spacing w:line="252" w:lineRule="auto"/>
            </w:pPr>
            <w:r>
              <w:t>Fundamentación</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70C29177" w14:textId="77777777" w:rsidR="00460383" w:rsidRDefault="00000000">
            <w:pPr>
              <w:spacing w:line="252" w:lineRule="auto"/>
            </w:pPr>
            <w:r>
              <w:t>Selección y regularización (lasso/ridge/elastic-net); CV; sesgo–varianza.</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73537A30" w14:textId="77777777" w:rsidR="00460383" w:rsidRDefault="00000000">
            <w:pPr>
              <w:spacing w:line="252" w:lineRule="auto"/>
            </w:pPr>
            <w:r>
              <w:t>glmnet, cv.glmnet; tidymodels.</w:t>
            </w:r>
          </w:p>
        </w:tc>
      </w:tr>
      <w:tr w:rsidR="00460383" w14:paraId="6CBC7E5E"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444900" w14:textId="77777777" w:rsidR="00460383" w:rsidRDefault="00000000">
            <w:pPr>
              <w:spacing w:line="252" w:lineRule="auto"/>
            </w:pPr>
            <w:r>
              <w:t>12</w:t>
            </w:r>
          </w:p>
        </w:tc>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DB1533B" w14:textId="77777777" w:rsidR="00460383" w:rsidRDefault="00000000">
            <w:pPr>
              <w:spacing w:line="252" w:lineRule="auto"/>
            </w:pPr>
            <w:r>
              <w:t>Fundamentación</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6D2A3D2" w14:textId="77777777" w:rsidR="00460383" w:rsidRDefault="00000000">
            <w:pPr>
              <w:spacing w:line="252" w:lineRule="auto"/>
            </w:pPr>
            <w:r>
              <w:t>Tiempo hasta fallo: AFT (exponencial, Weibull, log-normal); censura; Kaplan–Meier.</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9E3A1A1" w14:textId="77777777" w:rsidR="00460383" w:rsidRDefault="00000000">
            <w:pPr>
              <w:spacing w:line="252" w:lineRule="auto"/>
            </w:pPr>
            <w:r>
              <w:t>survival::Surv, survreg; survminer.</w:t>
            </w:r>
          </w:p>
        </w:tc>
      </w:tr>
      <w:tr w:rsidR="00460383" w14:paraId="741CAEF9" w14:textId="77777777">
        <w:tc>
          <w:tcPr>
            <w:tcW w:w="82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1648D709" w14:textId="77777777" w:rsidR="00460383" w:rsidRDefault="00000000">
            <w:pPr>
              <w:spacing w:line="252" w:lineRule="auto"/>
            </w:pPr>
            <w:r>
              <w:t>13</w:t>
            </w:r>
          </w:p>
        </w:tc>
        <w:tc>
          <w:tcPr>
            <w:tcW w:w="168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036E238E" w14:textId="77777777" w:rsidR="00460383" w:rsidRDefault="00000000">
            <w:pPr>
              <w:spacing w:line="252" w:lineRule="auto"/>
            </w:pPr>
            <w:r>
              <w:t>Fundam. + síntesis</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3356A34D" w14:textId="77777777" w:rsidR="00460383" w:rsidRDefault="00000000">
            <w:pPr>
              <w:spacing w:line="252" w:lineRule="auto"/>
            </w:pPr>
            <w:r>
              <w:t>Cox como frontera (no GLM); diagnóstico (Schoenfeld); síntesis de los tres puentes.</w:t>
            </w:r>
          </w:p>
        </w:tc>
        <w:tc>
          <w:tcPr>
            <w:tcW w:w="3263"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1DC39AF7" w14:textId="77777777" w:rsidR="00460383" w:rsidRDefault="00000000">
            <w:pPr>
              <w:spacing w:line="252" w:lineRule="auto"/>
            </w:pPr>
            <w:r>
              <w:t>coxph, cox.zph; comparación de las tres lentes sobre un dataset común.</w:t>
            </w:r>
          </w:p>
        </w:tc>
      </w:tr>
      <w:tr w:rsidR="00460383" w14:paraId="293BF725" w14:textId="77777777">
        <w:tc>
          <w:tcPr>
            <w:tcW w:w="82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B717DF9" w14:textId="77777777" w:rsidR="00460383" w:rsidRDefault="00000000">
            <w:pPr>
              <w:spacing w:line="252" w:lineRule="auto"/>
            </w:pPr>
            <w:r>
              <w:t>14</w:t>
            </w:r>
          </w:p>
        </w:tc>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BFA6225" w14:textId="77777777" w:rsidR="00460383" w:rsidRDefault="00000000">
            <w:pPr>
              <w:spacing w:line="252" w:lineRule="auto"/>
            </w:pPr>
            <w:r>
              <w:t>Estudio de caso</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F93F11E" w14:textId="77777777" w:rsidR="00460383" w:rsidRDefault="00000000">
            <w:pPr>
              <w:spacing w:line="252" w:lineRule="auto"/>
            </w:pPr>
            <w:r>
              <w:t>—</w:t>
            </w:r>
          </w:p>
        </w:tc>
        <w:tc>
          <w:tcPr>
            <w:tcW w:w="326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995F746" w14:textId="77777777" w:rsidR="00460383" w:rsidRDefault="00000000">
            <w:pPr>
              <w:spacing w:line="252" w:lineRule="auto"/>
            </w:pPr>
            <w:r>
              <w:t>Trabajo acompañado (continuas positivas / tiempo hasta fallo con censura); exposiciones, Q&amp;A y cierre.</w:t>
            </w:r>
          </w:p>
        </w:tc>
      </w:tr>
    </w:tbl>
    <w:p w14:paraId="7C85218D" w14:textId="77777777" w:rsidR="00460383" w:rsidRDefault="00000000">
      <w:pPr>
        <w:pStyle w:val="Ttulo1"/>
      </w:pPr>
      <w:r>
        <w:t>6. Cronograma global</w:t>
      </w:r>
    </w:p>
    <w:p w14:paraId="1A6519A2" w14:textId="77777777" w:rsidR="00460383" w:rsidRDefault="00000000">
      <w:pPr>
        <w:spacing w:after="120" w:line="276" w:lineRule="auto"/>
      </w:pPr>
      <w:r>
        <w:t>Las defensas (exposición y Q&amp;A individual) se realizan tras cada estudio de caso —tres tomas distribuidas a lo largo del curso— en la última semana de cada bloque, lo que reparte la evaluación individual y evita el cuello de botella del periodo de examen.</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5426"/>
      </w:tblGrid>
      <w:tr w:rsidR="00460383" w14:paraId="73567958" w14:textId="77777777">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3395159F" w14:textId="77777777" w:rsidR="00460383" w:rsidRDefault="00000000">
            <w:pPr>
              <w:spacing w:line="252" w:lineRule="auto"/>
            </w:pPr>
            <w:r>
              <w:rPr>
                <w:b/>
                <w:bCs/>
                <w:color w:val="FFFFFF"/>
              </w:rPr>
              <w:t>Semanas</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796B5052" w14:textId="77777777" w:rsidR="00460383" w:rsidRDefault="00000000">
            <w:pPr>
              <w:spacing w:line="252" w:lineRule="auto"/>
            </w:pPr>
            <w:r>
              <w:rPr>
                <w:b/>
                <w:bCs/>
                <w:color w:val="FFFFFF"/>
              </w:rPr>
              <w:t>Caso</w:t>
            </w:r>
          </w:p>
        </w:tc>
        <w:tc>
          <w:tcPr>
            <w:tcW w:w="5426"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tcPr>
          <w:p w14:paraId="24F558A5" w14:textId="77777777" w:rsidR="00460383" w:rsidRDefault="00000000">
            <w:pPr>
              <w:spacing w:line="252" w:lineRule="auto"/>
            </w:pPr>
            <w:r>
              <w:rPr>
                <w:b/>
                <w:bCs/>
                <w:color w:val="FFFFFF"/>
              </w:rPr>
              <w:t>Foco</w:t>
            </w:r>
          </w:p>
        </w:tc>
      </w:tr>
      <w:tr w:rsidR="00460383" w14:paraId="5AAAF034"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77A2924" w14:textId="77777777" w:rsidR="00460383" w:rsidRDefault="00000000">
            <w:pPr>
              <w:spacing w:line="252" w:lineRule="auto"/>
            </w:pPr>
            <w:r>
              <w:t>1–4</w:t>
            </w:r>
          </w:p>
        </w:tc>
        <w:tc>
          <w:tcPr>
            <w:tcW w:w="20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48933CE" w14:textId="77777777" w:rsidR="00460383" w:rsidRDefault="00000000">
            <w:pPr>
              <w:spacing w:line="252" w:lineRule="auto"/>
            </w:pPr>
            <w:r>
              <w:t>Caso 1</w:t>
            </w:r>
          </w:p>
        </w:tc>
        <w:tc>
          <w:tcPr>
            <w:tcW w:w="5426"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E9524A1" w14:textId="77777777" w:rsidR="00460383" w:rsidRDefault="00000000">
            <w:pPr>
              <w:spacing w:line="252" w:lineRule="auto"/>
            </w:pPr>
            <w:r>
              <w:t>Fundamentos del GLM, logística, evaluación, mixtos (intro), censura + tiempo discreto.</w:t>
            </w:r>
          </w:p>
        </w:tc>
      </w:tr>
      <w:tr w:rsidR="00460383" w14:paraId="64AF7AE2" w14:textId="77777777">
        <w:tc>
          <w:tcPr>
            <w:tcW w:w="160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6ACDF22D" w14:textId="77777777" w:rsidR="00460383" w:rsidRDefault="00000000">
            <w:pPr>
              <w:spacing w:line="252" w:lineRule="auto"/>
            </w:pPr>
            <w:r>
              <w:t>5</w:t>
            </w:r>
          </w:p>
        </w:tc>
        <w:tc>
          <w:tcPr>
            <w:tcW w:w="200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79D088C7" w14:textId="77777777" w:rsidR="00460383" w:rsidRDefault="00000000">
            <w:pPr>
              <w:spacing w:line="252" w:lineRule="auto"/>
            </w:pPr>
            <w:r>
              <w:t>Caso 1</w:t>
            </w:r>
          </w:p>
        </w:tc>
        <w:tc>
          <w:tcPr>
            <w:tcW w:w="5426"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501C31CE" w14:textId="77777777" w:rsidR="00460383" w:rsidRDefault="00000000">
            <w:pPr>
              <w:spacing w:line="252" w:lineRule="auto"/>
            </w:pPr>
            <w:r>
              <w:t>Estudio de caso + exposiciones.</w:t>
            </w:r>
          </w:p>
        </w:tc>
      </w:tr>
      <w:tr w:rsidR="00460383" w14:paraId="7C0FE6CC"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B0A2225" w14:textId="77777777" w:rsidR="00460383" w:rsidRDefault="00000000">
            <w:pPr>
              <w:spacing w:line="252" w:lineRule="auto"/>
            </w:pPr>
            <w:r>
              <w:t>6–8</w:t>
            </w:r>
          </w:p>
        </w:tc>
        <w:tc>
          <w:tcPr>
            <w:tcW w:w="20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ECCAA74" w14:textId="77777777" w:rsidR="00460383" w:rsidRDefault="00000000">
            <w:pPr>
              <w:spacing w:line="252" w:lineRule="auto"/>
            </w:pPr>
            <w:r>
              <w:t>Caso 2</w:t>
            </w:r>
          </w:p>
        </w:tc>
        <w:tc>
          <w:tcPr>
            <w:tcW w:w="5426"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CB3E2C7" w14:textId="77777777" w:rsidR="00460383" w:rsidRDefault="00000000">
            <w:pPr>
              <w:spacing w:line="252" w:lineRule="auto"/>
            </w:pPr>
            <w:r>
              <w:t>Poisson, sobredispersión, ceros, mixtos, riesgos a trozos.</w:t>
            </w:r>
          </w:p>
        </w:tc>
      </w:tr>
      <w:tr w:rsidR="00460383" w14:paraId="6DA85F1E" w14:textId="77777777">
        <w:tc>
          <w:tcPr>
            <w:tcW w:w="160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09161FA4" w14:textId="77777777" w:rsidR="00460383" w:rsidRDefault="00000000">
            <w:pPr>
              <w:spacing w:line="252" w:lineRule="auto"/>
            </w:pPr>
            <w:r>
              <w:t>9</w:t>
            </w:r>
          </w:p>
        </w:tc>
        <w:tc>
          <w:tcPr>
            <w:tcW w:w="200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30C8900D" w14:textId="77777777" w:rsidR="00460383" w:rsidRDefault="00000000">
            <w:pPr>
              <w:spacing w:line="252" w:lineRule="auto"/>
            </w:pPr>
            <w:r>
              <w:t>Caso 2</w:t>
            </w:r>
          </w:p>
        </w:tc>
        <w:tc>
          <w:tcPr>
            <w:tcW w:w="5426"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194B026A" w14:textId="77777777" w:rsidR="00460383" w:rsidRDefault="00000000">
            <w:pPr>
              <w:spacing w:line="252" w:lineRule="auto"/>
            </w:pPr>
            <w:r>
              <w:t>Estudio de caso + exposiciones.</w:t>
            </w:r>
          </w:p>
        </w:tc>
      </w:tr>
      <w:tr w:rsidR="00460383" w14:paraId="3758CFD7" w14:textId="77777777">
        <w:tc>
          <w:tcPr>
            <w:tcW w:w="16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F55EE18" w14:textId="77777777" w:rsidR="00460383" w:rsidRDefault="00000000">
            <w:pPr>
              <w:spacing w:line="252" w:lineRule="auto"/>
            </w:pPr>
            <w:r>
              <w:lastRenderedPageBreak/>
              <w:t>10–13</w:t>
            </w:r>
          </w:p>
        </w:tc>
        <w:tc>
          <w:tcPr>
            <w:tcW w:w="20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E9BF3A6" w14:textId="77777777" w:rsidR="00460383" w:rsidRDefault="00000000">
            <w:pPr>
              <w:spacing w:line="252" w:lineRule="auto"/>
            </w:pPr>
            <w:r>
              <w:t>Caso 3</w:t>
            </w:r>
          </w:p>
        </w:tc>
        <w:tc>
          <w:tcPr>
            <w:tcW w:w="5426"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FDEF48E" w14:textId="77777777" w:rsidR="00460383" w:rsidRDefault="00000000">
            <w:pPr>
              <w:spacing w:line="252" w:lineRule="auto"/>
            </w:pPr>
            <w:r>
              <w:t>Continuas positivas, regularización, AFT, Cox, síntesis.</w:t>
            </w:r>
          </w:p>
        </w:tc>
      </w:tr>
      <w:tr w:rsidR="00460383" w14:paraId="3CB147FA" w14:textId="77777777">
        <w:tc>
          <w:tcPr>
            <w:tcW w:w="160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652A464B" w14:textId="77777777" w:rsidR="00460383" w:rsidRDefault="00000000">
            <w:pPr>
              <w:spacing w:line="252" w:lineRule="auto"/>
            </w:pPr>
            <w:r>
              <w:t>14</w:t>
            </w:r>
          </w:p>
        </w:tc>
        <w:tc>
          <w:tcPr>
            <w:tcW w:w="2000"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21D78743" w14:textId="77777777" w:rsidR="00460383" w:rsidRDefault="00000000">
            <w:pPr>
              <w:spacing w:line="252" w:lineRule="auto"/>
            </w:pPr>
            <w:r>
              <w:t>Caso 3</w:t>
            </w:r>
          </w:p>
        </w:tc>
        <w:tc>
          <w:tcPr>
            <w:tcW w:w="5426" w:type="dxa"/>
            <w:tcBorders>
              <w:top w:val="single" w:sz="4" w:space="0" w:color="CCCCCC"/>
              <w:left w:val="single" w:sz="4" w:space="0" w:color="CCCCCC"/>
              <w:bottom w:val="single" w:sz="4" w:space="0" w:color="CCCCCC"/>
              <w:right w:val="single" w:sz="4" w:space="0" w:color="CCCCCC"/>
            </w:tcBorders>
            <w:shd w:val="clear" w:color="auto" w:fill="DEEAF6"/>
            <w:tcMar>
              <w:top w:w="60" w:type="dxa"/>
              <w:left w:w="120" w:type="dxa"/>
              <w:bottom w:w="60" w:type="dxa"/>
              <w:right w:w="120" w:type="dxa"/>
            </w:tcMar>
          </w:tcPr>
          <w:p w14:paraId="646CCAE9" w14:textId="77777777" w:rsidR="00460383" w:rsidRDefault="00000000">
            <w:pPr>
              <w:spacing w:line="252" w:lineRule="auto"/>
            </w:pPr>
            <w:r>
              <w:t>Estudio de caso + exposiciones + cierre.</w:t>
            </w:r>
          </w:p>
        </w:tc>
      </w:tr>
    </w:tbl>
    <w:p w14:paraId="78231AE8" w14:textId="77777777" w:rsidR="00460383" w:rsidRDefault="00000000">
      <w:r>
        <w:br w:type="page"/>
      </w:r>
    </w:p>
    <w:p w14:paraId="75CC355B" w14:textId="77777777" w:rsidR="00460383" w:rsidRDefault="00000000">
      <w:pPr>
        <w:pStyle w:val="Ttulo1"/>
      </w:pPr>
      <w:r>
        <w:lastRenderedPageBreak/>
        <w:t>7. Sistema de evaluación</w:t>
      </w:r>
    </w:p>
    <w:p w14:paraId="3627E6A9" w14:textId="77777777" w:rsidR="00460383" w:rsidRDefault="00460383"/>
    <w:p w14:paraId="33C8ABF3" w14:textId="77777777" w:rsidR="00460383" w:rsidRDefault="00000000">
      <w:pPr>
        <w:pStyle w:val="Ttulo2"/>
      </w:pPr>
      <w:bookmarkStart w:id="1" w:name="_heading=h.40mlwrpqf6x" w:colFirst="0" w:colLast="0"/>
      <w:bookmarkEnd w:id="1"/>
      <w:r>
        <w:t>7.0 Guía Docente UMH</w:t>
      </w:r>
    </w:p>
    <w:p w14:paraId="347958DA" w14:textId="77777777" w:rsidR="00460383" w:rsidRDefault="00000000">
      <w:r>
        <w:rPr>
          <w:noProof/>
        </w:rPr>
        <w:drawing>
          <wp:inline distT="114300" distB="114300" distL="114300" distR="114300" wp14:anchorId="5B4DD33E" wp14:editId="53ADEA62">
            <wp:extent cx="5731200" cy="5168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5168900"/>
                    </a:xfrm>
                    <a:prstGeom prst="rect">
                      <a:avLst/>
                    </a:prstGeom>
                    <a:ln/>
                  </pic:spPr>
                </pic:pic>
              </a:graphicData>
            </a:graphic>
          </wp:inline>
        </w:drawing>
      </w:r>
    </w:p>
    <w:p w14:paraId="2E52794A" w14:textId="77777777" w:rsidR="00460383" w:rsidRDefault="00460383"/>
    <w:p w14:paraId="2D03DA69" w14:textId="77777777" w:rsidR="00460383" w:rsidRDefault="00000000">
      <w:pPr>
        <w:spacing w:after="120" w:line="276" w:lineRule="auto"/>
        <w:rPr>
          <w:b/>
          <w:bCs/>
        </w:rPr>
      </w:pPr>
      <w:r>
        <w:rPr>
          <w:b/>
          <w:bCs/>
        </w:rPr>
        <w:t>Sistema y criterio de evaluación</w:t>
      </w:r>
    </w:p>
    <w:p w14:paraId="07DEAF69" w14:textId="77777777" w:rsidR="00460383" w:rsidRDefault="00000000">
      <w:pPr>
        <w:spacing w:after="120" w:line="276" w:lineRule="auto"/>
      </w:pPr>
      <w:r>
        <w:t>Se plantean dos tipos de evaluación: evaluación continua y evaluación final.</w:t>
      </w:r>
    </w:p>
    <w:p w14:paraId="04FC0AA4" w14:textId="77777777" w:rsidR="00460383" w:rsidRDefault="00000000">
      <w:pPr>
        <w:spacing w:after="120" w:line="276" w:lineRule="auto"/>
      </w:pPr>
      <w:r>
        <w:t xml:space="preserve">La evaluación continua requiere del compromiso continuado del alumnado en el seguimiento de la asignatura. Es sumativa y se construye sobre tres proyectos grupales a desarrollar a lo largo del curso, y un examen oral individual vinculado a cada proyecto. Los proyectos grupales, a realizar en equipos cooperativos de un máximo de tres estudiantes, con evaluación 360, se plantearán en base a un estudio de caso, a analizar aplicando las técnicas estudiadas en el bloque correspondiente. El examen oral individual permitirá la evaluación individual de los conocimientos y capacidades adquiridas por cada estudiante. Los proyectos grupales (ponderados por la evaluación 360 en base a implicación individual) contribuyen con un 60% de la calificación y los exámenes individuales con un 40%, repartidos equitativamente en los tres proyectos. Para superar la evaluación continua se </w:t>
      </w:r>
      <w:r>
        <w:lastRenderedPageBreak/>
        <w:t>requiere obtener una calificación mínima de 3,5/10 en cada una de las pruebas (grupales e individuales) y una media ponderada del conjunto igual o superior a 5.</w:t>
      </w:r>
    </w:p>
    <w:p w14:paraId="5430F198" w14:textId="77777777" w:rsidR="00460383" w:rsidRDefault="00000000">
      <w:pPr>
        <w:spacing w:after="120" w:line="276" w:lineRule="auto"/>
      </w:pPr>
      <w:r>
        <w:t>El alumnado que no participe o no supere la evaluación continua será emplazado a la evaluación final (en las convocatorias ordinaria o extraordinaria), consistente en un examen final, que contribuye con un 100% en la calificación final. En el examen final se evaluarán las competencias del alumnado a la hora de proponer, justificar e implementar modelizaciones pertinentes, interpretar resultados, proponer soluciones y comunicar resultados y conclusiones en formatos estandarizados, tanto a nivel escrito a modo de informe (50% de la calificación), como oral con la defensa del mismo y las respuestas a las preguntas planteadas (50% de la calificación).</w:t>
      </w:r>
    </w:p>
    <w:p w14:paraId="74B14103" w14:textId="77777777" w:rsidR="00460383" w:rsidRDefault="00460383">
      <w:pPr>
        <w:spacing w:after="120" w:line="276" w:lineRule="auto"/>
      </w:pPr>
    </w:p>
    <w:p w14:paraId="4F180667" w14:textId="77777777" w:rsidR="00460383" w:rsidRDefault="00DF095A">
      <w:pPr>
        <w:spacing w:after="120" w:line="276" w:lineRule="auto"/>
      </w:pPr>
      <w:r>
        <w:rPr>
          <w:noProof/>
        </w:rPr>
        <w:pict w14:anchorId="4DBFF7D1">
          <v:rect id="_x0000_i1032" alt="" style="width:425.2pt;height:.05pt;mso-width-percent:0;mso-height-percent:0;mso-width-percent:0;mso-height-percent:0" o:hralign="center" o:hrstd="t" o:hr="t" fillcolor="#a0a0a0" stroked="f"/>
        </w:pict>
      </w:r>
    </w:p>
    <w:p w14:paraId="67BA7010" w14:textId="77777777" w:rsidR="00460383" w:rsidRDefault="00000000">
      <w:pPr>
        <w:spacing w:after="120" w:line="276" w:lineRule="auto"/>
        <w:rPr>
          <w:b/>
          <w:bCs/>
        </w:rPr>
      </w:pPr>
      <w:r>
        <w:rPr>
          <w:b/>
          <w:bCs/>
        </w:rPr>
        <w:t>Sistema i criteri d’evaluació</w:t>
      </w:r>
    </w:p>
    <w:p w14:paraId="7669FD10" w14:textId="77777777" w:rsidR="00460383" w:rsidRDefault="00000000">
      <w:pPr>
        <w:spacing w:after="120" w:line="276" w:lineRule="auto"/>
      </w:pPr>
      <w:r>
        <w:t>Es plantegen dos tipus d'avaluació: avaluació contínua i avaluació final.</w:t>
      </w:r>
    </w:p>
    <w:p w14:paraId="5B1E3430" w14:textId="77777777" w:rsidR="00460383" w:rsidRDefault="00000000">
      <w:pPr>
        <w:spacing w:after="120" w:line="276" w:lineRule="auto"/>
      </w:pPr>
      <w:r>
        <w:t>L'avaluació contínua requerix del compromís continuat de l'alumnat en el seguiment de l'assignatura. És sumativa i es construïx sobre tres projectes grupals a desenrotllar al llarg del curs, i un examen oral individual vinculat a cada projecte. Els projectes grupals, a realitzar en equips cooperatius d'un màxim de tres estudiants, amb avaluació 360, es plantejaran sobre la base d'un estudi de cas, a analitzar aplicant les tècniques estudiades en el bloc corresponent. L'examen oral individual permetrà l'avaluació individual dels coneixements i capacitats adquirides per cada estudiant. Els projectes grupals (ponderats per l'avaluació 360 sobre la base d'implicació individual) contribuïxen amb un 60% de la qualificació i els exàmens individuals amb un 40%, repartits equitativament en els tres projectes. Per a superar l'avaluació contínua es requerix obtindre una qualificació mínima de 3,5/10 en cada una de les proves (grupals i individuals) i una mitjana ponderada del conjunt igual o superior a 5.</w:t>
      </w:r>
    </w:p>
    <w:p w14:paraId="30C50C80" w14:textId="77777777" w:rsidR="00460383" w:rsidRDefault="00000000">
      <w:pPr>
        <w:spacing w:after="120" w:line="276" w:lineRule="auto"/>
      </w:pPr>
      <w:r>
        <w:t>L'alumnat que no participe o no supere l'avaluació contínua serà emplaçat a l'avaluació final (en les convocatòries ordinària o extraordinària), consistent en un examen final, que contribuïx amb un 100% en la qualificació final. En l'examen final s'avaluaran les competències de l'alumnat a l'hora de proposar, justificar i implementar modelitzacions pertinents, interpretar resultats, proposar solucions i comunicar resultats i conclusions en formats estandarditzats, tant a nivell escrit a mode d'informe (50% de la qualificació), com a oral amb la defensa del mateix i les respostes a les preguntes plantejades (50% de la qualificació).</w:t>
      </w:r>
    </w:p>
    <w:p w14:paraId="127D5608" w14:textId="77777777" w:rsidR="00460383" w:rsidRDefault="00460383">
      <w:pPr>
        <w:spacing w:after="120" w:line="276" w:lineRule="auto"/>
      </w:pPr>
    </w:p>
    <w:p w14:paraId="6D5A27FA" w14:textId="77777777" w:rsidR="00460383" w:rsidRDefault="00DF095A">
      <w:pPr>
        <w:spacing w:after="120" w:line="276" w:lineRule="auto"/>
      </w:pPr>
      <w:r>
        <w:rPr>
          <w:noProof/>
        </w:rPr>
        <w:pict w14:anchorId="46ED457A">
          <v:rect id="_x0000_i1031" alt="" style="width:425.2pt;height:.05pt;mso-width-percent:0;mso-height-percent:0;mso-width-percent:0;mso-height-percent:0" o:hralign="center" o:hrstd="t" o:hr="t" fillcolor="#a0a0a0" stroked="f"/>
        </w:pict>
      </w:r>
    </w:p>
    <w:p w14:paraId="36BC8F11" w14:textId="77777777" w:rsidR="00460383" w:rsidRDefault="00000000">
      <w:pPr>
        <w:spacing w:after="120" w:line="276" w:lineRule="auto"/>
        <w:rPr>
          <w:b/>
          <w:bCs/>
        </w:rPr>
      </w:pPr>
      <w:r>
        <w:rPr>
          <w:b/>
          <w:bCs/>
        </w:rPr>
        <w:t>System and evaluation criteria</w:t>
      </w:r>
    </w:p>
    <w:p w14:paraId="7AC952B8" w14:textId="77777777" w:rsidR="00460383" w:rsidRDefault="00000000">
      <w:pPr>
        <w:spacing w:before="240" w:after="240" w:line="276" w:lineRule="auto"/>
      </w:pPr>
      <w:r>
        <w:t>Two types of assessment are proposed: continuous assessment and final assessment.</w:t>
      </w:r>
    </w:p>
    <w:p w14:paraId="18774AFE" w14:textId="77777777" w:rsidR="00460383" w:rsidRDefault="00000000">
      <w:pPr>
        <w:spacing w:before="240" w:after="240" w:line="276" w:lineRule="auto"/>
      </w:pPr>
      <w:r>
        <w:t xml:space="preserve">Continuous assessment requires students’ ongoing commitment to following the course. It is summative and is based on three group projects to be developed throughout the course, together with an individual oral examination linked to each project. The group projects, to be carried out in cooperative teams of a maximum of three students and including 360-degree </w:t>
      </w:r>
      <w:r>
        <w:lastRenderedPageBreak/>
        <w:t>assessment, will be based on a case study to be analysed by applying the techniques studied in the corresponding block. The individual oral examination will allow for the individual assessment of the knowledge and skills acquired by each student. The group projects, weighted according to the 360-degree assessment based on individual involvement, will account for 60% of the final grade, while the individual examinations will account for 40%, distributed equally across the three projects. To pass the continuous assessment, students must obtain a minimum mark of 3.5 out of 10 in each of the assessments, both group and individual, and an overall weighted average equal to or higher than 5.</w:t>
      </w:r>
    </w:p>
    <w:p w14:paraId="3384A65A" w14:textId="77777777" w:rsidR="00460383" w:rsidRDefault="00000000">
      <w:pPr>
        <w:spacing w:before="240" w:after="240" w:line="276" w:lineRule="auto"/>
      </w:pPr>
      <w:r>
        <w:t>Students who do not participate in or do not pass the continuous assessment will be referred to the final assessment, in either the ordinary or extraordinary examination sessions. This will consist of a final examination, which will account for 100% of the final grade. The final examination will assess students’ competences in proposing, justifying and implementing appropriate modelling approaches, interpreting results, proposing solutions, and communicating results and conclusions in standardised formats, both in writing in the form of a report, accounting for 50% of the grade, and orally through its defence and responses to the questions asked, accounting for the remaining 50% of the grade.</w:t>
      </w:r>
    </w:p>
    <w:p w14:paraId="02EE8764" w14:textId="77777777" w:rsidR="00460383" w:rsidRDefault="00460383">
      <w:pPr>
        <w:spacing w:after="120" w:line="276" w:lineRule="auto"/>
      </w:pPr>
    </w:p>
    <w:p w14:paraId="13CCBFC1" w14:textId="77777777" w:rsidR="00460383" w:rsidRDefault="00DF095A">
      <w:pPr>
        <w:spacing w:after="120" w:line="276" w:lineRule="auto"/>
      </w:pPr>
      <w:r>
        <w:rPr>
          <w:noProof/>
        </w:rPr>
        <w:pict w14:anchorId="6BF29655">
          <v:rect id="_x0000_i1030" alt="" style="width:425.2pt;height:.05pt;mso-width-percent:0;mso-height-percent:0;mso-width-percent:0;mso-height-percent:0" o:hralign="center" o:hrstd="t" o:hr="t" fillcolor="#a0a0a0" stroked="f"/>
        </w:pict>
      </w:r>
    </w:p>
    <w:p w14:paraId="30E4F9FA" w14:textId="77777777" w:rsidR="00460383" w:rsidRDefault="00460383">
      <w:pPr>
        <w:spacing w:after="120" w:line="276" w:lineRule="auto"/>
      </w:pPr>
    </w:p>
    <w:p w14:paraId="5B56B267" w14:textId="77777777" w:rsidR="00460383" w:rsidRDefault="00000000">
      <w:pPr>
        <w:spacing w:after="120" w:line="276" w:lineRule="auto"/>
        <w:rPr>
          <w:b/>
          <w:bCs/>
        </w:rPr>
      </w:pPr>
      <w:r>
        <w:rPr>
          <w:b/>
          <w:bCs/>
        </w:rPr>
        <w:t>Características de la prueba</w:t>
      </w:r>
    </w:p>
    <w:p w14:paraId="2806F74E" w14:textId="77777777" w:rsidR="00460383" w:rsidRDefault="00000000">
      <w:pPr>
        <w:spacing w:after="120" w:line="276" w:lineRule="auto"/>
      </w:pPr>
      <w:r>
        <w:t xml:space="preserve">Cada proyecto grupal se propone a la finalización de cada uno de los bloques de contenidos especificados en la guía docente. Estará basado en el análisis de un estudio de caso y habrá de conformarse en un informe (técnico, ejecutivo o científico, según requerimiento explícito), una presentación (exposición del proyecto) y la defensa oral del proyecto, acompañada de un turno de preguntas/respuestas, a realizar en sesiones de clase. Cada una de estas pruebas recibe una calificación grupal ponderada: informe 50%, presentación 40% y defensa oral (preguntas/respuestas) 10%; la calificación individual del proyecto grupal se obtiene, para cada alumno/a, al aplicar la ponderación de la calificación del proyecto grupal con la media de su evaluación 360 (implicación), realizada por los integrantes de su equipo. </w:t>
      </w:r>
    </w:p>
    <w:p w14:paraId="2E4A35AB" w14:textId="77777777" w:rsidR="00460383" w:rsidRDefault="00000000">
      <w:pPr>
        <w:spacing w:after="120" w:line="276" w:lineRule="auto"/>
      </w:pPr>
      <w:r>
        <w:t>Cada examen oral individual se realizará en sesiones de tutoría, en una fecha posterior a la corrección del proyecto grupal, y no superior a dos semanas. El examen oral individual se evaluará en base a las respuestas dadas a las preguntas planteadas con las que habrá de demostrar el dominio íntegro del proyecto.</w:t>
      </w:r>
    </w:p>
    <w:p w14:paraId="6FF99BCA" w14:textId="77777777" w:rsidR="00460383" w:rsidRDefault="00000000">
      <w:pPr>
        <w:spacing w:after="120" w:line="276" w:lineRule="auto"/>
      </w:pPr>
      <w:r>
        <w:t>El examen final se planteará a partir de uno o varios estudios de caso resueltos, total o parcialmente, proporcionados al alumnado, sobre los que habrá de desarrollar un informe escrito según especificaciones (técnico, ejecutivo o científico), defenderlo oralmente y responder a las cuestiones planteadas. En dicho examen el alumnado no podrá utilizar ningún recurso de consulta, físico o digital.</w:t>
      </w:r>
    </w:p>
    <w:p w14:paraId="55DA76D6" w14:textId="77777777" w:rsidR="00460383" w:rsidRDefault="00460383">
      <w:pPr>
        <w:spacing w:after="120" w:line="276" w:lineRule="auto"/>
      </w:pPr>
    </w:p>
    <w:p w14:paraId="390DE3A8" w14:textId="77777777" w:rsidR="00460383" w:rsidRDefault="00DF095A">
      <w:pPr>
        <w:spacing w:after="120" w:line="276" w:lineRule="auto"/>
      </w:pPr>
      <w:r>
        <w:rPr>
          <w:noProof/>
        </w:rPr>
        <w:pict w14:anchorId="4447CB67">
          <v:rect id="_x0000_i1029" alt="" style="width:425.2pt;height:.05pt;mso-width-percent:0;mso-height-percent:0;mso-width-percent:0;mso-height-percent:0" o:hralign="center" o:hrstd="t" o:hr="t" fillcolor="#a0a0a0" stroked="f"/>
        </w:pict>
      </w:r>
    </w:p>
    <w:p w14:paraId="64E37DCB" w14:textId="77777777" w:rsidR="00460383" w:rsidRDefault="00000000">
      <w:pPr>
        <w:spacing w:after="120" w:line="276" w:lineRule="auto"/>
      </w:pPr>
      <w:r>
        <w:lastRenderedPageBreak/>
        <w:t xml:space="preserve">Cada projecte grupal es proposa a la finalització de cada un dels blocs de continguts especificats en la guia docent. Estarà basat en l'anàlisi d'un estudi de cas i haurà de conformar-se en un informe (tècnic, executiu o científic, segons requeriment explícit), una presentació (exposició del projecte) i la defensa oral del projecte, acompanyada d'un torn de preguntes/respostes, a realitzar en sessions de classe. Cada una d'estes proves rep una qualificació grupal ponderada: informe 50%, presentació 40% i defensa oral (preguntes/respostes) 10%; la qualificació individual del projecte grupal s'obté, per a cada alumne/a, en aplicar la ponderació de la qualificació del projecte grupal amb la mitjana de la seua avaluació 360 (implicació), realitzada pels integrants del seu equip. </w:t>
      </w:r>
    </w:p>
    <w:p w14:paraId="065DC5D1" w14:textId="77777777" w:rsidR="00460383" w:rsidRDefault="00000000">
      <w:pPr>
        <w:spacing w:after="120" w:line="276" w:lineRule="auto"/>
      </w:pPr>
      <w:r>
        <w:t>Cada examen oral individual es realitzarà en sessions de tutoria, en una data posterior a la correcció del projecte grupal, i no superior a dos setmanes. L'examen oral individual s'avaluarà sobre la base de les respostes donades a les preguntes plantejades amb les quals haurà de demostrar el domini íntegre del projecte.</w:t>
      </w:r>
    </w:p>
    <w:p w14:paraId="567A9A12" w14:textId="77777777" w:rsidR="00460383" w:rsidRDefault="00000000">
      <w:pPr>
        <w:spacing w:after="120" w:line="276" w:lineRule="auto"/>
      </w:pPr>
      <w:r>
        <w:t>L'examen final es plantejarà a partir d'un o diversos estudis de cas resolts, totalment o parcialment, proporcionats a l'alumnat, sobre els quals haurà de desenrotllar un informe escrit segons especificacions (tècnic, executiu o científic), defendre-ho oralment i respondre a les qüestions plantejades. En este examen l'alumnat no podrà utilitzar cap recurs de consulta, físic o digital.</w:t>
      </w:r>
    </w:p>
    <w:p w14:paraId="387598C1" w14:textId="77777777" w:rsidR="00460383" w:rsidRDefault="00460383">
      <w:pPr>
        <w:spacing w:after="120" w:line="276" w:lineRule="auto"/>
      </w:pPr>
    </w:p>
    <w:p w14:paraId="1271F364" w14:textId="77777777" w:rsidR="00460383" w:rsidRDefault="00460383">
      <w:pPr>
        <w:spacing w:after="120" w:line="276" w:lineRule="auto"/>
      </w:pPr>
    </w:p>
    <w:p w14:paraId="3892FD8C" w14:textId="77777777" w:rsidR="00460383" w:rsidRDefault="00DF095A">
      <w:pPr>
        <w:spacing w:after="120" w:line="276" w:lineRule="auto"/>
      </w:pPr>
      <w:r>
        <w:rPr>
          <w:noProof/>
        </w:rPr>
        <w:pict w14:anchorId="3B316B18">
          <v:rect id="_x0000_i1028" alt="" style="width:425.2pt;height:.05pt;mso-width-percent:0;mso-height-percent:0;mso-width-percent:0;mso-height-percent:0" o:hralign="center" o:hrstd="t" o:hr="t" fillcolor="#a0a0a0" stroked="f"/>
        </w:pict>
      </w:r>
    </w:p>
    <w:p w14:paraId="7A15C2DD" w14:textId="77777777" w:rsidR="00460383" w:rsidRDefault="00000000">
      <w:pPr>
        <w:spacing w:before="240" w:after="240" w:line="276" w:lineRule="auto"/>
      </w:pPr>
      <w:r>
        <w:t>Each group project will be assigned upon completion of each of the content blocks specified in the course guide. It will be based on the analysis of a case study and must take the form of a report — technical, executive or scientific, according to the explicit requirement — a presentation, consisting of the project presentation, and an oral defence of the project, accompanied by a question-and-answer session, to be carried out during class sessions. Each of these components will receive a weighted group mark: report 50%, presentation 40%, and oral defence — questions and answers — 10%. The individual mark for the group project will be obtained, for each student, by weighting the group project mark with the average score obtained in their 360-degree assessment of individual involvement, completed by the members of their team.</w:t>
      </w:r>
    </w:p>
    <w:p w14:paraId="2FE1A4C7" w14:textId="77777777" w:rsidR="00460383" w:rsidRDefault="00000000">
      <w:pPr>
        <w:spacing w:before="240" w:after="240" w:line="276" w:lineRule="auto"/>
      </w:pPr>
      <w:r>
        <w:t>Each individual oral examination will be held during tutorial sessions, on a date after the correction of the group project and no later than two weeks afterwards. The individual oral examination will be assessed on the basis of the answers given to the questions asked, through which the student must demonstrate full mastery of the project.</w:t>
      </w:r>
    </w:p>
    <w:p w14:paraId="7E7B2FF2" w14:textId="77777777" w:rsidR="00460383" w:rsidRDefault="00000000">
      <w:pPr>
        <w:spacing w:before="240" w:after="240" w:line="276" w:lineRule="auto"/>
      </w:pPr>
      <w:r>
        <w:t>The final examination will be based on one or more case studies, solved either fully or partially, provided to the students. On this basis, students will be required to prepare a written report according to the specified format — technical, executive or scientific — defend it orally, and answer the questions posed. In this examination, students will not be allowed to use any reference materials, whether physical or digital.</w:t>
      </w:r>
    </w:p>
    <w:p w14:paraId="56EB45F5" w14:textId="77777777" w:rsidR="00460383" w:rsidRDefault="00460383">
      <w:pPr>
        <w:spacing w:after="120" w:line="276" w:lineRule="auto"/>
      </w:pPr>
    </w:p>
    <w:p w14:paraId="1AE7A957" w14:textId="77777777" w:rsidR="00460383" w:rsidRDefault="00000000">
      <w:pPr>
        <w:spacing w:after="120" w:line="276" w:lineRule="auto"/>
        <w:rPr>
          <w:b/>
          <w:bCs/>
        </w:rPr>
      </w:pPr>
      <w:r>
        <w:rPr>
          <w:b/>
          <w:bCs/>
        </w:rPr>
        <w:t>Criterios de corrección</w:t>
      </w:r>
    </w:p>
    <w:p w14:paraId="44582035" w14:textId="77777777" w:rsidR="00460383" w:rsidRDefault="00000000">
      <w:pPr>
        <w:spacing w:after="120" w:line="276" w:lineRule="auto"/>
      </w:pPr>
      <w:r>
        <w:lastRenderedPageBreak/>
        <w:t>Respecto a los proyectos grupales, se proporcionarán al alumnado unas guías con los formatos deseados y los criterios específicos de calidad a utilizar en la evaluación, según la tipología de informe, fundamentados en la concreción del problema y objetivos, la descripción de datos y métodos, la adecuación de los resultados e interpretaciones, la redacción y ajuste al formato estandarizado, y el uso ético de la IA. Los criterios de evaluación de la exposición grupal están basados en la narrativa, el soporte visual, la identificación de las ideas clave y la comunicación oral. Los criterios de evaluación de la defensa oral se refieren a la corrección y justificación de las respuestas dadas.</w:t>
      </w:r>
    </w:p>
    <w:p w14:paraId="03D8748A" w14:textId="77777777" w:rsidR="00460383" w:rsidRDefault="00000000">
      <w:pPr>
        <w:spacing w:after="120" w:line="276" w:lineRule="auto"/>
      </w:pPr>
      <w:r>
        <w:t>La coevaluación 360 entre los miembros de cada equipo responderá a criterios de implicación: cumplimiento, contribución y colaboración en el desarrollo del proyecto.</w:t>
      </w:r>
    </w:p>
    <w:p w14:paraId="21FB7919" w14:textId="77777777" w:rsidR="00460383" w:rsidRDefault="00000000">
      <w:pPr>
        <w:spacing w:after="120" w:line="276" w:lineRule="auto"/>
      </w:pPr>
      <w:r>
        <w:t xml:space="preserve">Los criterios a valorar en los exámenes orales son los relativos a las justificaciones técnicas e interpretación de resultados, la resolución de las correcciones señaladas en la evaluación del proyecto, la reflexión sobre los puntos débiles y recomendaciones dadas, y la capacidad de proyección de soluciones a nuevos retos relacionados con el estudio de caso trabajado. </w:t>
      </w:r>
    </w:p>
    <w:p w14:paraId="476178F1" w14:textId="77777777" w:rsidR="00460383" w:rsidRDefault="00000000">
      <w:pPr>
        <w:spacing w:after="120" w:line="276" w:lineRule="auto"/>
      </w:pPr>
      <w:r>
        <w:t>En el examen final, los criterios de corrección del informe (50%) conciernen a justificaciones técnicas e interpretación de resultados, las soluciones e implicaciones derivadas, las capacidades comunicativas escritas y el ajuste al formato estandarizado. Los criterios de evaluación de la defensa oral y las respuestas a las cuestiones planteadas (50%) se refieren a la justificación y corrección técnica, interpretación de resultados y comunicación oral.</w:t>
      </w:r>
    </w:p>
    <w:p w14:paraId="01698C9F" w14:textId="77777777" w:rsidR="00460383" w:rsidRDefault="00460383">
      <w:pPr>
        <w:spacing w:after="120" w:line="276" w:lineRule="auto"/>
      </w:pPr>
    </w:p>
    <w:p w14:paraId="494465C9" w14:textId="77777777" w:rsidR="00460383" w:rsidRDefault="00DF095A">
      <w:pPr>
        <w:spacing w:after="120" w:line="276" w:lineRule="auto"/>
      </w:pPr>
      <w:r>
        <w:rPr>
          <w:noProof/>
        </w:rPr>
        <w:pict w14:anchorId="6F774AF2">
          <v:rect id="_x0000_i1027" alt="" style="width:425.2pt;height:.05pt;mso-width-percent:0;mso-height-percent:0;mso-width-percent:0;mso-height-percent:0" o:hralign="center" o:hrstd="t" o:hr="t" fillcolor="#a0a0a0" stroked="f"/>
        </w:pict>
      </w:r>
    </w:p>
    <w:p w14:paraId="6001A86F" w14:textId="77777777" w:rsidR="00460383" w:rsidRDefault="00000000">
      <w:pPr>
        <w:spacing w:after="120" w:line="276" w:lineRule="auto"/>
      </w:pPr>
      <w:r>
        <w:t>Respecte als projectes grupals, es proporcionaran a l'alumnat unes guies amb els formats desitjats i els criteris específics de qualitat a utilitzar en l'avaluació, segons la tipologia d'informe, fonamentats en la concreció del problema i objectius, la descripció de dades i mètodes, l'adequació dels resultats i interpretacions, la redacció i ajust al format estandarditzat, i l'ús ètic de la IA. Els criteris d'avaluació de l'exposició grupal estan basats en la narrativa, el suport visual, la identificació de les idees clau i la comunicació oral. Els criteris d'avaluació de la defensa oral es referixen a la correcció i justificació de les respostes donades.</w:t>
      </w:r>
    </w:p>
    <w:p w14:paraId="3AA79C84" w14:textId="77777777" w:rsidR="00460383" w:rsidRDefault="00000000">
      <w:pPr>
        <w:spacing w:after="120" w:line="276" w:lineRule="auto"/>
      </w:pPr>
      <w:r>
        <w:t>La coavaluació 360 entre els membres de cada equip respondrà a criteris d'implicació: compliment, contribució i col·laboració en el desenrotllament del projecte.</w:t>
      </w:r>
    </w:p>
    <w:p w14:paraId="4B2C46E6" w14:textId="77777777" w:rsidR="00460383" w:rsidRDefault="00000000">
      <w:pPr>
        <w:spacing w:after="120" w:line="276" w:lineRule="auto"/>
      </w:pPr>
      <w:r>
        <w:t xml:space="preserve">Els criteris a valorar en els exàmens orals són els relatius a les justificacions tècniques i interpretació de resultats, la resolució de les correccions assenyalades en l'avaluació del projecte, la reflexió sobre els punts febles i recomanacions donades, i la capacitat de projecció de solucions a nous reptes relacionats amb l'estudi de cas treballat. </w:t>
      </w:r>
    </w:p>
    <w:p w14:paraId="7CA8C250" w14:textId="77777777" w:rsidR="00460383" w:rsidRDefault="00000000">
      <w:pPr>
        <w:spacing w:after="120" w:line="276" w:lineRule="auto"/>
      </w:pPr>
      <w:r>
        <w:t>En l'examen final, els criteris de correcció de l'informe (50%) concernixen justificacions tècniques i interpretació de resultats, les solucions i implicacions derivades, les capacitats comunicatives escrites i l'ajust al format estandarditzat. Els criteris d'avaluació de la defensa oral i les respostes a les qüestions plantejades (50%) es referixen a la justificació i correcció tècnica, interpretació de resultats i comunicació oral.</w:t>
      </w:r>
    </w:p>
    <w:p w14:paraId="71337251" w14:textId="77777777" w:rsidR="00460383" w:rsidRDefault="00460383">
      <w:pPr>
        <w:spacing w:after="120" w:line="276" w:lineRule="auto"/>
      </w:pPr>
    </w:p>
    <w:p w14:paraId="5DB585FC" w14:textId="77777777" w:rsidR="00460383" w:rsidRDefault="00460383">
      <w:pPr>
        <w:spacing w:after="120" w:line="276" w:lineRule="auto"/>
      </w:pPr>
    </w:p>
    <w:p w14:paraId="17E1F86E" w14:textId="77777777" w:rsidR="00460383" w:rsidRDefault="00DF095A">
      <w:pPr>
        <w:spacing w:after="120" w:line="276" w:lineRule="auto"/>
      </w:pPr>
      <w:r>
        <w:rPr>
          <w:noProof/>
        </w:rPr>
        <w:lastRenderedPageBreak/>
        <w:pict w14:anchorId="484DFCB5">
          <v:rect id="_x0000_i1026" alt="" style="width:425.2pt;height:.05pt;mso-width-percent:0;mso-height-percent:0;mso-width-percent:0;mso-height-percent:0" o:hralign="center" o:hrstd="t" o:hr="t" fillcolor="#a0a0a0" stroked="f"/>
        </w:pict>
      </w:r>
    </w:p>
    <w:p w14:paraId="53044C4E" w14:textId="77777777" w:rsidR="00460383" w:rsidRDefault="00000000">
      <w:pPr>
        <w:spacing w:before="240" w:after="240" w:line="276" w:lineRule="auto"/>
      </w:pPr>
      <w:r>
        <w:t>With regard to the group projects, students will be provided with guidelines specifying the required formats and the specific quality criteria to be used in the assessment, according to the type of report. These criteria will be based on the definition of the problem and objectives, the description of data and methods, the appropriateness of the results and interpretations, the writing quality and compliance with the standardised format, and the ethical use of AI. The assessment criteria for the group presentation will be based on narrative, visual support, identification of key ideas, and oral communication. The assessment criteria for the oral defence will refer to the correctness and justification of the answers provided.</w:t>
      </w:r>
    </w:p>
    <w:p w14:paraId="66F03CF3" w14:textId="77777777" w:rsidR="00460383" w:rsidRDefault="00000000">
      <w:pPr>
        <w:spacing w:before="240" w:after="240" w:line="276" w:lineRule="auto"/>
      </w:pPr>
      <w:r>
        <w:t>The 360-degree peer assessment among the members of each team will be based on criteria related to individual involvement: fulfilment of responsibilities, contribution, and collaboration in the development of the project.</w:t>
      </w:r>
    </w:p>
    <w:p w14:paraId="295F36B5" w14:textId="77777777" w:rsidR="00460383" w:rsidRDefault="00000000">
      <w:pPr>
        <w:spacing w:before="240" w:after="240" w:line="276" w:lineRule="auto"/>
      </w:pPr>
      <w:r>
        <w:t>The criteria to be assessed in the oral examinations concern technical justifications and interpretation of results, the resolution of the corrections indicated in the project assessment, reflection on the weaknesses and recommendations provided, and the ability to transfer solutions to new challenges related to the case study addressed.</w:t>
      </w:r>
    </w:p>
    <w:p w14:paraId="44C27DF8" w14:textId="77777777" w:rsidR="00460383" w:rsidRDefault="00000000">
      <w:pPr>
        <w:spacing w:before="240" w:after="240" w:line="276" w:lineRule="auto"/>
      </w:pPr>
      <w:r>
        <w:t>In the final examination, the marking criteria for the report, accounting for 50% of the grade, concern technical justifications and interpretation of results, the solutions and implications derived from them, written communication skills, and compliance with the standardised format. The assessment criteria for the oral defence and the answers to the questions posed, accounting for 50% of the grade, refer to technical justification and correctness, interpretation of results, and oral communication.</w:t>
      </w:r>
    </w:p>
    <w:p w14:paraId="7467601E" w14:textId="77777777" w:rsidR="00460383" w:rsidRDefault="00460383">
      <w:pPr>
        <w:spacing w:after="120" w:line="276" w:lineRule="auto"/>
      </w:pPr>
    </w:p>
    <w:p w14:paraId="3CDF549C" w14:textId="77777777" w:rsidR="00460383" w:rsidRDefault="00DF095A">
      <w:pPr>
        <w:spacing w:after="120" w:line="276" w:lineRule="auto"/>
      </w:pPr>
      <w:r>
        <w:rPr>
          <w:noProof/>
        </w:rPr>
        <w:pict w14:anchorId="2C597AAE">
          <v:rect id="_x0000_i1025" alt="" style="width:425.2pt;height:.05pt;mso-width-percent:0;mso-height-percent:0;mso-width-percent:0;mso-height-percent:0" o:hralign="center" o:hrstd="t" o:hr="t" fillcolor="#a0a0a0" stroked="f"/>
        </w:pict>
      </w:r>
    </w:p>
    <w:p w14:paraId="5EBDCC4C" w14:textId="77777777" w:rsidR="00460383" w:rsidRDefault="00000000">
      <w:pPr>
        <w:pStyle w:val="Ttulo2"/>
      </w:pPr>
      <w:r>
        <w:t>7.1. Proyectos grupales (Gru)</w:t>
      </w:r>
    </w:p>
    <w:p w14:paraId="32536178" w14:textId="77777777" w:rsidR="00460383" w:rsidRDefault="00000000">
      <w:r>
        <w:t>Cada estudiante asume en cada proyecto un rol con tareas definidas, que rota de un proyecto al siguiente de modo que pasa por los tres:</w:t>
      </w:r>
    </w:p>
    <w:p w14:paraId="43CEF49D" w14:textId="77777777" w:rsidR="00460383" w:rsidRDefault="00000000">
      <w:pPr>
        <w:numPr>
          <w:ilvl w:val="0"/>
          <w:numId w:val="2"/>
        </w:numPr>
      </w:pPr>
      <w:r>
        <w:t>Coordinación: planificación y plazos, consultas con el profesorado, integración del trabajo, supervisión y revisión de la coherencia, integración y cumplimiento del conjunto, bitácora del equipo y control de versiones.</w:t>
      </w:r>
    </w:p>
    <w:p w14:paraId="758AF177" w14:textId="77777777" w:rsidR="00460383" w:rsidRDefault="00000000">
      <w:pPr>
        <w:numPr>
          <w:ilvl w:val="0"/>
          <w:numId w:val="2"/>
        </w:numPr>
      </w:pPr>
      <w:r>
        <w:t>Análisis: datos, modelado, código reproducible y validación técnica (diagnóstico).</w:t>
      </w:r>
    </w:p>
    <w:p w14:paraId="6E5E588A" w14:textId="77777777" w:rsidR="00460383" w:rsidRDefault="00000000">
      <w:pPr>
        <w:numPr>
          <w:ilvl w:val="0"/>
          <w:numId w:val="2"/>
        </w:numPr>
      </w:pPr>
      <w:r>
        <w:t>Comunicación: informe, narrativa y diseño de la exposición.</w:t>
      </w:r>
    </w:p>
    <w:p w14:paraId="34779F25" w14:textId="77777777" w:rsidR="00460383" w:rsidRDefault="00460383"/>
    <w:p w14:paraId="6C210F67" w14:textId="77777777" w:rsidR="00460383" w:rsidRDefault="00000000">
      <w:r>
        <w:t>La nota grupal de cada proyecto (Gru, sobre 10) se compone de:</w:t>
      </w:r>
    </w:p>
    <w:p w14:paraId="4B58CEC4" w14:textId="77777777" w:rsidR="00460383" w:rsidRDefault="00000000">
      <w:pPr>
        <w:numPr>
          <w:ilvl w:val="0"/>
          <w:numId w:val="2"/>
        </w:numPr>
      </w:pPr>
      <w:r>
        <w:t xml:space="preserve">Informe (Inf) — 50 %, </w:t>
      </w:r>
    </w:p>
    <w:p w14:paraId="290101DB" w14:textId="77777777" w:rsidR="00460383" w:rsidRDefault="00000000">
      <w:pPr>
        <w:numPr>
          <w:ilvl w:val="0"/>
          <w:numId w:val="2"/>
        </w:numPr>
      </w:pPr>
      <w:r>
        <w:t>Exposición (Expo) — 40 %</w:t>
      </w:r>
    </w:p>
    <w:p w14:paraId="26B1016E" w14:textId="77777777" w:rsidR="00460383" w:rsidRDefault="00000000">
      <w:pPr>
        <w:numPr>
          <w:ilvl w:val="0"/>
          <w:numId w:val="2"/>
        </w:numPr>
      </w:pPr>
      <w:r>
        <w:t>Defensa oral-Preguntas (Def) — 10 %.</w:t>
      </w:r>
    </w:p>
    <w:p w14:paraId="6F90AEC0" w14:textId="77777777" w:rsidR="00460383" w:rsidRDefault="00460383">
      <w:pPr>
        <w:ind w:left="567"/>
      </w:pPr>
    </w:p>
    <w:p w14:paraId="1C8CFB21" w14:textId="77777777" w:rsidR="00460383" w:rsidRDefault="00000000">
      <w:r>
        <w:t xml:space="preserve">Tipología de informe, distinta en cada proyecto: </w:t>
      </w:r>
    </w:p>
    <w:p w14:paraId="678AF2BC" w14:textId="77777777" w:rsidR="00460383" w:rsidRDefault="00000000">
      <w:pPr>
        <w:numPr>
          <w:ilvl w:val="0"/>
          <w:numId w:val="1"/>
        </w:numPr>
      </w:pPr>
      <w:r>
        <w:t xml:space="preserve">Caso 1, informe técnico; </w:t>
      </w:r>
    </w:p>
    <w:p w14:paraId="588EF6A7" w14:textId="77777777" w:rsidR="00460383" w:rsidRDefault="00000000">
      <w:pPr>
        <w:numPr>
          <w:ilvl w:val="0"/>
          <w:numId w:val="1"/>
        </w:numPr>
      </w:pPr>
      <w:r>
        <w:t xml:space="preserve">Caso 2, informe ejecutivo dirigido a empresa; </w:t>
      </w:r>
    </w:p>
    <w:p w14:paraId="7F995522" w14:textId="77777777" w:rsidR="00460383" w:rsidRDefault="00000000">
      <w:pPr>
        <w:numPr>
          <w:ilvl w:val="0"/>
          <w:numId w:val="1"/>
        </w:numPr>
      </w:pPr>
      <w:r>
        <w:t xml:space="preserve">Caso 3, artículo de investigación. </w:t>
      </w:r>
    </w:p>
    <w:p w14:paraId="3863EBD8" w14:textId="77777777" w:rsidR="00460383" w:rsidRDefault="00460383"/>
    <w:p w14:paraId="6C5B85EC" w14:textId="77777777" w:rsidR="00460383" w:rsidRDefault="00000000">
      <w:r>
        <w:lastRenderedPageBreak/>
        <w:t xml:space="preserve">Todo informe incluye un apartado obligatorio de </w:t>
      </w:r>
      <w:r>
        <w:rPr>
          <w:b/>
          <w:bCs/>
        </w:rPr>
        <w:t>reflexión sobre el uso ético de la IA</w:t>
      </w:r>
      <w:r>
        <w:t xml:space="preserve"> (qué herramientas se usaron, para qué y cómo se verificaron sus respuestas); sin ese apartado, el informe no puede alcanzar la calificación de «excelente».</w:t>
      </w:r>
    </w:p>
    <w:p w14:paraId="0E2DA161" w14:textId="77777777" w:rsidR="00460383" w:rsidRDefault="00460383"/>
    <w:p w14:paraId="0794B66C" w14:textId="77777777" w:rsidR="00460383" w:rsidRDefault="00000000">
      <w:r>
        <w:t>La nota individual de cada proyecto es Gru =  (0,5*Inf + 0,4*Expo + 0,1*Def)*Co, donde Co es el factor individual de implicación.</w:t>
      </w:r>
    </w:p>
    <w:p w14:paraId="6F26F8D7" w14:textId="77777777" w:rsidR="00460383" w:rsidRDefault="00000000">
      <w:pPr>
        <w:pStyle w:val="Ttulo2"/>
      </w:pPr>
      <w:r>
        <w:t>7.2. Factor individual Co (w): bitácora y coevaluación 360</w:t>
      </w:r>
    </w:p>
    <w:p w14:paraId="4525455E" w14:textId="77777777" w:rsidR="00460383" w:rsidRDefault="00000000">
      <w:r>
        <w:t>El factor w pondera la nota grupal según la implicación de cada estudiante. Se obtiene de la bitácora individual y de la coevaluación 360 entre compañeros que se entregan con cada proyecto (§7.5), a partir de la mediana de las puntuaciones de implicación recibidas (escala 0–4) —robusta a un voto atípico—, que sitúa el factor en una de tres bandas:</w:t>
      </w:r>
    </w:p>
    <w:p w14:paraId="41E30B54" w14:textId="77777777" w:rsidR="00460383" w:rsidRDefault="00000000">
      <w:pPr>
        <w:numPr>
          <w:ilvl w:val="0"/>
          <w:numId w:val="2"/>
        </w:numPr>
      </w:pPr>
      <w:sdt>
        <w:sdtPr>
          <w:tag w:val="goog_rdk_2"/>
          <w:id w:val="-395536221"/>
        </w:sdtPr>
        <w:sdtContent>
          <w:r>
            <w:rPr>
              <w:rFonts w:ascii="Arial Unicode MS" w:eastAsia="Arial Unicode MS" w:hAnsi="Arial Unicode MS" w:cs="Arial Unicode MS"/>
            </w:rPr>
            <w:t>Implicación plena (mediana ≥ 3): w = 1,00.</w:t>
          </w:r>
        </w:sdtContent>
      </w:sdt>
    </w:p>
    <w:p w14:paraId="3E3669BC" w14:textId="77777777" w:rsidR="00460383" w:rsidRDefault="00000000">
      <w:pPr>
        <w:numPr>
          <w:ilvl w:val="0"/>
          <w:numId w:val="2"/>
        </w:numPr>
      </w:pPr>
      <w:r>
        <w:t>Implicación parcial (mediana 1,5–2,9): w = 0,80.</w:t>
      </w:r>
    </w:p>
    <w:p w14:paraId="4883316E" w14:textId="77777777" w:rsidR="00460383" w:rsidRDefault="00000000">
      <w:pPr>
        <w:numPr>
          <w:ilvl w:val="0"/>
          <w:numId w:val="2"/>
        </w:numPr>
      </w:pPr>
      <w:sdt>
        <w:sdtPr>
          <w:tag w:val="goog_rdk_3"/>
          <w:id w:val="-1341625719"/>
        </w:sdtPr>
        <w:sdtContent>
          <w:r>
            <w:rPr>
              <w:rFonts w:ascii="Arial Unicode MS" w:eastAsia="Arial Unicode MS" w:hAnsi="Arial Unicode MS" w:cs="Arial Unicode MS"/>
            </w:rPr>
            <w:t>Implicación insuficiente (mediana &lt; 1,5): w ≤ 0,50.</w:t>
          </w:r>
        </w:sdtContent>
      </w:sdt>
    </w:p>
    <w:p w14:paraId="6C0C2485" w14:textId="77777777" w:rsidR="00460383" w:rsidRDefault="00000000">
      <w:r>
        <w:t>Salvaguardas: las coevaluaciones emitidas por quien queda en la banda insuficiente no computan al evaluar a los demás; no cumplimentar la bitácora o la coevaluación limita w a un máximo de 0,80; y el docente revisa, con la bitácora y la evidencia de contribución, cualquier discrepancia antes de fijar w.</w:t>
      </w:r>
    </w:p>
    <w:p w14:paraId="28E2012C" w14:textId="77777777" w:rsidR="00460383" w:rsidRDefault="00000000">
      <w:pPr>
        <w:pStyle w:val="Ttulo2"/>
      </w:pPr>
      <w:r>
        <w:t xml:space="preserve">7.3. Examen oral individual (Ind) </w:t>
      </w:r>
    </w:p>
    <w:p w14:paraId="0153BC65" w14:textId="77777777" w:rsidR="00460383" w:rsidRDefault="00000000">
      <w:r>
        <w:t>Individual, en sesión de tutoría, en fecha posterior a la corrección del proyecto y no más de una semana después. Duración de 10 a 12 minutos, sin apoyos salvo la propia presentación. Se organiza en tres bloques, cada uno con una cuestión:</w:t>
      </w:r>
    </w:p>
    <w:p w14:paraId="046F2624" w14:textId="77777777" w:rsidR="00460383" w:rsidRDefault="00000000">
      <w:pPr>
        <w:numPr>
          <w:ilvl w:val="0"/>
          <w:numId w:val="2"/>
        </w:numPr>
      </w:pPr>
      <w:r>
        <w:t>Bloque 1 (40 %): justificación de respuestas e interpretación de un resultado.</w:t>
      </w:r>
    </w:p>
    <w:p w14:paraId="3716F671" w14:textId="77777777" w:rsidR="00460383" w:rsidRDefault="00000000">
      <w:pPr>
        <w:numPr>
          <w:ilvl w:val="0"/>
          <w:numId w:val="2"/>
        </w:numPr>
      </w:pPr>
      <w:r>
        <w:t>Bloque 2 (35 %): solución a un punto débil señalado en la corrección.</w:t>
      </w:r>
    </w:p>
    <w:p w14:paraId="06F91757" w14:textId="77777777" w:rsidR="00460383" w:rsidRDefault="00000000">
      <w:pPr>
        <w:numPr>
          <w:ilvl w:val="0"/>
          <w:numId w:val="2"/>
        </w:numPr>
      </w:pPr>
      <w:r>
        <w:t>Bloque 3 (25 %): extensión o nuevo reto sobre el problema ya resuelto.</w:t>
      </w:r>
    </w:p>
    <w:p w14:paraId="1D01275E" w14:textId="77777777" w:rsidR="00460383" w:rsidRDefault="00000000">
      <w:sdt>
        <w:sdtPr>
          <w:tag w:val="goog_rdk_4"/>
          <w:id w:val="-1332375286"/>
        </w:sdtPr>
        <w:sdtContent>
          <w:r>
            <w:rPr>
              <w:rFonts w:ascii="Arial Unicode MS" w:eastAsia="Arial Unicode MS" w:hAnsi="Arial Unicode MS" w:cs="Arial Unicode MS"/>
            </w:rPr>
            <w:t>Cada bloque se puntúa 0–3 y la nota del oral resulta de la escala única. Mínimo de la prueba: ≥ 3,5/10 y bloque 1 distinto de 0 (no puede dejarse sin responder la justificación/interpretación).</w:t>
          </w:r>
        </w:sdtContent>
      </w:sdt>
    </w:p>
    <w:p w14:paraId="505014EB" w14:textId="77777777" w:rsidR="00460383" w:rsidRDefault="00000000">
      <w:pPr>
        <w:pStyle w:val="Ttulo2"/>
      </w:pPr>
      <w:r>
        <w:t xml:space="preserve">7.4. Rúbricas </w:t>
      </w:r>
    </w:p>
    <w:p w14:paraId="2B3F580F" w14:textId="700071D8" w:rsidR="00460383" w:rsidRDefault="00000000">
      <w:r>
        <w:t>Todas las rúbricas usan la escala 0–3. Aquí se listan los criterios y sus pesos; los descriptores de cada nivel figuran en el libro de rúbricas (</w:t>
      </w:r>
      <w:hyperlink r:id="rId9">
        <w:r>
          <w:rPr>
            <w:color w:val="1155CC"/>
            <w:u w:val="single"/>
          </w:rPr>
          <w:t>evaluacion/Rubricas_</w:t>
        </w:r>
        <w:r w:rsidR="00383549">
          <w:rPr>
            <w:color w:val="1155CC"/>
            <w:u w:val="single"/>
          </w:rPr>
          <w:t>evalu</w:t>
        </w:r>
        <w:r>
          <w:rPr>
            <w:color w:val="1155CC"/>
            <w:u w:val="single"/>
          </w:rPr>
          <w:t>acion.xlsx</w:t>
        </w:r>
      </w:hyperlink>
      <w:r>
        <w:t>). Las tres primeras se aplican en la evaluación continua; las dos últimas, solo en el examen final.</w:t>
      </w:r>
    </w:p>
    <w:p w14:paraId="38220560" w14:textId="77777777" w:rsidR="00460383" w:rsidRDefault="00460383">
      <w:pPr>
        <w:rPr>
          <w:b/>
          <w:bCs/>
        </w:rPr>
      </w:pPr>
    </w:p>
    <w:p w14:paraId="0C350A1F" w14:textId="77777777" w:rsidR="00460383" w:rsidRDefault="00000000">
      <w:pPr>
        <w:pStyle w:val="Ttulo3"/>
      </w:pPr>
      <w:bookmarkStart w:id="2" w:name="_heading=h.ellk8ufuexs0" w:colFirst="0" w:colLast="0"/>
      <w:bookmarkEnd w:id="2"/>
      <w:r>
        <w:t>7.4.1 Rúbrica del informe</w:t>
      </w:r>
    </w:p>
    <w:p w14:paraId="69D1FD5C" w14:textId="77777777" w:rsidR="00460383" w:rsidRDefault="00000000">
      <w:pPr>
        <w:numPr>
          <w:ilvl w:val="0"/>
          <w:numId w:val="2"/>
        </w:numPr>
      </w:pPr>
      <w:r>
        <w:t>Problema, audiencia y objetivos — 20 %.</w:t>
      </w:r>
    </w:p>
    <w:p w14:paraId="37F191CE" w14:textId="77777777" w:rsidR="00460383" w:rsidRDefault="00000000">
      <w:pPr>
        <w:numPr>
          <w:ilvl w:val="0"/>
          <w:numId w:val="2"/>
        </w:numPr>
      </w:pPr>
      <w:r>
        <w:t>Datos, método y reproducibilidad — 20 %.</w:t>
      </w:r>
    </w:p>
    <w:p w14:paraId="49736E71" w14:textId="77777777" w:rsidR="00460383" w:rsidRDefault="00000000">
      <w:pPr>
        <w:numPr>
          <w:ilvl w:val="0"/>
          <w:numId w:val="2"/>
        </w:numPr>
      </w:pPr>
      <w:r>
        <w:t>Resultados, visualización e interpretación — 30 %.</w:t>
      </w:r>
    </w:p>
    <w:p w14:paraId="6C60C063" w14:textId="77777777" w:rsidR="00460383" w:rsidRDefault="00000000">
      <w:pPr>
        <w:numPr>
          <w:ilvl w:val="0"/>
          <w:numId w:val="2"/>
        </w:numPr>
      </w:pPr>
      <w:r>
        <w:t>Redacción, formato y referencias (APA 7) — 20 %.</w:t>
      </w:r>
    </w:p>
    <w:p w14:paraId="56C17FEA" w14:textId="77777777" w:rsidR="00460383" w:rsidRDefault="00000000">
      <w:pPr>
        <w:numPr>
          <w:ilvl w:val="0"/>
          <w:numId w:val="2"/>
        </w:numPr>
      </w:pPr>
      <w:r>
        <w:t>Uso ético de la IA — 10 %.</w:t>
      </w:r>
    </w:p>
    <w:p w14:paraId="585507DA" w14:textId="77777777" w:rsidR="00460383" w:rsidRDefault="00000000">
      <w:pPr>
        <w:pStyle w:val="Ttulo3"/>
      </w:pPr>
      <w:bookmarkStart w:id="3" w:name="_heading=h.h6cw15vdlisn" w:colFirst="0" w:colLast="0"/>
      <w:bookmarkEnd w:id="3"/>
      <w:r>
        <w:t>7.4.2 Rúbrica de exposición y defensa</w:t>
      </w:r>
    </w:p>
    <w:p w14:paraId="511B19D9" w14:textId="77777777" w:rsidR="00460383" w:rsidRDefault="00000000">
      <w:pPr>
        <w:numPr>
          <w:ilvl w:val="0"/>
          <w:numId w:val="2"/>
        </w:numPr>
      </w:pPr>
      <w:r>
        <w:t>Narrativa: hilo entre audiencia, contexto, resultados, implicaciones y cierre — 12,5 %.</w:t>
      </w:r>
    </w:p>
    <w:p w14:paraId="17BB8A01" w14:textId="77777777" w:rsidR="00460383" w:rsidRDefault="00000000">
      <w:pPr>
        <w:numPr>
          <w:ilvl w:val="0"/>
          <w:numId w:val="2"/>
        </w:numPr>
      </w:pPr>
      <w:r>
        <w:t>Soporte visual: estética y estructura de las diapositivas — 7,5 %.</w:t>
      </w:r>
    </w:p>
    <w:p w14:paraId="10A9F89F" w14:textId="77777777" w:rsidR="00460383" w:rsidRDefault="00000000">
      <w:pPr>
        <w:numPr>
          <w:ilvl w:val="0"/>
          <w:numId w:val="2"/>
        </w:numPr>
      </w:pPr>
      <w:r>
        <w:t>Foco: ideas clave, resultados y justificaciones — 12,5 %.</w:t>
      </w:r>
    </w:p>
    <w:p w14:paraId="63B39E56" w14:textId="77777777" w:rsidR="00460383" w:rsidRDefault="00000000">
      <w:pPr>
        <w:numPr>
          <w:ilvl w:val="0"/>
          <w:numId w:val="2"/>
        </w:numPr>
      </w:pPr>
      <w:r>
        <w:t>Desempeño: oralidad, tiempos y decoro — 7,5 %.</w:t>
      </w:r>
    </w:p>
    <w:p w14:paraId="7CCE3A61" w14:textId="77777777" w:rsidR="00460383" w:rsidRDefault="00000000">
      <w:pPr>
        <w:numPr>
          <w:ilvl w:val="0"/>
          <w:numId w:val="2"/>
        </w:numPr>
      </w:pPr>
      <w:r>
        <w:t>Defensa (Q&amp;A): corrección y justificación de la respuesta — 10 %.</w:t>
      </w:r>
    </w:p>
    <w:p w14:paraId="0EA2A615" w14:textId="77777777" w:rsidR="00460383" w:rsidRDefault="00000000">
      <w:pPr>
        <w:pStyle w:val="Ttulo3"/>
      </w:pPr>
      <w:bookmarkStart w:id="4" w:name="_heading=h.m9uktl9xl680" w:colFirst="0" w:colLast="0"/>
      <w:bookmarkEnd w:id="4"/>
      <w:r>
        <w:lastRenderedPageBreak/>
        <w:t>7.4.3 Rúbrica del examen oral</w:t>
      </w:r>
    </w:p>
    <w:p w14:paraId="10CA3D70" w14:textId="77777777" w:rsidR="00460383" w:rsidRDefault="00000000">
      <w:pPr>
        <w:numPr>
          <w:ilvl w:val="0"/>
          <w:numId w:val="2"/>
        </w:numPr>
      </w:pPr>
      <w:r>
        <w:t>Bloque 1 · Justificaciones técnicas e interpretación — 40 %.</w:t>
      </w:r>
    </w:p>
    <w:p w14:paraId="39A3A1F1" w14:textId="77777777" w:rsidR="00460383" w:rsidRDefault="00000000">
      <w:pPr>
        <w:numPr>
          <w:ilvl w:val="0"/>
          <w:numId w:val="2"/>
        </w:numPr>
      </w:pPr>
      <w:r>
        <w:t>Bloque 2 · Solución a un punto débil — 35 %.</w:t>
      </w:r>
    </w:p>
    <w:p w14:paraId="5588737D" w14:textId="77777777" w:rsidR="00460383" w:rsidRDefault="00000000">
      <w:pPr>
        <w:numPr>
          <w:ilvl w:val="0"/>
          <w:numId w:val="2"/>
        </w:numPr>
      </w:pPr>
      <w:r>
        <w:t>Bloque 3 · Extensión / nuevos retos — 25 %.</w:t>
      </w:r>
    </w:p>
    <w:p w14:paraId="6EC3738D" w14:textId="77777777" w:rsidR="00460383" w:rsidRDefault="00000000">
      <w:pPr>
        <w:pStyle w:val="Ttulo3"/>
      </w:pPr>
      <w:bookmarkStart w:id="5" w:name="_heading=h.oalppmhpky43" w:colFirst="0" w:colLast="0"/>
      <w:bookmarkEnd w:id="5"/>
      <w:r>
        <w:t>7.4.5 Rúbricas del examen final</w:t>
      </w:r>
    </w:p>
    <w:p w14:paraId="5B34CCB3" w14:textId="77777777" w:rsidR="00460383" w:rsidRDefault="00000000">
      <w:r>
        <w:t>Aplicables solo en la evaluación final (informe 50 % + defensa oral 50 %). No incluyen uso de IA ni referencias; el foco es técnico y comunicativo.</w:t>
      </w:r>
    </w:p>
    <w:p w14:paraId="139DDF33" w14:textId="77777777" w:rsidR="00460383" w:rsidRDefault="00000000">
      <w:pPr>
        <w:numPr>
          <w:ilvl w:val="0"/>
          <w:numId w:val="4"/>
        </w:numPr>
        <w:rPr>
          <w:b/>
          <w:bCs/>
        </w:rPr>
      </w:pPr>
      <w:r>
        <w:rPr>
          <w:b/>
          <w:bCs/>
        </w:rPr>
        <w:t>Examen final · informe (50 %)</w:t>
      </w:r>
    </w:p>
    <w:p w14:paraId="2A8857C8" w14:textId="77777777" w:rsidR="00460383" w:rsidRDefault="00000000">
      <w:pPr>
        <w:numPr>
          <w:ilvl w:val="1"/>
          <w:numId w:val="4"/>
        </w:numPr>
      </w:pPr>
      <w:r>
        <w:t>Justificaciones técnicas e interpretación de resultados — 35 %.</w:t>
      </w:r>
    </w:p>
    <w:p w14:paraId="4B9C6C99" w14:textId="77777777" w:rsidR="00460383" w:rsidRDefault="00000000">
      <w:pPr>
        <w:numPr>
          <w:ilvl w:val="1"/>
          <w:numId w:val="4"/>
        </w:numPr>
      </w:pPr>
      <w:r>
        <w:t>Soluciones e implicaciones derivadas — 25 %.</w:t>
      </w:r>
    </w:p>
    <w:p w14:paraId="4AFEF45C" w14:textId="77777777" w:rsidR="00460383" w:rsidRDefault="00000000">
      <w:pPr>
        <w:numPr>
          <w:ilvl w:val="1"/>
          <w:numId w:val="4"/>
        </w:numPr>
      </w:pPr>
      <w:r>
        <w:t>Comunicación escrita — 20 %.</w:t>
      </w:r>
    </w:p>
    <w:p w14:paraId="31F151E7" w14:textId="77777777" w:rsidR="00460383" w:rsidRDefault="00000000">
      <w:pPr>
        <w:numPr>
          <w:ilvl w:val="1"/>
          <w:numId w:val="4"/>
        </w:numPr>
      </w:pPr>
      <w:r>
        <w:t>Ajuste al formato estandarizado — 20 %.</w:t>
      </w:r>
    </w:p>
    <w:p w14:paraId="11DFD4A7" w14:textId="77777777" w:rsidR="00460383" w:rsidRDefault="00000000">
      <w:pPr>
        <w:numPr>
          <w:ilvl w:val="0"/>
          <w:numId w:val="4"/>
        </w:numPr>
        <w:rPr>
          <w:b/>
          <w:bCs/>
        </w:rPr>
      </w:pPr>
      <w:r>
        <w:rPr>
          <w:b/>
          <w:bCs/>
        </w:rPr>
        <w:t>Examen final · defensa oral (50 %)</w:t>
      </w:r>
    </w:p>
    <w:p w14:paraId="52EDB3F4" w14:textId="77777777" w:rsidR="00460383" w:rsidRDefault="00000000">
      <w:pPr>
        <w:numPr>
          <w:ilvl w:val="1"/>
          <w:numId w:val="4"/>
        </w:numPr>
      </w:pPr>
      <w:r>
        <w:t>Justificación y corrección técnica — 40 %.</w:t>
      </w:r>
    </w:p>
    <w:p w14:paraId="041D74B5" w14:textId="77777777" w:rsidR="00460383" w:rsidRDefault="00000000">
      <w:pPr>
        <w:numPr>
          <w:ilvl w:val="1"/>
          <w:numId w:val="4"/>
        </w:numPr>
      </w:pPr>
      <w:r>
        <w:t>Interpretación — 35 %.</w:t>
      </w:r>
    </w:p>
    <w:p w14:paraId="7912E7CB" w14:textId="77777777" w:rsidR="00460383" w:rsidRDefault="00000000">
      <w:pPr>
        <w:numPr>
          <w:ilvl w:val="1"/>
          <w:numId w:val="4"/>
        </w:numPr>
      </w:pPr>
      <w:r>
        <w:t>Comunicación oral — 25 %.</w:t>
      </w:r>
    </w:p>
    <w:p w14:paraId="65533EBF" w14:textId="77777777" w:rsidR="00460383" w:rsidRDefault="00000000">
      <w:pPr>
        <w:pStyle w:val="Ttulo2"/>
      </w:pPr>
      <w:r>
        <w:t>7.5. Bitácora y coevaluación 360</w:t>
      </w:r>
    </w:p>
    <w:p w14:paraId="459B03B9" w14:textId="77777777" w:rsidR="00460383" w:rsidRDefault="00000000">
      <w:r>
        <w:t>Cada estudiante entrega, con cada proyecto, esta ficha individual y confidencial. Su no entrega penaliza el factor w.</w:t>
      </w:r>
    </w:p>
    <w:p w14:paraId="66EA9DFB" w14:textId="77777777" w:rsidR="00460383" w:rsidRDefault="00000000">
      <w:r>
        <w:rPr>
          <w:b/>
          <w:bCs/>
        </w:rPr>
        <w:t>Bitácora individual</w:t>
      </w:r>
    </w:p>
    <w:p w14:paraId="51BB94DA" w14:textId="77777777" w:rsidR="00460383" w:rsidRDefault="00000000">
      <w:pPr>
        <w:numPr>
          <w:ilvl w:val="0"/>
          <w:numId w:val="2"/>
        </w:numPr>
      </w:pPr>
      <w:r>
        <w:t>Cumplimiento, contribuciones y colaboración: rol asumido, tareas realizadas (lista concreta) e incidencias o bloqueos relevantes.</w:t>
      </w:r>
    </w:p>
    <w:p w14:paraId="244A53E7" w14:textId="77777777" w:rsidR="00460383" w:rsidRDefault="00000000">
      <w:pPr>
        <w:numPr>
          <w:ilvl w:val="0"/>
          <w:numId w:val="2"/>
        </w:numPr>
      </w:pPr>
      <w:r>
        <w:t>Valoraciones: uso de recursos (apuntes/IA), percepción del aprendizaje adquirido y valoración global del trabajo realizado.</w:t>
      </w:r>
    </w:p>
    <w:p w14:paraId="52817D30" w14:textId="77777777" w:rsidR="00460383" w:rsidRDefault="00000000">
      <w:r>
        <w:rPr>
          <w:b/>
          <w:bCs/>
        </w:rPr>
        <w:t>Coevaluación 360 (puntúa a cada compañero/a de 0 a 4 en cada ítem)</w:t>
      </w:r>
    </w:p>
    <w:p w14:paraId="4CAC8416" w14:textId="77777777" w:rsidR="00460383" w:rsidRDefault="00000000">
      <w:pPr>
        <w:numPr>
          <w:ilvl w:val="0"/>
          <w:numId w:val="2"/>
        </w:numPr>
      </w:pPr>
      <w:r>
        <w:t>Cumplimiento: realizó las tareas propias de su rol y respetó los plazos.</w:t>
      </w:r>
    </w:p>
    <w:p w14:paraId="11541E2E" w14:textId="77777777" w:rsidR="00460383" w:rsidRDefault="00000000">
      <w:pPr>
        <w:numPr>
          <w:ilvl w:val="0"/>
          <w:numId w:val="2"/>
        </w:numPr>
      </w:pPr>
      <w:r>
        <w:t>Contribución: aportó a la calidad del trabajo.</w:t>
      </w:r>
    </w:p>
    <w:p w14:paraId="63168A8C" w14:textId="77777777" w:rsidR="00460383" w:rsidRDefault="00000000">
      <w:pPr>
        <w:numPr>
          <w:ilvl w:val="0"/>
          <w:numId w:val="2"/>
        </w:numPr>
      </w:pPr>
      <w:r>
        <w:t>Colaboración: facilitó el trabajo del equipo.</w:t>
      </w:r>
    </w:p>
    <w:p w14:paraId="72CE13C5" w14:textId="77777777" w:rsidR="00460383" w:rsidRDefault="00000000">
      <w:r>
        <w:t>Puede añadirse un comentario breve para justificar puntuaciones extremas; el docente puede contrastar las coevaluaciones con la evidencia de contribución (commits, bitácora).</w:t>
      </w:r>
    </w:p>
    <w:p w14:paraId="66D95085" w14:textId="77777777" w:rsidR="00460383" w:rsidRDefault="00000000">
      <w:pPr>
        <w:pStyle w:val="Ttulo1"/>
      </w:pPr>
      <w:r>
        <w:t>8. Bibliografía</w:t>
      </w:r>
    </w:p>
    <w:p w14:paraId="39F2E425" w14:textId="77777777" w:rsidR="00460383" w:rsidRDefault="00000000">
      <w:pPr>
        <w:spacing w:after="120" w:line="276" w:lineRule="auto"/>
      </w:pPr>
      <w:r>
        <w:rPr>
          <w:i/>
          <w:iCs/>
        </w:rPr>
        <w:t>Referencias en formato APA (7.ª edición).</w:t>
      </w:r>
    </w:p>
    <w:p w14:paraId="36273383" w14:textId="77777777" w:rsidR="00460383" w:rsidRDefault="00000000">
      <w:pPr>
        <w:pStyle w:val="Ttulo2"/>
      </w:pPr>
      <w:r>
        <w:t>Libros y artículos</w:t>
      </w:r>
    </w:p>
    <w:p w14:paraId="18EFFACA" w14:textId="77777777" w:rsidR="00460383" w:rsidRDefault="00000000">
      <w:pPr>
        <w:spacing w:after="140" w:line="276" w:lineRule="auto"/>
        <w:ind w:left="567" w:hanging="567"/>
      </w:pPr>
      <w:r>
        <w:t xml:space="preserve">Agresti, A. (2015). </w:t>
      </w:r>
      <w:r>
        <w:rPr>
          <w:i/>
          <w:iCs/>
        </w:rPr>
        <w:t>Foundations of linear and generalized linear models</w:t>
      </w:r>
      <w:r>
        <w:t>. Wiley.</w:t>
      </w:r>
    </w:p>
    <w:p w14:paraId="4974D4D3" w14:textId="77777777" w:rsidR="00460383" w:rsidRDefault="00000000">
      <w:pPr>
        <w:spacing w:after="140" w:line="276" w:lineRule="auto"/>
        <w:ind w:left="567" w:hanging="567"/>
      </w:pPr>
      <w:r>
        <w:t xml:space="preserve">Aitkin, M., &amp; Clayton, D. (1980). The fitting of exponential, Weibull and extreme value distributions to complex censored survival data using GLIM. </w:t>
      </w:r>
      <w:r>
        <w:rPr>
          <w:i/>
          <w:iCs/>
        </w:rPr>
        <w:t>Journal of the Royal Statistical Society. Series C (Applied Statistics), 29</w:t>
      </w:r>
      <w:r>
        <w:t xml:space="preserve">(2), 156–163. </w:t>
      </w:r>
      <w:hyperlink r:id="rId10">
        <w:r>
          <w:rPr>
            <w:color w:val="0563C1"/>
            <w:u w:val="single"/>
          </w:rPr>
          <w:t>https://doi.org/10.2307/2986139</w:t>
        </w:r>
      </w:hyperlink>
    </w:p>
    <w:p w14:paraId="22157A65" w14:textId="77777777" w:rsidR="00460383" w:rsidRDefault="00000000">
      <w:pPr>
        <w:spacing w:before="240" w:after="240" w:line="276" w:lineRule="auto"/>
        <w:rPr>
          <w:color w:val="1155CC"/>
          <w:u w:val="single"/>
        </w:rPr>
      </w:pPr>
      <w:r>
        <w:t xml:space="preserve">Allison, P. D. (1982). Discrete-time methods for the analysis of event histories. </w:t>
      </w:r>
      <w:r>
        <w:rPr>
          <w:i/>
          <w:iCs/>
        </w:rPr>
        <w:t>Sociological Methodology, 13</w:t>
      </w:r>
      <w:r>
        <w:t>, 61–98.</w:t>
      </w:r>
      <w:hyperlink r:id="rId11">
        <w:r>
          <w:t xml:space="preserve"> </w:t>
        </w:r>
      </w:hyperlink>
      <w:hyperlink r:id="rId12">
        <w:r>
          <w:rPr>
            <w:color w:val="1155CC"/>
            <w:u w:val="single"/>
          </w:rPr>
          <w:t>https://doi.org/10.2307/270718</w:t>
        </w:r>
      </w:hyperlink>
    </w:p>
    <w:p w14:paraId="2D054311" w14:textId="77777777" w:rsidR="00460383" w:rsidRDefault="00000000">
      <w:pPr>
        <w:spacing w:after="140" w:line="276" w:lineRule="auto"/>
        <w:ind w:left="567" w:hanging="567"/>
      </w:pPr>
      <w:r>
        <w:t xml:space="preserve">Cox, D. R. (1972). Regression models and life-tables. </w:t>
      </w:r>
      <w:r>
        <w:rPr>
          <w:i/>
          <w:iCs/>
        </w:rPr>
        <w:t>Journal of the Royal Statistical Society: Series B (Methodological), 34</w:t>
      </w:r>
      <w:r>
        <w:t>(2), 187–202.</w:t>
      </w:r>
      <w:hyperlink r:id="rId13">
        <w:r>
          <w:t xml:space="preserve"> </w:t>
        </w:r>
      </w:hyperlink>
      <w:hyperlink r:id="rId14">
        <w:r>
          <w:rPr>
            <w:color w:val="1155CC"/>
            <w:u w:val="single"/>
          </w:rPr>
          <w:t>https://doi.org/10.1111/j.2517-6161.1972.tb00899.x</w:t>
        </w:r>
      </w:hyperlink>
    </w:p>
    <w:p w14:paraId="3DEABCDE" w14:textId="77777777" w:rsidR="00460383" w:rsidRDefault="00000000">
      <w:pPr>
        <w:spacing w:after="140" w:line="276" w:lineRule="auto"/>
        <w:ind w:left="567" w:hanging="567"/>
      </w:pPr>
      <w:r>
        <w:lastRenderedPageBreak/>
        <w:t xml:space="preserve">Dobson, A. J., &amp; Barnett, A. G. (2018). </w:t>
      </w:r>
      <w:r>
        <w:rPr>
          <w:i/>
          <w:iCs/>
        </w:rPr>
        <w:t>An introduction to generalized linear models</w:t>
      </w:r>
      <w:r>
        <w:t xml:space="preserve"> (4.ª ed.). Chapman and Hall/CRC. </w:t>
      </w:r>
      <w:hyperlink r:id="rId15">
        <w:r>
          <w:rPr>
            <w:color w:val="0563C1"/>
            <w:u w:val="single"/>
          </w:rPr>
          <w:t>https://doi.org/10.1201/9781315182780</w:t>
        </w:r>
      </w:hyperlink>
    </w:p>
    <w:p w14:paraId="715C5462" w14:textId="77777777" w:rsidR="00460383" w:rsidRDefault="00000000">
      <w:pPr>
        <w:spacing w:after="140" w:line="276" w:lineRule="auto"/>
        <w:ind w:left="567" w:hanging="567"/>
      </w:pPr>
      <w:r>
        <w:t xml:space="preserve">Faraway, J. J. (2016). </w:t>
      </w:r>
      <w:r>
        <w:rPr>
          <w:i/>
          <w:iCs/>
        </w:rPr>
        <w:t>Extending the linear model with R: Generalized linear, mixed effects and nonparametric regression models</w:t>
      </w:r>
      <w:r>
        <w:t xml:space="preserve"> (2.ª ed.). Chapman and Hall/CRC.</w:t>
      </w:r>
    </w:p>
    <w:p w14:paraId="7E1E153B" w14:textId="77777777" w:rsidR="00460383" w:rsidRDefault="00000000">
      <w:pPr>
        <w:spacing w:after="140" w:line="276" w:lineRule="auto"/>
        <w:ind w:left="567" w:hanging="567"/>
      </w:pPr>
      <w:r>
        <w:t xml:space="preserve">Fox, J. (2016). </w:t>
      </w:r>
      <w:r>
        <w:rPr>
          <w:i/>
          <w:iCs/>
        </w:rPr>
        <w:t>Applied regression analysis and generalized linear models</w:t>
      </w:r>
      <w:r>
        <w:t xml:space="preserve"> (3.ª ed.). SAGE.</w:t>
      </w:r>
    </w:p>
    <w:p w14:paraId="63216C59" w14:textId="77777777" w:rsidR="00460383" w:rsidRDefault="00000000">
      <w:pPr>
        <w:spacing w:after="140" w:line="276" w:lineRule="auto"/>
        <w:ind w:left="567" w:hanging="567"/>
      </w:pPr>
      <w:r>
        <w:t xml:space="preserve">Hilbe, J. M. (2014). </w:t>
      </w:r>
      <w:r>
        <w:rPr>
          <w:i/>
          <w:iCs/>
        </w:rPr>
        <w:t>Modeling count data</w:t>
      </w:r>
      <w:r>
        <w:t>. Cambridge University Press.</w:t>
      </w:r>
    </w:p>
    <w:p w14:paraId="14466C2D" w14:textId="77777777" w:rsidR="00460383" w:rsidRDefault="00000000">
      <w:pPr>
        <w:spacing w:after="140" w:line="276" w:lineRule="auto"/>
        <w:ind w:left="567"/>
        <w:rPr>
          <w:color w:val="1155CC"/>
          <w:u w:val="single"/>
        </w:rPr>
      </w:pPr>
      <w:r>
        <w:t xml:space="preserve">Holford, T. R. (1980). The analysis of rates and of survivorship using log-linear models. </w:t>
      </w:r>
      <w:r>
        <w:rPr>
          <w:i/>
          <w:iCs/>
        </w:rPr>
        <w:t>Biometrics, 36</w:t>
      </w:r>
      <w:r>
        <w:t>(2), 299–305.</w:t>
      </w:r>
      <w:hyperlink r:id="rId16">
        <w:r>
          <w:t xml:space="preserve"> </w:t>
        </w:r>
      </w:hyperlink>
      <w:hyperlink r:id="rId17">
        <w:r>
          <w:rPr>
            <w:color w:val="1155CC"/>
            <w:u w:val="single"/>
          </w:rPr>
          <w:t>https://doi.org/10.2307/2529982</w:t>
        </w:r>
      </w:hyperlink>
    </w:p>
    <w:p w14:paraId="6CB0A5A7" w14:textId="77777777" w:rsidR="00460383" w:rsidRDefault="00000000">
      <w:pPr>
        <w:spacing w:after="140" w:line="276" w:lineRule="auto"/>
        <w:ind w:left="567"/>
        <w:rPr>
          <w:color w:val="1155CC"/>
          <w:u w:val="single"/>
        </w:rPr>
      </w:pPr>
      <w:r>
        <w:t xml:space="preserve">Laird, N., &amp; Olivier, D. (1981). Covariance analysis of censored survival data using log-linear analysis techniques. </w:t>
      </w:r>
      <w:r>
        <w:rPr>
          <w:i/>
          <w:iCs/>
        </w:rPr>
        <w:t>Journal of the American Statistical Association, 76</w:t>
      </w:r>
      <w:r>
        <w:t>(374), 231–240.</w:t>
      </w:r>
      <w:hyperlink r:id="rId18">
        <w:r>
          <w:t xml:space="preserve"> </w:t>
        </w:r>
      </w:hyperlink>
      <w:hyperlink r:id="rId19">
        <w:r>
          <w:rPr>
            <w:color w:val="1155CC"/>
            <w:u w:val="single"/>
          </w:rPr>
          <w:t>https://doi.org/10.1080/01621459.1981.10477634</w:t>
        </w:r>
      </w:hyperlink>
    </w:p>
    <w:p w14:paraId="4FCFF76C" w14:textId="77777777" w:rsidR="00460383" w:rsidRDefault="00460383">
      <w:pPr>
        <w:spacing w:after="140" w:line="276" w:lineRule="auto"/>
        <w:ind w:left="567" w:hanging="567"/>
      </w:pPr>
    </w:p>
    <w:p w14:paraId="7853B888" w14:textId="77777777" w:rsidR="00460383" w:rsidRDefault="00000000">
      <w:pPr>
        <w:spacing w:after="140" w:line="276" w:lineRule="auto"/>
        <w:ind w:left="567" w:hanging="567"/>
      </w:pPr>
      <w:r>
        <w:t xml:space="preserve">Hosmer, D. W., Lemeshow, S., &amp; Sturdivant, R. X. (2013). </w:t>
      </w:r>
      <w:r>
        <w:rPr>
          <w:i/>
          <w:iCs/>
        </w:rPr>
        <w:t>Applied logistic regression</w:t>
      </w:r>
      <w:r>
        <w:t xml:space="preserve"> (3.ª ed.). Wiley. </w:t>
      </w:r>
      <w:hyperlink r:id="rId20">
        <w:r>
          <w:rPr>
            <w:color w:val="0563C1"/>
            <w:u w:val="single"/>
          </w:rPr>
          <w:t>https://doi.org/10.1002/9781118548387</w:t>
        </w:r>
      </w:hyperlink>
    </w:p>
    <w:p w14:paraId="3EDB327E" w14:textId="77777777" w:rsidR="00460383" w:rsidRDefault="00000000">
      <w:pPr>
        <w:spacing w:after="140" w:line="276" w:lineRule="auto"/>
        <w:ind w:left="567" w:hanging="567"/>
      </w:pPr>
      <w:r>
        <w:t xml:space="preserve">McCullagh, P., &amp; Nelder, J. A. (1989). </w:t>
      </w:r>
      <w:r>
        <w:rPr>
          <w:i/>
          <w:iCs/>
        </w:rPr>
        <w:t>Generalized linear models</w:t>
      </w:r>
      <w:r>
        <w:t xml:space="preserve"> (2.ª ed.). Chapman and Hall/CRC.</w:t>
      </w:r>
    </w:p>
    <w:p w14:paraId="7A2CD3A0" w14:textId="77777777" w:rsidR="00460383" w:rsidRDefault="00000000">
      <w:pPr>
        <w:spacing w:after="140" w:line="276" w:lineRule="auto"/>
        <w:ind w:left="567" w:hanging="567"/>
      </w:pPr>
      <w:r>
        <w:t xml:space="preserve">Nelder, J. A., &amp; Wedderburn, R. W. M. (1972). Generalized linear models. </w:t>
      </w:r>
      <w:r>
        <w:rPr>
          <w:i/>
          <w:iCs/>
        </w:rPr>
        <w:t>Journal of the Royal Statistical Society. Series A (General), 135</w:t>
      </w:r>
      <w:r>
        <w:t xml:space="preserve">(3), 370–384. </w:t>
      </w:r>
      <w:hyperlink r:id="rId21">
        <w:r>
          <w:rPr>
            <w:color w:val="0563C1"/>
            <w:u w:val="single"/>
          </w:rPr>
          <w:t>https://doi.org/10.2307/2344614</w:t>
        </w:r>
      </w:hyperlink>
    </w:p>
    <w:p w14:paraId="24BFA8BF" w14:textId="77777777" w:rsidR="00460383" w:rsidRDefault="00000000">
      <w:pPr>
        <w:spacing w:before="240" w:after="240" w:line="276" w:lineRule="auto"/>
        <w:rPr>
          <w:color w:val="1155CC"/>
          <w:u w:val="single"/>
        </w:rPr>
      </w:pPr>
      <w:r>
        <w:t xml:space="preserve">Prentice, R. L., &amp; Gloeckler, L. A. (1978). Regression analysis of grouped survival data with application to breast cancer data. </w:t>
      </w:r>
      <w:r>
        <w:rPr>
          <w:i/>
          <w:iCs/>
        </w:rPr>
        <w:t>Biometrics, 34</w:t>
      </w:r>
      <w:r>
        <w:t>(1), 57–67.</w:t>
      </w:r>
      <w:hyperlink r:id="rId22">
        <w:r>
          <w:t xml:space="preserve"> </w:t>
        </w:r>
      </w:hyperlink>
      <w:hyperlink r:id="rId23">
        <w:r>
          <w:rPr>
            <w:color w:val="1155CC"/>
            <w:u w:val="single"/>
          </w:rPr>
          <w:t>https://doi.org/10.2307/2529588</w:t>
        </w:r>
      </w:hyperlink>
    </w:p>
    <w:p w14:paraId="67B97888" w14:textId="77777777" w:rsidR="00460383" w:rsidRDefault="00000000">
      <w:pPr>
        <w:spacing w:after="140" w:line="276" w:lineRule="auto"/>
        <w:ind w:left="567" w:hanging="567"/>
      </w:pPr>
      <w:r>
        <w:t xml:space="preserve">Therneau, T. M., &amp; Grambsch, P. M. (2000). </w:t>
      </w:r>
      <w:r>
        <w:rPr>
          <w:i/>
          <w:iCs/>
        </w:rPr>
        <w:t>Modeling survival data: Extending the Cox model</w:t>
      </w:r>
      <w:r>
        <w:t>. Springer.</w:t>
      </w:r>
    </w:p>
    <w:p w14:paraId="5151EEBE" w14:textId="77777777" w:rsidR="00460383" w:rsidRDefault="00000000">
      <w:pPr>
        <w:pStyle w:val="Ttulo2"/>
      </w:pPr>
      <w:r>
        <w:t>Software y paquetes de R</w:t>
      </w:r>
    </w:p>
    <w:p w14:paraId="4F40DA18" w14:textId="77777777" w:rsidR="00460383" w:rsidRDefault="00000000">
      <w:pPr>
        <w:spacing w:after="140" w:line="276" w:lineRule="auto"/>
        <w:ind w:left="567" w:hanging="567"/>
      </w:pPr>
      <w:r>
        <w:t xml:space="preserve">R Core Team. (2025). </w:t>
      </w:r>
      <w:r>
        <w:rPr>
          <w:i/>
          <w:iCs/>
        </w:rPr>
        <w:t>R: A language and environment for statistical computing</w:t>
      </w:r>
      <w:r>
        <w:t xml:space="preserve"> [Software]. R Foundation for Statistical Computing. </w:t>
      </w:r>
      <w:hyperlink r:id="rId24">
        <w:r>
          <w:rPr>
            <w:color w:val="0563C1"/>
            <w:u w:val="single"/>
          </w:rPr>
          <w:t>https://www.R-project.org/</w:t>
        </w:r>
      </w:hyperlink>
    </w:p>
    <w:p w14:paraId="05FBBA37" w14:textId="77777777" w:rsidR="00460383" w:rsidRDefault="00000000">
      <w:pPr>
        <w:spacing w:after="140" w:line="276" w:lineRule="auto"/>
        <w:ind w:left="567" w:hanging="567"/>
      </w:pPr>
      <w:r>
        <w:t xml:space="preserve">Bates, D., Mächler, M., Bolker, B., &amp; Walker, S. (2015). Fitting linear mixed-effects models using lme4 [paquete lme4]. </w:t>
      </w:r>
      <w:r>
        <w:rPr>
          <w:i/>
          <w:iCs/>
        </w:rPr>
        <w:t>Journal of Statistical Software, 67</w:t>
      </w:r>
      <w:r>
        <w:t xml:space="preserve">(1), 1–48. </w:t>
      </w:r>
      <w:hyperlink r:id="rId25">
        <w:r>
          <w:rPr>
            <w:color w:val="0563C1"/>
            <w:u w:val="single"/>
          </w:rPr>
          <w:t>https://doi.org/10.18637/jss.v067.i01</w:t>
        </w:r>
      </w:hyperlink>
    </w:p>
    <w:p w14:paraId="25238E3F" w14:textId="77777777" w:rsidR="00460383" w:rsidRDefault="00000000">
      <w:pPr>
        <w:spacing w:after="140" w:line="276" w:lineRule="auto"/>
        <w:ind w:left="567" w:hanging="567"/>
      </w:pPr>
      <w:r>
        <w:t xml:space="preserve">Friedman, J. H., Hastie, T., &amp; Tibshirani, R. (2010). Regularization paths for generalized linear models via coordinate descent [paquete glmnet]. </w:t>
      </w:r>
      <w:r>
        <w:rPr>
          <w:i/>
          <w:iCs/>
        </w:rPr>
        <w:t>Journal of Statistical Software, 33</w:t>
      </w:r>
      <w:r>
        <w:t xml:space="preserve">(1), 1–22. </w:t>
      </w:r>
      <w:hyperlink r:id="rId26">
        <w:r>
          <w:rPr>
            <w:color w:val="0563C1"/>
            <w:u w:val="single"/>
          </w:rPr>
          <w:t>https://doi.org/10.18637/jss.v033.i01</w:t>
        </w:r>
      </w:hyperlink>
    </w:p>
    <w:p w14:paraId="6014DE8D" w14:textId="77777777" w:rsidR="00460383" w:rsidRDefault="00000000">
      <w:pPr>
        <w:spacing w:after="140" w:line="276" w:lineRule="auto"/>
        <w:ind w:left="567" w:hanging="567"/>
      </w:pPr>
      <w:r>
        <w:t xml:space="preserve">Therneau, T. M. (2024). </w:t>
      </w:r>
      <w:r>
        <w:rPr>
          <w:i/>
          <w:iCs/>
        </w:rPr>
        <w:t>A package for survival analysis in R</w:t>
      </w:r>
      <w:r>
        <w:t xml:space="preserve"> [Paquete de R]. </w:t>
      </w:r>
      <w:hyperlink r:id="rId27">
        <w:r>
          <w:rPr>
            <w:color w:val="0563C1"/>
            <w:u w:val="single"/>
          </w:rPr>
          <w:t>https://CRAN.R-project.org/package=survival</w:t>
        </w:r>
      </w:hyperlink>
    </w:p>
    <w:p w14:paraId="1BAAB4FF" w14:textId="77777777" w:rsidR="00460383" w:rsidRDefault="00000000">
      <w:pPr>
        <w:spacing w:after="120" w:line="276" w:lineRule="auto"/>
      </w:pPr>
      <w:r>
        <w:rPr>
          <w:i/>
          <w:iCs/>
          <w:color w:val="777777"/>
        </w:rPr>
        <w:t>Complementarios sin cita formal: tidyverse, broom, marginaleffects, emmeans, DHARMa, performance, pROC, MASS, pscl, glmmTMB, survminer, flexsurv.</w:t>
      </w:r>
    </w:p>
    <w:p w14:paraId="7EEE5215" w14:textId="77777777" w:rsidR="00460383" w:rsidRDefault="00000000">
      <w:pPr>
        <w:spacing w:after="120" w:line="276" w:lineRule="auto"/>
        <w:rPr>
          <w:i/>
          <w:iCs/>
          <w:color w:val="777777"/>
        </w:rPr>
      </w:pPr>
      <w:r>
        <w:rPr>
          <w:i/>
          <w:iCs/>
          <w:color w:val="777777"/>
        </w:rPr>
        <w:t>Nota: actualícese el año de la referencia de R Core Team al de la versión empleada efectivamente en el curso.</w:t>
      </w:r>
    </w:p>
    <w:p w14:paraId="17CFD95B" w14:textId="77777777" w:rsidR="00460383" w:rsidRDefault="00460383">
      <w:pPr>
        <w:spacing w:after="120" w:line="276" w:lineRule="auto"/>
        <w:rPr>
          <w:i/>
          <w:iCs/>
          <w:color w:val="777777"/>
        </w:rPr>
      </w:pPr>
    </w:p>
    <w:p w14:paraId="1BD236ED" w14:textId="77777777" w:rsidR="00460383" w:rsidRDefault="00000000">
      <w:pPr>
        <w:pStyle w:val="Ttulo1"/>
      </w:pPr>
      <w:bookmarkStart w:id="6" w:name="_heading=h.c5uus0t21r7b" w:colFirst="0" w:colLast="0"/>
      <w:bookmarkEnd w:id="6"/>
      <w:r>
        <w:t>BIBLIOGRAFÍA BÁSICA UMH</w:t>
      </w:r>
    </w:p>
    <w:p w14:paraId="6A91E4C8" w14:textId="77777777" w:rsidR="00460383" w:rsidRDefault="00000000">
      <w:r>
        <w:t xml:space="preserve">Dobson, A. J., &amp; Barnett, A. G. (2018). </w:t>
      </w:r>
      <w:hyperlink r:id="rId28">
        <w:r>
          <w:rPr>
            <w:color w:val="1155CC"/>
            <w:u w:val="single"/>
          </w:rPr>
          <w:t>An Introduction to Generalized Linear Models</w:t>
        </w:r>
      </w:hyperlink>
      <w:r>
        <w:t xml:space="preserve"> (4.ª ed.). Chapman &amp; Hall/CRC. ISBN 978-1-138-74151-5. — texto principal (autoridad de la guía).</w:t>
      </w:r>
    </w:p>
    <w:p w14:paraId="7A02BFD1" w14:textId="77777777" w:rsidR="00460383" w:rsidRDefault="00000000">
      <w:r>
        <w:t xml:space="preserve">Agresti, A. (2015). </w:t>
      </w:r>
      <w:hyperlink r:id="rId29">
        <w:r>
          <w:rPr>
            <w:color w:val="1155CC"/>
            <w:u w:val="single"/>
          </w:rPr>
          <w:t>Foundations of Linear and Generalized Linear Models</w:t>
        </w:r>
      </w:hyperlink>
      <w:r>
        <w:t>. Wiley. ISBN 978-1-118-73003-4.</w:t>
      </w:r>
    </w:p>
    <w:p w14:paraId="5685BC18" w14:textId="77777777" w:rsidR="00460383" w:rsidRDefault="00000000">
      <w:r>
        <w:t xml:space="preserve">Faraway, J. J. (2016). </w:t>
      </w:r>
      <w:hyperlink r:id="rId30">
        <w:r>
          <w:rPr>
            <w:color w:val="1155CC"/>
            <w:u w:val="single"/>
          </w:rPr>
          <w:t>Extending the Linear Model with R: Generalized Linear, Mixed Effects and Nonparametric Regression Models</w:t>
        </w:r>
      </w:hyperlink>
      <w:r>
        <w:t xml:space="preserve"> (2.ª ed.). Chapman &amp; Hall/CRC. ISBN 978-1-498-72096-0. — el de orientación práctica con R.</w:t>
      </w:r>
    </w:p>
    <w:p w14:paraId="638DD8A2" w14:textId="77777777" w:rsidR="00460383" w:rsidRDefault="00000000">
      <w:r>
        <w:t>Hosmer, D. W., Lemeshow, S., &amp; Sturdivant, R. X. (2013). Applied Logistic Regression (3.ª ed.). Wiley. ISBN 978-0-470-58247-3. — específico de regresión logística.</w:t>
      </w:r>
    </w:p>
    <w:p w14:paraId="53BC989D" w14:textId="77777777" w:rsidR="00460383" w:rsidRDefault="00000000">
      <w:r>
        <w:t xml:space="preserve">McCullagh, P., &amp; Nelder, J. A. (1989). </w:t>
      </w:r>
      <w:hyperlink r:id="rId31">
        <w:r>
          <w:rPr>
            <w:color w:val="1155CC"/>
            <w:u w:val="single"/>
          </w:rPr>
          <w:t>Generalized Linear Models</w:t>
        </w:r>
      </w:hyperlink>
      <w:r>
        <w:t xml:space="preserve"> (2.ª ed.). Chapman &amp; Hall/CRC. ISBN 978-0-412-31760-6. — referencia clásica del marco.</w:t>
      </w:r>
    </w:p>
    <w:p w14:paraId="0537B01B" w14:textId="77777777" w:rsidR="00460383" w:rsidRDefault="00460383">
      <w:pPr>
        <w:rPr>
          <w:b/>
          <w:bCs/>
        </w:rPr>
      </w:pPr>
    </w:p>
    <w:p w14:paraId="446BB2F5" w14:textId="77777777" w:rsidR="00460383" w:rsidRDefault="00000000">
      <w:pPr>
        <w:pStyle w:val="Ttulo1"/>
      </w:pPr>
      <w:bookmarkStart w:id="7" w:name="_heading=h.jznvgtsteygn" w:colFirst="0" w:colLast="0"/>
      <w:bookmarkEnd w:id="7"/>
      <w:r>
        <w:t>BIBLIOGRAFÍA ADICIONAL UMH</w:t>
      </w:r>
    </w:p>
    <w:p w14:paraId="72BD2EDA" w14:textId="77777777" w:rsidR="00460383" w:rsidRDefault="00460383">
      <w:pPr>
        <w:rPr>
          <w:b/>
          <w:bCs/>
        </w:rPr>
      </w:pPr>
    </w:p>
    <w:p w14:paraId="5EBB56D5" w14:textId="77777777" w:rsidR="00460383" w:rsidRDefault="00000000">
      <w:pPr>
        <w:numPr>
          <w:ilvl w:val="0"/>
          <w:numId w:val="3"/>
        </w:numPr>
        <w:spacing w:before="240"/>
      </w:pPr>
      <w:r>
        <w:rPr>
          <w:b/>
          <w:bCs/>
        </w:rPr>
        <w:t>Fox, J. (2016).</w:t>
      </w:r>
      <w:r>
        <w:t xml:space="preserve"> </w:t>
      </w:r>
      <w:r>
        <w:rPr>
          <w:i/>
          <w:iCs/>
        </w:rPr>
        <w:t>Applied Regression Analysis and Generalized Linear Models</w:t>
      </w:r>
      <w:r>
        <w:t xml:space="preserve"> (3.ª ed.). SAGE. </w:t>
      </w:r>
      <w:r>
        <w:rPr>
          <w:b/>
          <w:bCs/>
        </w:rPr>
        <w:t>ISBN 978-1-4522-0566-3.</w:t>
      </w:r>
      <w:r>
        <w:t xml:space="preserve"> — Buen puente desde la regresión clásica al GLM, con capítulos de efectos mixtos.</w:t>
      </w:r>
    </w:p>
    <w:p w14:paraId="53FF0A1C" w14:textId="77777777" w:rsidR="00460383" w:rsidRDefault="00000000">
      <w:pPr>
        <w:numPr>
          <w:ilvl w:val="0"/>
          <w:numId w:val="3"/>
        </w:numPr>
      </w:pPr>
      <w:r>
        <w:rPr>
          <w:b/>
          <w:bCs/>
        </w:rPr>
        <w:t>Harrell, F. E. (2015).</w:t>
      </w:r>
      <w:r>
        <w:t xml:space="preserve"> </w:t>
      </w:r>
      <w:r>
        <w:rPr>
          <w:i/>
          <w:iCs/>
        </w:rPr>
        <w:t>Regression Modeling Strategies: With Applications to Linear Models, Logistic and Ordinal Regression, and Survival Analysis</w:t>
      </w:r>
      <w:r>
        <w:t xml:space="preserve"> (2.ª ed.). Springer. </w:t>
      </w:r>
      <w:r>
        <w:rPr>
          <w:b/>
          <w:bCs/>
        </w:rPr>
        <w:t>ISBN 978-3-319-19424-0.</w:t>
      </w:r>
      <w:r>
        <w:t xml:space="preserve"> — Estrategias de modelización (validación, </w:t>
      </w:r>
      <w:r>
        <w:rPr>
          <w:b/>
          <w:bCs/>
        </w:rPr>
        <w:t>calibración</w:t>
      </w:r>
      <w:r>
        <w:t>, splines); muy alineado con 2.6–2.7 y el hilo de supervivencia.</w:t>
      </w:r>
    </w:p>
    <w:p w14:paraId="7A33C11D" w14:textId="77777777" w:rsidR="00460383" w:rsidRDefault="00000000">
      <w:pPr>
        <w:numPr>
          <w:ilvl w:val="0"/>
          <w:numId w:val="3"/>
        </w:numPr>
      </w:pPr>
      <w:r>
        <w:rPr>
          <w:b/>
          <w:bCs/>
        </w:rPr>
        <w:t>Gelman, A., &amp; Hill, J. (2007).</w:t>
      </w:r>
      <w:r>
        <w:t xml:space="preserve"> </w:t>
      </w:r>
      <w:r>
        <w:rPr>
          <w:i/>
          <w:iCs/>
        </w:rPr>
        <w:t>Data Analysis Using Regression and Multilevel/Hierarchical Models</w:t>
      </w:r>
      <w:r>
        <w:t xml:space="preserve">. Cambridge University Press. </w:t>
      </w:r>
      <w:r>
        <w:rPr>
          <w:b/>
          <w:bCs/>
        </w:rPr>
        <w:t>ISBN 978-0-521-68689-1.</w:t>
      </w:r>
      <w:r>
        <w:t xml:space="preserve"> — Referencia del </w:t>
      </w:r>
      <w:r>
        <w:rPr>
          <w:b/>
          <w:bCs/>
        </w:rPr>
        <w:t>hilo de efectos mixtos</w:t>
      </w:r>
      <w:r>
        <w:t xml:space="preserve"> (y origen de </w:t>
      </w:r>
      <w:r>
        <w:rPr>
          <w:rFonts w:ascii="Roboto Mono" w:eastAsia="Roboto Mono" w:hAnsi="Roboto Mono" w:cs="Roboto Mono"/>
          <w:color w:val="188038"/>
        </w:rPr>
        <w:t>binnedplot</w:t>
      </w:r>
      <w:r>
        <w:t>/</w:t>
      </w:r>
      <w:r>
        <w:rPr>
          <w:rFonts w:ascii="Roboto Mono" w:eastAsia="Roboto Mono" w:hAnsi="Roboto Mono" w:cs="Roboto Mono"/>
          <w:color w:val="188038"/>
        </w:rPr>
        <w:t>arm</w:t>
      </w:r>
      <w:r>
        <w:t>).</w:t>
      </w:r>
    </w:p>
    <w:p w14:paraId="2E8479C9" w14:textId="77777777" w:rsidR="00460383" w:rsidRDefault="00000000">
      <w:pPr>
        <w:numPr>
          <w:ilvl w:val="0"/>
          <w:numId w:val="3"/>
        </w:numPr>
      </w:pPr>
      <w:r>
        <w:rPr>
          <w:b/>
          <w:bCs/>
        </w:rPr>
        <w:t>Agresti, A. (2013).</w:t>
      </w:r>
      <w:r>
        <w:t xml:space="preserve"> </w:t>
      </w:r>
      <w:r>
        <w:rPr>
          <w:i/>
          <w:iCs/>
        </w:rPr>
        <w:t>Categorical Data Analysis</w:t>
      </w:r>
      <w:r>
        <w:t xml:space="preserve"> (3.ª ed.). Wiley. </w:t>
      </w:r>
      <w:r>
        <w:rPr>
          <w:b/>
          <w:bCs/>
        </w:rPr>
        <w:t>ISBN 978-1-118-71094-4.</w:t>
      </w:r>
      <w:r>
        <w:t xml:space="preserve"> — Tratamiento profundo de respuestas </w:t>
      </w:r>
      <w:r>
        <w:rPr>
          <w:b/>
          <w:bCs/>
        </w:rPr>
        <w:t>categóricas</w:t>
      </w:r>
      <w:r>
        <w:t xml:space="preserve"> (binomial, multinomial, ordinal): Unidad 3.</w:t>
      </w:r>
    </w:p>
    <w:p w14:paraId="2B40DE6D" w14:textId="77777777" w:rsidR="00460383" w:rsidRDefault="00000000">
      <w:pPr>
        <w:numPr>
          <w:ilvl w:val="0"/>
          <w:numId w:val="3"/>
        </w:numPr>
      </w:pPr>
      <w:r>
        <w:rPr>
          <w:b/>
          <w:bCs/>
        </w:rPr>
        <w:t>Venables, W. N., &amp; Ripley, B. D. (2002).</w:t>
      </w:r>
      <w:r>
        <w:t xml:space="preserve"> </w:t>
      </w:r>
      <w:r>
        <w:rPr>
          <w:i/>
          <w:iCs/>
        </w:rPr>
        <w:t>Modern Applied Statistics with S</w:t>
      </w:r>
      <w:r>
        <w:t xml:space="preserve"> (4.ª ed.). Springer. </w:t>
      </w:r>
      <w:r>
        <w:rPr>
          <w:b/>
          <w:bCs/>
        </w:rPr>
        <w:t>ISBN 978-0-387-95457-8.</w:t>
      </w:r>
      <w:r>
        <w:t xml:space="preserve"> — El libro de los paquetes </w:t>
      </w:r>
      <w:r>
        <w:rPr>
          <w:rFonts w:ascii="Roboto Mono" w:eastAsia="Roboto Mono" w:hAnsi="Roboto Mono" w:cs="Roboto Mono"/>
          <w:color w:val="188038"/>
        </w:rPr>
        <w:t>MASS</w:t>
      </w:r>
      <w:r>
        <w:t>/</w:t>
      </w:r>
      <w:r>
        <w:rPr>
          <w:rFonts w:ascii="Roboto Mono" w:eastAsia="Roboto Mono" w:hAnsi="Roboto Mono" w:cs="Roboto Mono"/>
          <w:color w:val="188038"/>
        </w:rPr>
        <w:t>nnet</w:t>
      </w:r>
      <w:r>
        <w:t xml:space="preserve"> que usamos (</w:t>
      </w:r>
      <w:r>
        <w:rPr>
          <w:rFonts w:ascii="Roboto Mono" w:eastAsia="Roboto Mono" w:hAnsi="Roboto Mono" w:cs="Roboto Mono"/>
          <w:color w:val="188038"/>
        </w:rPr>
        <w:t>polr</w:t>
      </w:r>
      <w:r>
        <w:t xml:space="preserve">, </w:t>
      </w:r>
      <w:r>
        <w:rPr>
          <w:rFonts w:ascii="Roboto Mono" w:eastAsia="Roboto Mono" w:hAnsi="Roboto Mono" w:cs="Roboto Mono"/>
          <w:color w:val="188038"/>
        </w:rPr>
        <w:t>multinom</w:t>
      </w:r>
      <w:r>
        <w:t xml:space="preserve">, </w:t>
      </w:r>
      <w:r>
        <w:rPr>
          <w:rFonts w:ascii="Roboto Mono" w:eastAsia="Roboto Mono" w:hAnsi="Roboto Mono" w:cs="Roboto Mono"/>
          <w:color w:val="188038"/>
        </w:rPr>
        <w:t>stepAIC</w:t>
      </w:r>
      <w:r>
        <w:t>).</w:t>
      </w:r>
    </w:p>
    <w:p w14:paraId="72A1BD3B" w14:textId="77777777" w:rsidR="00460383" w:rsidRDefault="00000000">
      <w:pPr>
        <w:numPr>
          <w:ilvl w:val="0"/>
          <w:numId w:val="3"/>
        </w:numPr>
      </w:pPr>
      <w:r>
        <w:rPr>
          <w:b/>
          <w:bCs/>
        </w:rPr>
        <w:t>James, G., Witten, D., Hastie, T., &amp; Tibshirani, R. (2021).</w:t>
      </w:r>
      <w:r>
        <w:t xml:space="preserve"> </w:t>
      </w:r>
      <w:r>
        <w:rPr>
          <w:i/>
          <w:iCs/>
        </w:rPr>
        <w:t>An Introduction to Statistical Learning with Applications in R</w:t>
      </w:r>
      <w:r>
        <w:t xml:space="preserve"> (2.ª ed.). Springer. </w:t>
      </w:r>
      <w:r>
        <w:rPr>
          <w:b/>
          <w:bCs/>
        </w:rPr>
        <w:t>ISBN 978-1-0716-1417-4.</w:t>
      </w:r>
      <w:r>
        <w:t xml:space="preserve"> — Aprendizaje estadístico con R (clasificación, validación); conecta el GLM con el </w:t>
      </w:r>
      <w:r>
        <w:rPr>
          <w:b/>
          <w:bCs/>
        </w:rPr>
        <w:t>machine learning</w:t>
      </w:r>
      <w:r>
        <w:t xml:space="preserve">. </w:t>
      </w:r>
      <w:r>
        <w:rPr>
          <w:i/>
          <w:iCs/>
        </w:rPr>
        <w:t>(Gratis: statlearning.com.)</w:t>
      </w:r>
    </w:p>
    <w:p w14:paraId="41E58522" w14:textId="77777777" w:rsidR="00460383" w:rsidRDefault="00000000">
      <w:pPr>
        <w:numPr>
          <w:ilvl w:val="0"/>
          <w:numId w:val="3"/>
        </w:numPr>
        <w:spacing w:after="240"/>
      </w:pPr>
      <w:r>
        <w:rPr>
          <w:b/>
          <w:bCs/>
        </w:rPr>
        <w:t>Roback, P., &amp; Legler, J. (2021).</w:t>
      </w:r>
      <w:r>
        <w:t xml:space="preserve"> </w:t>
      </w:r>
      <w:r>
        <w:rPr>
          <w:i/>
          <w:iCs/>
        </w:rPr>
        <w:t>Beyond Multiple Linear Regression: Applied Generalized Linear Models and Multilevel Models in R</w:t>
      </w:r>
      <w:r>
        <w:t xml:space="preserve">. Chapman &amp; Hall/CRC. </w:t>
      </w:r>
      <w:r>
        <w:rPr>
          <w:b/>
          <w:bCs/>
        </w:rPr>
        <w:t>ISBN 978-0-367-68044-2.</w:t>
      </w:r>
      <w:r>
        <w:t xml:space="preserve"> — GLM + multinivel en R, nivel de grado. </w:t>
      </w:r>
      <w:r>
        <w:rPr>
          <w:i/>
          <w:iCs/>
        </w:rPr>
        <w:t>(Gratis online: bookdown.org/roback/bookdown-BeyondMLR.)</w:t>
      </w:r>
    </w:p>
    <w:p w14:paraId="1D313734" w14:textId="77777777" w:rsidR="00460383" w:rsidRDefault="00460383">
      <w:pPr>
        <w:spacing w:before="240" w:after="240"/>
      </w:pPr>
    </w:p>
    <w:p w14:paraId="041F952B" w14:textId="77777777" w:rsidR="00460383" w:rsidRDefault="00000000">
      <w:pPr>
        <w:pStyle w:val="Ttulo1"/>
      </w:pPr>
      <w:bookmarkStart w:id="8" w:name="_heading=h.s9szzl34k441" w:colFirst="0" w:colLast="0"/>
      <w:bookmarkEnd w:id="8"/>
      <w:r>
        <w:t>ENLACES VARIOS</w:t>
      </w:r>
    </w:p>
    <w:p w14:paraId="4AAA4CD7" w14:textId="77777777" w:rsidR="00460383" w:rsidRDefault="00460383">
      <w:pPr>
        <w:rPr>
          <w:b/>
          <w:bCs/>
        </w:rPr>
      </w:pPr>
    </w:p>
    <w:tbl>
      <w:tblPr>
        <w:tblStyle w:val="a3"/>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8"/>
        <w:gridCol w:w="4950"/>
        <w:gridCol w:w="2297"/>
      </w:tblGrid>
      <w:tr w:rsidR="00460383" w14:paraId="13B76653" w14:textId="77777777">
        <w:trPr>
          <w:trHeight w:val="515"/>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2B31E" w14:textId="77777777" w:rsidR="00460383" w:rsidRDefault="00000000">
            <w:pPr>
              <w:jc w:val="center"/>
            </w:pPr>
            <w:r>
              <w:lastRenderedPageBreak/>
              <w:t>Título</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E45AA" w14:textId="77777777" w:rsidR="00460383" w:rsidRDefault="00000000">
            <w:pPr>
              <w:jc w:val="center"/>
            </w:pPr>
            <w:r>
              <w:t>Enlace</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35456" w14:textId="77777777" w:rsidR="00460383" w:rsidRDefault="00000000">
            <w:pPr>
              <w:jc w:val="center"/>
            </w:pPr>
            <w:r>
              <w:t>Descripción</w:t>
            </w:r>
          </w:p>
        </w:tc>
      </w:tr>
      <w:tr w:rsidR="00460383" w14:paraId="7787C1F9" w14:textId="77777777">
        <w:trPr>
          <w:trHeight w:val="1625"/>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D3406" w14:textId="77777777" w:rsidR="00460383" w:rsidRDefault="00000000">
            <w:r>
              <w:t>Beyond Multiple Linear Regression (Roback &amp; Legler)</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21BB06" w14:textId="77777777" w:rsidR="00460383" w:rsidRDefault="00000000">
            <w:r>
              <w:t>https://bookdown.org/roback/bookdown-BeyondMLR/</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09DEF" w14:textId="77777777" w:rsidR="00460383" w:rsidRDefault="00000000">
            <w:r>
              <w:t>Libro online gratuito; el más afín al curso: GLM + modelos multinivel en R, nivel de grado.</w:t>
            </w:r>
          </w:p>
        </w:tc>
      </w:tr>
      <w:tr w:rsidR="00460383" w14:paraId="70871C42"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2959E1" w14:textId="77777777" w:rsidR="00460383" w:rsidRDefault="00000000">
            <w:r>
              <w:t>An Introduction to Statistical Learning (ISLR/ISLP)</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9E04A" w14:textId="77777777" w:rsidR="00460383" w:rsidRDefault="00000000">
            <w:r>
              <w:t>https://www.statlearning.com</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E184E" w14:textId="77777777" w:rsidR="00460383" w:rsidRDefault="00000000">
            <w:r>
              <w:t>Libro online gratuito (R y Python); regresión logística y clasificación.</w:t>
            </w:r>
          </w:p>
        </w:tc>
      </w:tr>
      <w:tr w:rsidR="00460383" w14:paraId="6497BFB9" w14:textId="77777777">
        <w:trPr>
          <w:trHeight w:val="1625"/>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40B76" w14:textId="77777777" w:rsidR="00460383" w:rsidRDefault="00000000">
            <w:r>
              <w:t>Tidy Modeling with R (Kuhn &amp; Silge)</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86E88" w14:textId="77777777" w:rsidR="00460383" w:rsidRDefault="00000000">
            <w:r>
              <w:t>https://www.tmwr.org</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527E1" w14:textId="77777777" w:rsidR="00460383" w:rsidRDefault="00000000">
            <w:r>
              <w:t xml:space="preserve">Libro online gratuito; clasificación y métricas con </w:t>
            </w:r>
            <w:r>
              <w:rPr>
                <w:rFonts w:ascii="Roboto Mono" w:eastAsia="Roboto Mono" w:hAnsi="Roboto Mono" w:cs="Roboto Mono"/>
                <w:color w:val="188038"/>
              </w:rPr>
              <w:t>yardstick</w:t>
            </w:r>
            <w:r>
              <w:t>/</w:t>
            </w:r>
            <w:r>
              <w:rPr>
                <w:rFonts w:ascii="Roboto Mono" w:eastAsia="Roboto Mono" w:hAnsi="Roboto Mono" w:cs="Roboto Mono"/>
                <w:color w:val="188038"/>
              </w:rPr>
              <w:t>pROC</w:t>
            </w:r>
            <w:r>
              <w:t xml:space="preserve"> (las del curso).</w:t>
            </w:r>
          </w:p>
        </w:tc>
      </w:tr>
      <w:tr w:rsidR="00460383" w14:paraId="1FF82507" w14:textId="77777777">
        <w:trPr>
          <w:trHeight w:val="107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30602" w14:textId="77777777" w:rsidR="00460383" w:rsidRDefault="00000000">
            <w:r>
              <w:t>Repo BeyondMLR (GitHub)</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A407D" w14:textId="77777777" w:rsidR="00460383" w:rsidRDefault="00000000">
            <w:r>
              <w:t>https://github.com/proback/BeyondMLR</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8B302" w14:textId="77777777" w:rsidR="00460383" w:rsidRDefault="00000000">
            <w:r>
              <w:t>Código y datos del libro Beyond Multiple Linear Regression.</w:t>
            </w:r>
          </w:p>
        </w:tc>
      </w:tr>
      <w:tr w:rsidR="00460383" w14:paraId="3346F103"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13418" w14:textId="77777777" w:rsidR="00460383" w:rsidRDefault="00000000">
            <w:r>
              <w:t>GLMM FAQ (Ben Bolker)</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8392F" w14:textId="77777777" w:rsidR="00460383" w:rsidRDefault="00000000">
            <w:r>
              <w:t>https://bbolker.github.io/mixedmodels-misc/glmmFAQ.html</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6B051" w14:textId="77777777" w:rsidR="00460383" w:rsidRDefault="00000000">
            <w:r>
              <w:rPr>
                <w:i/>
                <w:iCs/>
              </w:rPr>
              <w:t>La</w:t>
            </w:r>
            <w:r>
              <w:t xml:space="preserve"> referencia práctica de modelos mixtos: convergencia, ajustes singulares, etc.</w:t>
            </w:r>
          </w:p>
        </w:tc>
      </w:tr>
      <w:tr w:rsidR="00460383" w14:paraId="7C9C6FA9" w14:textId="77777777">
        <w:trPr>
          <w:trHeight w:val="1625"/>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8D4E9" w14:textId="77777777" w:rsidR="00460383" w:rsidRDefault="00000000">
            <w:r>
              <w:t>DHARMa (GitHub)</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CB9CC" w14:textId="77777777" w:rsidR="00460383" w:rsidRDefault="00000000">
            <w:r>
              <w:t>https://github.com/florianhartig/DHARMa</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0A812" w14:textId="77777777" w:rsidR="00460383" w:rsidRDefault="00000000">
            <w:r>
              <w:t>Paquete de residuos simulados para diagnóstico de GLM/GLMM (usado en el curso).</w:t>
            </w:r>
          </w:p>
        </w:tc>
      </w:tr>
      <w:tr w:rsidR="00460383" w14:paraId="00A03E16" w14:textId="77777777">
        <w:trPr>
          <w:trHeight w:val="107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49E48" w14:textId="77777777" w:rsidR="00460383" w:rsidRDefault="00000000">
            <w:r>
              <w:t>lme4 (GitHub)</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8FB9C" w14:textId="77777777" w:rsidR="00460383" w:rsidRDefault="00000000">
            <w:r>
              <w:t>https://github.com/lme4/lme4</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096624" w14:textId="77777777" w:rsidR="00460383" w:rsidRDefault="00000000">
            <w:r>
              <w:t>Paquete de referencia para modelos mixtos (</w:t>
            </w:r>
            <w:r>
              <w:rPr>
                <w:rFonts w:ascii="Roboto Mono" w:eastAsia="Roboto Mono" w:hAnsi="Roboto Mono" w:cs="Roboto Mono"/>
                <w:color w:val="188038"/>
              </w:rPr>
              <w:t>glmer</w:t>
            </w:r>
            <w:r>
              <w:t>).</w:t>
            </w:r>
          </w:p>
        </w:tc>
      </w:tr>
      <w:tr w:rsidR="00460383" w14:paraId="1E58509B"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A7EA7" w14:textId="77777777" w:rsidR="00460383" w:rsidRDefault="00000000">
            <w:r>
              <w:t>easystats (GitHub)</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98A09" w14:textId="77777777" w:rsidR="00460383" w:rsidRDefault="00000000">
            <w:r>
              <w:t>https://github.com/easystats/easystats</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1578A" w14:textId="77777777" w:rsidR="00460383" w:rsidRDefault="00000000">
            <w:r>
              <w:rPr>
                <w:rFonts w:ascii="Roboto Mono" w:eastAsia="Roboto Mono" w:hAnsi="Roboto Mono" w:cs="Roboto Mono"/>
                <w:color w:val="188038"/>
              </w:rPr>
              <w:t>performance</w:t>
            </w:r>
            <w:r>
              <w:t xml:space="preserve">, </w:t>
            </w:r>
            <w:r>
              <w:rPr>
                <w:rFonts w:ascii="Roboto Mono" w:eastAsia="Roboto Mono" w:hAnsi="Roboto Mono" w:cs="Roboto Mono"/>
                <w:color w:val="188038"/>
              </w:rPr>
              <w:t>see</w:t>
            </w:r>
            <w:r>
              <w:t>…: diagnóstico, calibración y gráficos de modelos.</w:t>
            </w:r>
          </w:p>
        </w:tc>
      </w:tr>
      <w:tr w:rsidR="00460383" w14:paraId="549B62B3"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90D5F" w14:textId="77777777" w:rsidR="00460383" w:rsidRDefault="00000000">
            <w:r>
              <w:lastRenderedPageBreak/>
              <w:t>yardstick (GitHub)</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2BECC" w14:textId="77777777" w:rsidR="00460383" w:rsidRDefault="00000000">
            <w:r>
              <w:t>https://github.com/tidymodels/yardstick</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E3DF3" w14:textId="77777777" w:rsidR="00460383" w:rsidRDefault="00000000">
            <w:r>
              <w:t>Métricas de clasificación (matriz de confusión, ROC/AUC).</w:t>
            </w:r>
          </w:p>
        </w:tc>
      </w:tr>
      <w:tr w:rsidR="00460383" w14:paraId="258A85E7"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65B8B" w14:textId="77777777" w:rsidR="00460383" w:rsidRDefault="00000000">
            <w:r>
              <w:t>DataCamp — Generalized Linear Models in R</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2E0A1" w14:textId="77777777" w:rsidR="00460383" w:rsidRDefault="00000000">
            <w:r>
              <w:t>https://www.datacamp.com/courses/generalized-linear-models-in-r</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04100" w14:textId="77777777" w:rsidR="00460383" w:rsidRDefault="00000000">
            <w:r>
              <w:t>Curso interactivo de logística y Poisson en R.</w:t>
            </w:r>
          </w:p>
        </w:tc>
      </w:tr>
      <w:tr w:rsidR="00460383" w14:paraId="1ED8EE78"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FADC8" w14:textId="77777777" w:rsidR="00460383" w:rsidRDefault="00000000">
            <w:r>
              <w:t>DataCamp — Hierarchical and Mixed Effects Models in R</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ABAB4" w14:textId="77777777" w:rsidR="00460383" w:rsidRDefault="00000000">
            <w:r>
              <w:t>https://www.datacamp.com/courses/hierarchical-and-mixed-effects-models-in-r</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97E8E" w14:textId="77777777" w:rsidR="00460383" w:rsidRDefault="00000000">
            <w:r>
              <w:t>Curso interactivo del hilo de efectos mixtos.</w:t>
            </w:r>
          </w:p>
        </w:tc>
      </w:tr>
      <w:tr w:rsidR="00460383" w14:paraId="5FB54573" w14:textId="77777777">
        <w:trPr>
          <w:trHeight w:val="107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1461E" w14:textId="77777777" w:rsidR="00460383" w:rsidRDefault="00000000">
            <w:r>
              <w:t>DataCamp — Tutorial de GLM (gratuito)</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B9C2D" w14:textId="77777777" w:rsidR="00460383" w:rsidRDefault="00000000">
            <w:r>
              <w:t>https://www.datacamp.com/tutorial/generalized-linear-models</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35BCA" w14:textId="77777777" w:rsidR="00460383" w:rsidRDefault="00000000">
            <w:r>
              <w:t>Tutorial introductorio de GLM, sin suscripción.</w:t>
            </w:r>
          </w:p>
        </w:tc>
      </w:tr>
      <w:tr w:rsidR="00460383" w14:paraId="6E8916D2" w14:textId="77777777">
        <w:trPr>
          <w:trHeight w:val="1625"/>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62A5D" w14:textId="77777777" w:rsidR="00460383" w:rsidRDefault="00000000">
            <w:r>
              <w:t>UCLA – OARC Stats</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04069A" w14:textId="77777777" w:rsidR="00460383" w:rsidRDefault="00000000">
            <w:r>
              <w:t>https://stats.oarc.ucla.edu</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E3375" w14:textId="77777777" w:rsidR="00460383" w:rsidRDefault="00000000">
            <w:r>
              <w:t>Ejemplos en R paso a paso: logística, Poisson, multinomial, ordinal, mixtos, supervivencia.</w:t>
            </w:r>
          </w:p>
        </w:tc>
      </w:tr>
      <w:tr w:rsidR="00460383" w14:paraId="373AEAF8"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D784B" w14:textId="77777777" w:rsidR="00460383" w:rsidRDefault="00000000">
            <w:r>
              <w:t>CRAN Task Views</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C8E6A" w14:textId="77777777" w:rsidR="00460383" w:rsidRDefault="00000000">
            <w:r>
              <w:t>https://cran.r-project.org/web/views/</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0690E" w14:textId="77777777" w:rsidR="00460383" w:rsidRDefault="00000000">
            <w:r>
              <w:t>Listados de paquetes por temática (</w:t>
            </w:r>
            <w:r>
              <w:rPr>
                <w:i/>
                <w:iCs/>
              </w:rPr>
              <w:t>MixedModels</w:t>
            </w:r>
            <w:r>
              <w:t xml:space="preserve">, </w:t>
            </w:r>
            <w:r>
              <w:rPr>
                <w:i/>
                <w:iCs/>
              </w:rPr>
              <w:t>Survival</w:t>
            </w:r>
            <w:r>
              <w:t>…).</w:t>
            </w:r>
          </w:p>
        </w:tc>
      </w:tr>
      <w:tr w:rsidR="00460383" w14:paraId="215A6CCA"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4FE5D" w14:textId="77777777" w:rsidR="00460383" w:rsidRDefault="00000000">
            <w:r>
              <w:t>The Data Visualization Catalogue</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F208F" w14:textId="77777777" w:rsidR="00460383" w:rsidRDefault="00000000">
            <w:r>
              <w:t>https://datavizcatalogue.com/</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0E192" w14:textId="77777777" w:rsidR="00460383" w:rsidRDefault="00460383"/>
        </w:tc>
      </w:tr>
      <w:tr w:rsidR="00460383" w14:paraId="6EF57E26" w14:textId="77777777">
        <w:trPr>
          <w:trHeight w:val="1340"/>
        </w:trPr>
        <w:tc>
          <w:tcPr>
            <w:tcW w:w="17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C578D" w14:textId="77777777" w:rsidR="00460383" w:rsidRDefault="00000000">
            <w:r>
              <w:t>Visualizing data for impact</w:t>
            </w:r>
          </w:p>
        </w:tc>
        <w:tc>
          <w:tcPr>
            <w:tcW w:w="4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791B7" w14:textId="77777777" w:rsidR="00460383" w:rsidRDefault="00000000">
            <w:r>
              <w:t>https://data.europa.eu/en/academy/visualising-data-impact</w:t>
            </w:r>
          </w:p>
        </w:tc>
        <w:tc>
          <w:tcPr>
            <w:tcW w:w="2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DFCFD" w14:textId="77777777" w:rsidR="00460383" w:rsidRDefault="00000000">
            <w:r>
              <w:t>European Comission</w:t>
            </w:r>
          </w:p>
          <w:p w14:paraId="710F31C6" w14:textId="77777777" w:rsidR="00460383" w:rsidRDefault="00460383"/>
        </w:tc>
      </w:tr>
    </w:tbl>
    <w:p w14:paraId="5AF57682" w14:textId="77777777" w:rsidR="00460383" w:rsidRDefault="00000000">
      <w:pPr>
        <w:spacing w:before="240" w:after="240"/>
      </w:pPr>
      <w:r>
        <w:t>¿Quieres que la añada como sección "Recursos" en la guía (en este mismo formato Markdown) o que te la traduzca a valenciano/inglés?</w:t>
      </w:r>
    </w:p>
    <w:p w14:paraId="15D03910" w14:textId="77777777" w:rsidR="00460383" w:rsidRDefault="00000000">
      <w:pPr>
        <w:pStyle w:val="Ttulo1"/>
        <w:rPr>
          <w:b w:val="0"/>
          <w:bCs w:val="0"/>
        </w:rPr>
      </w:pPr>
      <w:bookmarkStart w:id="9" w:name="_heading=h.ze9oc7lvhi44" w:colFirst="0" w:colLast="0"/>
      <w:bookmarkEnd w:id="9"/>
      <w:r>
        <w:rPr>
          <w:b w:val="0"/>
          <w:bCs w:val="0"/>
        </w:rPr>
        <w:t>SOFTWARE</w:t>
      </w:r>
    </w:p>
    <w:p w14:paraId="7029DA80" w14:textId="77777777" w:rsidR="00460383" w:rsidRDefault="00000000">
      <w:pPr>
        <w:spacing w:before="240" w:after="240"/>
      </w:pPr>
      <w:r>
        <w:lastRenderedPageBreak/>
        <w:t>Aquí tienes el software/paquetes que usamos a lo largo del curso (enlaces a CRAN para los paquetes; sitio oficial para las herramientas):</w:t>
      </w:r>
    </w:p>
    <w:tbl>
      <w:tblPr>
        <w:tblStyle w:val="a4"/>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7"/>
        <w:gridCol w:w="3926"/>
        <w:gridCol w:w="3162"/>
      </w:tblGrid>
      <w:tr w:rsidR="00460383" w14:paraId="09650A27" w14:textId="77777777">
        <w:trPr>
          <w:trHeight w:val="51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0497A" w14:textId="77777777" w:rsidR="00460383" w:rsidRDefault="00000000">
            <w:pPr>
              <w:jc w:val="center"/>
            </w:pPr>
            <w:r>
              <w:t>Título</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F933A" w14:textId="77777777" w:rsidR="00460383" w:rsidRDefault="00000000">
            <w:pPr>
              <w:jc w:val="center"/>
            </w:pPr>
            <w:r>
              <w:t>Enlace</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003F8" w14:textId="77777777" w:rsidR="00460383" w:rsidRDefault="00000000">
            <w:pPr>
              <w:jc w:val="center"/>
            </w:pPr>
            <w:r>
              <w:t>Descripción</w:t>
            </w:r>
          </w:p>
        </w:tc>
      </w:tr>
      <w:tr w:rsidR="00460383" w14:paraId="6A590229"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33178" w14:textId="77777777" w:rsidR="00460383" w:rsidRDefault="00000000">
            <w:r>
              <w:t>R</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D7E05" w14:textId="77777777" w:rsidR="00460383" w:rsidRDefault="00000000">
            <w:r>
              <w:t>https://www.r-project.org</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84CDA" w14:textId="77777777" w:rsidR="00460383" w:rsidRDefault="00000000">
            <w:r>
              <w:t>Lenguaje y entorno estadístico; base de todo el curso.</w:t>
            </w:r>
          </w:p>
        </w:tc>
      </w:tr>
      <w:tr w:rsidR="00460383" w14:paraId="222B29F8"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4DD39" w14:textId="77777777" w:rsidR="00460383" w:rsidRDefault="00000000">
            <w:r>
              <w:t>RStudio / Posit</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7B6FC" w14:textId="77777777" w:rsidR="00460383" w:rsidRDefault="00000000">
            <w:r>
              <w:t>https://posit.co/products/open-source/rstudio/</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53D54F" w14:textId="77777777" w:rsidR="00460383" w:rsidRDefault="00000000">
            <w:r>
              <w:t>IDE para programar y ejecutar el análisis.</w:t>
            </w:r>
          </w:p>
        </w:tc>
      </w:tr>
      <w:tr w:rsidR="00460383" w14:paraId="30A14887" w14:textId="77777777">
        <w:trPr>
          <w:trHeight w:val="1340"/>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5C2A4" w14:textId="77777777" w:rsidR="00460383" w:rsidRDefault="00000000">
            <w:r>
              <w:t>Quarto</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90C95" w14:textId="77777777" w:rsidR="00460383" w:rsidRDefault="00000000">
            <w:r>
              <w:t>https://quarto.org</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48579" w14:textId="77777777" w:rsidR="00460383" w:rsidRDefault="00000000">
            <w:r>
              <w:t>Documentos reproducibles (código + texto + resultados) en los que se redacta el material.</w:t>
            </w:r>
          </w:p>
        </w:tc>
      </w:tr>
      <w:tr w:rsidR="00460383" w14:paraId="5F9A2136"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82727" w14:textId="77777777" w:rsidR="00460383" w:rsidRDefault="00000000">
            <w:r>
              <w:t>renv</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2E147" w14:textId="77777777" w:rsidR="00460383" w:rsidRDefault="00000000">
            <w:r>
              <w:t>https://cran.r-project.org/package=renv</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94006" w14:textId="77777777" w:rsidR="00460383" w:rsidRDefault="00000000">
            <w:r>
              <w:t>Gestión del entorno de paquetes para reproducibilidad.</w:t>
            </w:r>
          </w:p>
        </w:tc>
      </w:tr>
      <w:tr w:rsidR="00460383" w14:paraId="1D1DA6A7" w14:textId="77777777">
        <w:trPr>
          <w:trHeight w:val="1070"/>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8F859" w14:textId="77777777" w:rsidR="00460383" w:rsidRDefault="00000000">
            <w:r>
              <w:t>tidyverse</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C3F1C" w14:textId="77777777" w:rsidR="00460383" w:rsidRDefault="00000000">
            <w:r>
              <w:t>https://cran.r-project.org/package=tidyverse</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DC14E" w14:textId="77777777" w:rsidR="00460383" w:rsidRDefault="00000000">
            <w:r>
              <w:rPr>
                <w:rFonts w:ascii="Roboto Mono" w:eastAsia="Roboto Mono" w:hAnsi="Roboto Mono" w:cs="Roboto Mono"/>
                <w:color w:val="188038"/>
              </w:rPr>
              <w:t>dplyr</w:t>
            </w:r>
            <w:r>
              <w:t xml:space="preserve">, </w:t>
            </w:r>
            <w:r>
              <w:rPr>
                <w:rFonts w:ascii="Roboto Mono" w:eastAsia="Roboto Mono" w:hAnsi="Roboto Mono" w:cs="Roboto Mono"/>
                <w:color w:val="188038"/>
              </w:rPr>
              <w:t>ggplot2</w:t>
            </w:r>
            <w:r>
              <w:t xml:space="preserve">, </w:t>
            </w:r>
            <w:r>
              <w:rPr>
                <w:rFonts w:ascii="Roboto Mono" w:eastAsia="Roboto Mono" w:hAnsi="Roboto Mono" w:cs="Roboto Mono"/>
                <w:color w:val="188038"/>
              </w:rPr>
              <w:t>tidyr</w:t>
            </w:r>
            <w:r>
              <w:t>…: manipulación y visualización de datos.</w:t>
            </w:r>
          </w:p>
        </w:tc>
      </w:tr>
      <w:tr w:rsidR="00460383" w14:paraId="598701DA"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F1BED" w14:textId="77777777" w:rsidR="00460383" w:rsidRDefault="00000000">
            <w:r>
              <w:t>broom</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2F22F9" w14:textId="77777777" w:rsidR="00460383" w:rsidRDefault="00000000">
            <w:r>
              <w:t>https://cran.r-project.org/package=broom</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D760F" w14:textId="77777777" w:rsidR="00460383" w:rsidRDefault="00000000">
            <w:r>
              <w:rPr>
                <w:rFonts w:ascii="Roboto Mono" w:eastAsia="Roboto Mono" w:hAnsi="Roboto Mono" w:cs="Roboto Mono"/>
                <w:color w:val="188038"/>
              </w:rPr>
              <w:t>tidy()</w:t>
            </w:r>
            <w:r>
              <w:t>/</w:t>
            </w:r>
            <w:r>
              <w:rPr>
                <w:rFonts w:ascii="Roboto Mono" w:eastAsia="Roboto Mono" w:hAnsi="Roboto Mono" w:cs="Roboto Mono"/>
                <w:color w:val="188038"/>
              </w:rPr>
              <w:t>glance()</w:t>
            </w:r>
            <w:r>
              <w:t>/</w:t>
            </w:r>
            <w:r>
              <w:rPr>
                <w:rFonts w:ascii="Roboto Mono" w:eastAsia="Roboto Mono" w:hAnsi="Roboto Mono" w:cs="Roboto Mono"/>
                <w:color w:val="188038"/>
              </w:rPr>
              <w:t>augment()</w:t>
            </w:r>
            <w:r>
              <w:t>: salidas de modelo ordenadas.</w:t>
            </w:r>
          </w:p>
        </w:tc>
      </w:tr>
      <w:tr w:rsidR="00460383" w14:paraId="29D99738"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EF152" w14:textId="77777777" w:rsidR="00460383" w:rsidRDefault="00000000">
            <w:r>
              <w:t>GGally</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CAA8E" w14:textId="77777777" w:rsidR="00460383" w:rsidRDefault="00000000">
            <w:r>
              <w:t>https://cran.r-project.org/package=GGally</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80CA3" w14:textId="77777777" w:rsidR="00460383" w:rsidRDefault="00000000">
            <w:r>
              <w:rPr>
                <w:rFonts w:ascii="Roboto Mono" w:eastAsia="Roboto Mono" w:hAnsi="Roboto Mono" w:cs="Roboto Mono"/>
                <w:color w:val="188038"/>
              </w:rPr>
              <w:t>ggpairs()</w:t>
            </w:r>
            <w:r>
              <w:t>: matrices de dispersión para la EDA.</w:t>
            </w:r>
          </w:p>
        </w:tc>
      </w:tr>
      <w:tr w:rsidR="00460383" w14:paraId="7D1822D3"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AF632" w14:textId="77777777" w:rsidR="00460383" w:rsidRDefault="00000000">
            <w:r>
              <w:t>patchwork</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38E24" w14:textId="77777777" w:rsidR="00460383" w:rsidRDefault="00000000">
            <w:r>
              <w:t>https://cran.r-project.org/package=patchwork</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0DAD6" w14:textId="77777777" w:rsidR="00460383" w:rsidRDefault="00000000">
            <w:r>
              <w:t>Componer varios gráficos en una figura.</w:t>
            </w:r>
          </w:p>
        </w:tc>
      </w:tr>
      <w:tr w:rsidR="00460383" w14:paraId="3A064C53"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CE5C0" w14:textId="77777777" w:rsidR="00460383" w:rsidRDefault="00000000">
            <w:r>
              <w:t>aplore3</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6BC34" w14:textId="77777777" w:rsidR="00460383" w:rsidRDefault="00000000">
            <w:r>
              <w:t>https://cran.r-project.org/package=aplore3</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F25B4" w14:textId="77777777" w:rsidR="00460383" w:rsidRDefault="00000000">
            <w:r>
              <w:t xml:space="preserve">Datos </w:t>
            </w:r>
            <w:r>
              <w:rPr>
                <w:rFonts w:ascii="Roboto Mono" w:eastAsia="Roboto Mono" w:hAnsi="Roboto Mono" w:cs="Roboto Mono"/>
                <w:color w:val="188038"/>
              </w:rPr>
              <w:t>glow500</w:t>
            </w:r>
            <w:r>
              <w:t xml:space="preserve"> (estudio GLOW) usados en el Caso 1.</w:t>
            </w:r>
          </w:p>
        </w:tc>
      </w:tr>
      <w:tr w:rsidR="00460383" w14:paraId="7DA09BB7"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ACF24" w14:textId="77777777" w:rsidR="00460383" w:rsidRDefault="00000000">
            <w:r>
              <w:t>MASS</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95A64" w14:textId="77777777" w:rsidR="00460383" w:rsidRDefault="00000000">
            <w:r>
              <w:t>https://cran.r-project.org/package=MASS</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D7EA7" w14:textId="77777777" w:rsidR="00460383" w:rsidRDefault="00000000">
            <w:r>
              <w:rPr>
                <w:rFonts w:ascii="Roboto Mono" w:eastAsia="Roboto Mono" w:hAnsi="Roboto Mono" w:cs="Roboto Mono"/>
                <w:color w:val="188038"/>
              </w:rPr>
              <w:t>polr()</w:t>
            </w:r>
            <w:r>
              <w:t xml:space="preserve"> (ordinal), </w:t>
            </w:r>
            <w:r>
              <w:rPr>
                <w:rFonts w:ascii="Roboto Mono" w:eastAsia="Roboto Mono" w:hAnsi="Roboto Mono" w:cs="Roboto Mono"/>
                <w:color w:val="188038"/>
              </w:rPr>
              <w:t>stepAIC()</w:t>
            </w:r>
            <w:r>
              <w:t>, IC por perfil.</w:t>
            </w:r>
          </w:p>
        </w:tc>
      </w:tr>
      <w:tr w:rsidR="00460383" w14:paraId="36CE3B7A"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2AD86" w14:textId="77777777" w:rsidR="00460383" w:rsidRDefault="00000000">
            <w:r>
              <w:t>nnet</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7B2D6" w14:textId="77777777" w:rsidR="00460383" w:rsidRDefault="00000000">
            <w:r>
              <w:t>https://cran.r-project.org/package=nnet</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4AEAF" w14:textId="77777777" w:rsidR="00460383" w:rsidRDefault="00000000">
            <w:r>
              <w:rPr>
                <w:rFonts w:ascii="Roboto Mono" w:eastAsia="Roboto Mono" w:hAnsi="Roboto Mono" w:cs="Roboto Mono"/>
                <w:color w:val="188038"/>
              </w:rPr>
              <w:t>multinom()</w:t>
            </w:r>
            <w:r>
              <w:t>: logit multinomial (politómica nominal).</w:t>
            </w:r>
          </w:p>
        </w:tc>
      </w:tr>
      <w:tr w:rsidR="00460383" w14:paraId="5FAB699A"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C913D" w14:textId="77777777" w:rsidR="00460383" w:rsidRDefault="00000000">
            <w:r>
              <w:lastRenderedPageBreak/>
              <w:t>ordinal</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C836F" w14:textId="77777777" w:rsidR="00460383" w:rsidRDefault="00000000">
            <w:r>
              <w:t>https://cran.r-project.org/package=ordinal</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B34F5" w14:textId="77777777" w:rsidR="00460383" w:rsidRDefault="00000000">
            <w:r>
              <w:rPr>
                <w:rFonts w:ascii="Roboto Mono" w:eastAsia="Roboto Mono" w:hAnsi="Roboto Mono" w:cs="Roboto Mono"/>
                <w:color w:val="188038"/>
              </w:rPr>
              <w:t>clmm()</w:t>
            </w:r>
            <w:r>
              <w:t>: modelo ordinal mixto.</w:t>
            </w:r>
          </w:p>
        </w:tc>
      </w:tr>
      <w:tr w:rsidR="00460383" w14:paraId="1C1369B2"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FF278A" w14:textId="77777777" w:rsidR="00460383" w:rsidRDefault="00000000">
            <w:r>
              <w:t>lme4</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CB6DE" w14:textId="77777777" w:rsidR="00460383" w:rsidRDefault="00000000">
            <w:r>
              <w:t>https://cran.r-project.org/package=lme4</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04568" w14:textId="77777777" w:rsidR="00460383" w:rsidRDefault="00000000">
            <w:r>
              <w:rPr>
                <w:rFonts w:ascii="Roboto Mono" w:eastAsia="Roboto Mono" w:hAnsi="Roboto Mono" w:cs="Roboto Mono"/>
                <w:color w:val="188038"/>
              </w:rPr>
              <w:t>glmer()</w:t>
            </w:r>
            <w:r>
              <w:t>: modelos mixtos (GLMM).</w:t>
            </w:r>
          </w:p>
        </w:tc>
      </w:tr>
      <w:tr w:rsidR="00460383" w14:paraId="441EDA98"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A8D02" w14:textId="77777777" w:rsidR="00460383" w:rsidRDefault="00000000">
            <w:r>
              <w:t>survival</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05A2D" w14:textId="77777777" w:rsidR="00460383" w:rsidRDefault="00000000">
            <w:r>
              <w:t>https://cran.r-project.org/package=survival</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018A9" w14:textId="77777777" w:rsidR="00460383" w:rsidRDefault="00000000">
            <w:r>
              <w:rPr>
                <w:rFonts w:ascii="Roboto Mono" w:eastAsia="Roboto Mono" w:hAnsi="Roboto Mono" w:cs="Roboto Mono"/>
                <w:color w:val="188038"/>
              </w:rPr>
              <w:t>Surv()</w:t>
            </w:r>
            <w:r>
              <w:t xml:space="preserve">, </w:t>
            </w:r>
            <w:r>
              <w:rPr>
                <w:rFonts w:ascii="Roboto Mono" w:eastAsia="Roboto Mono" w:hAnsi="Roboto Mono" w:cs="Roboto Mono"/>
                <w:color w:val="188038"/>
              </w:rPr>
              <w:t>survfit()</w:t>
            </w:r>
            <w:r>
              <w:t xml:space="preserve">, </w:t>
            </w:r>
            <w:r>
              <w:rPr>
                <w:rFonts w:ascii="Roboto Mono" w:eastAsia="Roboto Mono" w:hAnsi="Roboto Mono" w:cs="Roboto Mono"/>
                <w:color w:val="188038"/>
              </w:rPr>
              <w:t>coxph()</w:t>
            </w:r>
            <w:r>
              <w:t>: análisis de supervivencia.</w:t>
            </w:r>
          </w:p>
        </w:tc>
      </w:tr>
      <w:tr w:rsidR="00460383" w14:paraId="64140227" w14:textId="77777777">
        <w:trPr>
          <w:trHeight w:val="1070"/>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4D2D5" w14:textId="77777777" w:rsidR="00460383" w:rsidRDefault="00000000">
            <w:r>
              <w:t>survminer</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91883" w14:textId="77777777" w:rsidR="00460383" w:rsidRDefault="00000000">
            <w:r>
              <w:t>https://cran.r-project.org/package=survminer</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FE190E" w14:textId="77777777" w:rsidR="00460383" w:rsidRDefault="00000000">
            <w:r>
              <w:rPr>
                <w:rFonts w:ascii="Roboto Mono" w:eastAsia="Roboto Mono" w:hAnsi="Roboto Mono" w:cs="Roboto Mono"/>
                <w:color w:val="188038"/>
              </w:rPr>
              <w:t>ggsurvplot()</w:t>
            </w:r>
            <w:r>
              <w:t xml:space="preserve">, </w:t>
            </w:r>
            <w:r>
              <w:rPr>
                <w:rFonts w:ascii="Roboto Mono" w:eastAsia="Roboto Mono" w:hAnsi="Roboto Mono" w:cs="Roboto Mono"/>
                <w:color w:val="188038"/>
              </w:rPr>
              <w:t>ggforest()</w:t>
            </w:r>
            <w:r>
              <w:t>: gráficos de supervivencia y HR.</w:t>
            </w:r>
          </w:p>
        </w:tc>
      </w:tr>
      <w:tr w:rsidR="00460383" w14:paraId="119E5AC7"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38ABA" w14:textId="77777777" w:rsidR="00460383" w:rsidRDefault="00000000">
            <w:r>
              <w:t>MuMIn</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0DE561" w14:textId="77777777" w:rsidR="00460383" w:rsidRDefault="00000000">
            <w:r>
              <w:t>https://cran.r-project.org/package=MuMIn</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56B9E" w14:textId="77777777" w:rsidR="00460383" w:rsidRDefault="00000000">
            <w:r>
              <w:rPr>
                <w:rFonts w:ascii="Roboto Mono" w:eastAsia="Roboto Mono" w:hAnsi="Roboto Mono" w:cs="Roboto Mono"/>
                <w:color w:val="188038"/>
              </w:rPr>
              <w:t>dredge()</w:t>
            </w:r>
            <w:r>
              <w:t>: selección exhaustiva de modelos.</w:t>
            </w:r>
          </w:p>
        </w:tc>
      </w:tr>
      <w:tr w:rsidR="00460383" w14:paraId="65C7B10B" w14:textId="77777777">
        <w:trPr>
          <w:trHeight w:val="51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D379F" w14:textId="77777777" w:rsidR="00460383" w:rsidRDefault="00000000">
            <w:r>
              <w:t>car</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B9280" w14:textId="77777777" w:rsidR="00460383" w:rsidRDefault="00000000">
            <w:r>
              <w:t>https://cran.r-project.org/package=car</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CFF3C6" w14:textId="77777777" w:rsidR="00460383" w:rsidRDefault="00000000">
            <w:r>
              <w:rPr>
                <w:rFonts w:ascii="Roboto Mono" w:eastAsia="Roboto Mono" w:hAnsi="Roboto Mono" w:cs="Roboto Mono"/>
                <w:color w:val="188038"/>
              </w:rPr>
              <w:t>Anova()</w:t>
            </w:r>
            <w:r>
              <w:t xml:space="preserve"> tipo II/III por término.</w:t>
            </w:r>
          </w:p>
        </w:tc>
      </w:tr>
      <w:tr w:rsidR="00460383" w14:paraId="7A7E7800" w14:textId="77777777">
        <w:trPr>
          <w:trHeight w:val="1070"/>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FE317" w14:textId="77777777" w:rsidR="00460383" w:rsidRDefault="00000000">
            <w:r>
              <w:t>performance</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7B902" w14:textId="77777777" w:rsidR="00460383" w:rsidRDefault="00000000">
            <w:r>
              <w:t>https://cran.r-project.org/package=performance</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1386D" w14:textId="77777777" w:rsidR="00460383" w:rsidRDefault="00000000">
            <w:r>
              <w:rPr>
                <w:rFonts w:ascii="Roboto Mono" w:eastAsia="Roboto Mono" w:hAnsi="Roboto Mono" w:cs="Roboto Mono"/>
                <w:color w:val="188038"/>
              </w:rPr>
              <w:t>binned_residuals()</w:t>
            </w:r>
            <w:r>
              <w:t xml:space="preserve">, </w:t>
            </w:r>
            <w:r>
              <w:rPr>
                <w:rFonts w:ascii="Roboto Mono" w:eastAsia="Roboto Mono" w:hAnsi="Roboto Mono" w:cs="Roboto Mono"/>
                <w:color w:val="188038"/>
              </w:rPr>
              <w:t>performance_hosmer()</w:t>
            </w:r>
            <w:r>
              <w:t xml:space="preserve">, </w:t>
            </w:r>
            <w:r>
              <w:rPr>
                <w:rFonts w:ascii="Roboto Mono" w:eastAsia="Roboto Mono" w:hAnsi="Roboto Mono" w:cs="Roboto Mono"/>
                <w:color w:val="188038"/>
              </w:rPr>
              <w:t>check_model()</w:t>
            </w:r>
            <w:r>
              <w:t>.</w:t>
            </w:r>
          </w:p>
        </w:tc>
      </w:tr>
      <w:tr w:rsidR="00460383" w14:paraId="0F7F7BF6" w14:textId="77777777">
        <w:trPr>
          <w:trHeight w:val="1070"/>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CE8DA3" w14:textId="77777777" w:rsidR="00460383" w:rsidRDefault="00000000">
            <w:r>
              <w:t>DHARMa</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C86F2" w14:textId="77777777" w:rsidR="00460383" w:rsidRDefault="00000000">
            <w:r>
              <w:t>https://cran.r-project.org/package=DHARMa</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1DEDC" w14:textId="77777777" w:rsidR="00460383" w:rsidRDefault="00000000">
            <w:r>
              <w:t>Residuos simulados/de cuantil para diagnóstico de GLM/GLMM.</w:t>
            </w:r>
          </w:p>
        </w:tc>
      </w:tr>
      <w:tr w:rsidR="00460383" w14:paraId="25A3A690"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33E45" w14:textId="77777777" w:rsidR="00460383" w:rsidRDefault="00000000">
            <w:r>
              <w:t>arm</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8B5DB" w14:textId="77777777" w:rsidR="00460383" w:rsidRDefault="00000000">
            <w:r>
              <w:t>https://cran.r-project.org/package=arm</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A575C3" w14:textId="77777777" w:rsidR="00460383" w:rsidRDefault="00000000">
            <w:r>
              <w:rPr>
                <w:rFonts w:ascii="Roboto Mono" w:eastAsia="Roboto Mono" w:hAnsi="Roboto Mono" w:cs="Roboto Mono"/>
                <w:color w:val="188038"/>
              </w:rPr>
              <w:t>binnedplot()</w:t>
            </w:r>
            <w:r>
              <w:t>: residuos por tramos.</w:t>
            </w:r>
          </w:p>
        </w:tc>
      </w:tr>
      <w:tr w:rsidR="00460383" w14:paraId="4E5EE2BD"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9AB4C" w14:textId="77777777" w:rsidR="00460383" w:rsidRDefault="00000000">
            <w:r>
              <w:t>yardstick</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D32F0" w14:textId="77777777" w:rsidR="00460383" w:rsidRDefault="00000000">
            <w:r>
              <w:t>https://cran.r-project.org/package=yardstick</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80118" w14:textId="77777777" w:rsidR="00460383" w:rsidRDefault="00000000">
            <w:r>
              <w:t>Matriz de confusión y métricas de clasificación.</w:t>
            </w:r>
          </w:p>
        </w:tc>
      </w:tr>
      <w:tr w:rsidR="00460383" w14:paraId="06C1FA1D"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D5197" w14:textId="77777777" w:rsidR="00460383" w:rsidRDefault="00000000">
            <w:r>
              <w:t>pROC</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FDB08" w14:textId="77777777" w:rsidR="00460383" w:rsidRDefault="00000000">
            <w:r>
              <w:t>https://cran.r-project.org/package=pROC</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29F30" w14:textId="77777777" w:rsidR="00460383" w:rsidRDefault="00000000">
            <w:r>
              <w:t>Curva ROC, AUC y umbral de Youden.</w:t>
            </w:r>
          </w:p>
        </w:tc>
      </w:tr>
      <w:tr w:rsidR="00460383" w14:paraId="58786E87"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4DFCF" w14:textId="77777777" w:rsidR="00460383" w:rsidRDefault="00000000">
            <w:r>
              <w:t>ResourceSelection</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AE7A9" w14:textId="77777777" w:rsidR="00460383" w:rsidRDefault="00000000">
            <w:r>
              <w:t>https://cran.r-project.org/package=ResourceSelection</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6019B" w14:textId="77777777" w:rsidR="00460383" w:rsidRDefault="00000000">
            <w:r>
              <w:rPr>
                <w:rFonts w:ascii="Roboto Mono" w:eastAsia="Roboto Mono" w:hAnsi="Roboto Mono" w:cs="Roboto Mono"/>
                <w:color w:val="188038"/>
              </w:rPr>
              <w:t>hoslem.test()</w:t>
            </w:r>
            <w:r>
              <w:t>: test de Hosmer–Lemeshow.</w:t>
            </w:r>
          </w:p>
        </w:tc>
      </w:tr>
      <w:tr w:rsidR="00460383" w14:paraId="2475B50F"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50C02" w14:textId="77777777" w:rsidR="00460383" w:rsidRDefault="00000000">
            <w:r>
              <w:t>detectseparation</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A6FD5" w14:textId="77777777" w:rsidR="00460383" w:rsidRDefault="00000000">
            <w:r>
              <w:t>https://cran.r-project.org/package=detectseparation</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126AD" w14:textId="77777777" w:rsidR="00460383" w:rsidRDefault="00000000">
            <w:r>
              <w:rPr>
                <w:rFonts w:ascii="Roboto Mono" w:eastAsia="Roboto Mono" w:hAnsi="Roboto Mono" w:cs="Roboto Mono"/>
                <w:color w:val="188038"/>
              </w:rPr>
              <w:t>detect_separation()</w:t>
            </w:r>
            <w:r>
              <w:t>: detección de separación.</w:t>
            </w:r>
          </w:p>
        </w:tc>
      </w:tr>
      <w:tr w:rsidR="00460383" w14:paraId="53DD41FE"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FBDD1" w14:textId="77777777" w:rsidR="00460383" w:rsidRDefault="00000000">
            <w:r>
              <w:lastRenderedPageBreak/>
              <w:t>logistf</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1CBB3" w14:textId="77777777" w:rsidR="00460383" w:rsidRDefault="00000000">
            <w:r>
              <w:t>https://cran.r-project.org/package=logistf</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06486" w14:textId="77777777" w:rsidR="00460383" w:rsidRDefault="00000000">
            <w:r>
              <w:t>Regresión logística penalizada de Firth.</w:t>
            </w:r>
          </w:p>
        </w:tc>
      </w:tr>
      <w:tr w:rsidR="00460383" w14:paraId="7A753CB2" w14:textId="77777777">
        <w:trPr>
          <w:trHeight w:val="785"/>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99AE4" w14:textId="77777777" w:rsidR="00460383" w:rsidRDefault="00000000">
            <w:r>
              <w:t>ggeffects</w:t>
            </w:r>
          </w:p>
        </w:tc>
        <w:tc>
          <w:tcPr>
            <w:tcW w:w="3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81311" w14:textId="77777777" w:rsidR="00460383" w:rsidRDefault="00000000">
            <w:r>
              <w:t>https://cran.r-project.org/package=ggeffects</w:t>
            </w:r>
          </w:p>
        </w:tc>
        <w:tc>
          <w:tcPr>
            <w:tcW w:w="31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03EC7" w14:textId="77777777" w:rsidR="00460383" w:rsidRDefault="00000000">
            <w:r>
              <w:rPr>
                <w:rFonts w:ascii="Roboto Mono" w:eastAsia="Roboto Mono" w:hAnsi="Roboto Mono" w:cs="Roboto Mono"/>
                <w:color w:val="188038"/>
              </w:rPr>
              <w:t>ggpredict()</w:t>
            </w:r>
            <w:r>
              <w:t>: predicciones marginales y su gráfico.</w:t>
            </w:r>
          </w:p>
        </w:tc>
      </w:tr>
    </w:tbl>
    <w:p w14:paraId="7EA661C9" w14:textId="77777777" w:rsidR="00460383" w:rsidRDefault="00460383">
      <w:pPr>
        <w:rPr>
          <w:b/>
          <w:bCs/>
        </w:rPr>
      </w:pPr>
    </w:p>
    <w:p w14:paraId="5002563A" w14:textId="77777777" w:rsidR="00460383" w:rsidRDefault="00460383">
      <w:pPr>
        <w:spacing w:after="120" w:line="276" w:lineRule="auto"/>
        <w:rPr>
          <w:i/>
          <w:iCs/>
          <w:color w:val="777777"/>
        </w:rPr>
      </w:pPr>
    </w:p>
    <w:sectPr w:rsidR="00460383">
      <w:footerReference w:type="default" r:id="rId3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32569" w14:textId="77777777" w:rsidR="00DF095A" w:rsidRDefault="00DF095A">
      <w:r>
        <w:separator/>
      </w:r>
    </w:p>
  </w:endnote>
  <w:endnote w:type="continuationSeparator" w:id="0">
    <w:p w14:paraId="2D3E0781" w14:textId="77777777" w:rsidR="00DF095A" w:rsidRDefault="00DF0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3DAB760-3C61-9543-941E-27FFD43A78D5}"/>
  </w:font>
  <w:font w:name="Arial">
    <w:panose1 w:val="020B0604020202020204"/>
    <w:charset w:val="00"/>
    <w:family w:val="swiss"/>
    <w:pitch w:val="variable"/>
    <w:sig w:usb0="E0002AFF" w:usb1="C0007843" w:usb2="00000009" w:usb3="00000000" w:csb0="000001FF" w:csb1="00000000"/>
    <w:embedRegular r:id="rId2" w:fontKey="{E50A7CBD-FDF0-1F4D-A58F-9F8F6F82AE0E}"/>
    <w:embedBold r:id="rId3" w:fontKey="{2C386494-20DA-744C-A283-E7711E03B36B}"/>
    <w:embedItalic r:id="rId4" w:fontKey="{993B105A-510A-A641-8F7E-2BF8EDE25BA3}"/>
  </w:font>
  <w:font w:name="Georgia">
    <w:panose1 w:val="02040502050405020303"/>
    <w:charset w:val="00"/>
    <w:family w:val="roman"/>
    <w:pitch w:val="variable"/>
    <w:sig w:usb0="00000287" w:usb1="00000000" w:usb2="00000000" w:usb3="00000000" w:csb0="0000009F" w:csb1="00000000"/>
    <w:embedItalic r:id="rId5" w:fontKey="{5CF2E2CF-AFA1-0D4C-A2CC-0457D7E19159}"/>
  </w:font>
  <w:font w:name="Arial Unicode MS">
    <w:panose1 w:val="020B0604020202020204"/>
    <w:charset w:val="80"/>
    <w:family w:val="swiss"/>
    <w:pitch w:val="variable"/>
    <w:sig w:usb0="F7FFAFFF" w:usb1="E9DFFFFF" w:usb2="0000003F" w:usb3="00000000" w:csb0="003F01FF" w:csb1="00000000"/>
    <w:embedRegular r:id="rId6" w:subsetted="1" w:fontKey="{D0452F7A-60A1-0B46-8391-A0964F012F52}"/>
  </w:font>
  <w:font w:name="Roboto Mono">
    <w:panose1 w:val="00000009000000000000"/>
    <w:charset w:val="00"/>
    <w:family w:val="modern"/>
    <w:pitch w:val="fixed"/>
    <w:sig w:usb0="E00002FF" w:usb1="1000205B" w:usb2="00000020" w:usb3="00000000" w:csb0="0000019F" w:csb1="00000000"/>
    <w:embedRegular r:id="rId7" w:fontKey="{6795E695-DE4E-D04D-9CF9-7E200E85073E}"/>
  </w:font>
  <w:font w:name="Calibri">
    <w:panose1 w:val="020F0502020204030204"/>
    <w:charset w:val="00"/>
    <w:family w:val="swiss"/>
    <w:pitch w:val="variable"/>
    <w:sig w:usb0="E4002EFF" w:usb1="C200247B" w:usb2="00000009" w:usb3="00000000" w:csb0="000001FF" w:csb1="00000000"/>
    <w:embedRegular r:id="rId8" w:fontKey="{672E8261-E95A-B149-ACDC-893C7AB3F301}"/>
  </w:font>
  <w:font w:name="Cambria">
    <w:panose1 w:val="02040503050406030204"/>
    <w:charset w:val="00"/>
    <w:family w:val="roman"/>
    <w:pitch w:val="variable"/>
    <w:sig w:usb0="E00006FF" w:usb1="420024FF" w:usb2="02000000" w:usb3="00000000" w:csb0="0000019F" w:csb1="00000000"/>
    <w:embedRegular r:id="rId9" w:fontKey="{478F7726-A28A-634E-94C5-F547728D3D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84F3" w14:textId="77777777" w:rsidR="00460383" w:rsidRDefault="00000000">
    <w:pPr>
      <w:pBdr>
        <w:top w:val="single" w:sz="4" w:space="6" w:color="CCCCCC"/>
      </w:pBdr>
      <w:jc w:val="center"/>
    </w:pPr>
    <w:r>
      <w:rPr>
        <w:color w:val="777777"/>
        <w:sz w:val="16"/>
        <w:szCs w:val="16"/>
      </w:rPr>
      <w:t xml:space="preserve">Modelos Lineales Generalizados con R · Guía docente · 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38354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8C5F0" w14:textId="77777777" w:rsidR="00DF095A" w:rsidRDefault="00DF095A">
      <w:r>
        <w:separator/>
      </w:r>
    </w:p>
  </w:footnote>
  <w:footnote w:type="continuationSeparator" w:id="0">
    <w:p w14:paraId="7EA3C915" w14:textId="77777777" w:rsidR="00DF095A" w:rsidRDefault="00DF0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327C1"/>
    <w:multiLevelType w:val="multilevel"/>
    <w:tmpl w:val="C34007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C787700"/>
    <w:multiLevelType w:val="multilevel"/>
    <w:tmpl w:val="2F2E8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F20D8C"/>
    <w:multiLevelType w:val="multilevel"/>
    <w:tmpl w:val="E01AF1A0"/>
    <w:lvl w:ilvl="0">
      <w:start w:val="1"/>
      <w:numFmt w:val="bullet"/>
      <w:lvlText w:val="•"/>
      <w:lvlJc w:val="left"/>
      <w:pPr>
        <w:ind w:left="567" w:hanging="283"/>
      </w:pPr>
    </w:lvl>
    <w:lvl w:ilvl="1">
      <w:start w:val="1"/>
      <w:numFmt w:val="bullet"/>
      <w:lvlText w:val="–"/>
      <w:lvlJc w:val="left"/>
      <w:pPr>
        <w:ind w:left="1134" w:hanging="282"/>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5E714B0"/>
    <w:multiLevelType w:val="multilevel"/>
    <w:tmpl w:val="A7247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7304642">
    <w:abstractNumId w:val="1"/>
  </w:num>
  <w:num w:numId="2" w16cid:durableId="919408704">
    <w:abstractNumId w:val="2"/>
  </w:num>
  <w:num w:numId="3" w16cid:durableId="1559396244">
    <w:abstractNumId w:val="0"/>
  </w:num>
  <w:num w:numId="4" w16cid:durableId="1685670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383"/>
    <w:rsid w:val="00383549"/>
    <w:rsid w:val="00460383"/>
    <w:rsid w:val="006D7D4A"/>
    <w:rsid w:val="00DF09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AA3B"/>
  <w15:docId w15:val="{5F742A9A-E7E0-D646-A347-D94FBC7F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single" w:sz="6" w:space="4" w:color="2E5496"/>
        <w:right w:val="nil"/>
        <w:between w:val="nil"/>
      </w:pBdr>
      <w:spacing w:before="280" w:after="160"/>
      <w:outlineLvl w:val="0"/>
    </w:pPr>
    <w:rPr>
      <w:b/>
      <w:bCs/>
      <w:color w:val="1F3864"/>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20" w:after="120"/>
      <w:outlineLvl w:val="1"/>
    </w:pPr>
    <w:rPr>
      <w:b/>
      <w:bCs/>
      <w:color w:val="2E5496"/>
      <w:sz w:val="25"/>
      <w:szCs w:val="25"/>
    </w:rPr>
  </w:style>
  <w:style w:type="paragraph" w:styleId="Ttulo3">
    <w:name w:val="heading 3"/>
    <w:basedOn w:val="Normal"/>
    <w:next w:val="Normal"/>
    <w:uiPriority w:val="9"/>
    <w:unhideWhenUsed/>
    <w:qFormat/>
    <w:pPr>
      <w:pBdr>
        <w:top w:val="nil"/>
        <w:left w:val="nil"/>
        <w:bottom w:val="nil"/>
        <w:right w:val="nil"/>
        <w:between w:val="nil"/>
      </w:pBdr>
      <w:spacing w:before="160" w:after="80"/>
      <w:outlineLvl w:val="2"/>
    </w:pPr>
    <w:rPr>
      <w:b/>
      <w:bCs/>
      <w:color w:val="40404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11/j.2517-6161.1972.tb00899.x" TargetMode="External"/><Relationship Id="rId18" Type="http://schemas.openxmlformats.org/officeDocument/2006/relationships/hyperlink" Target="https://doi.org/10.1080/01621459.1981.10477634" TargetMode="External"/><Relationship Id="rId26" Type="http://schemas.openxmlformats.org/officeDocument/2006/relationships/hyperlink" Target="https://doi.org/10.18637/jss.v033.i01" TargetMode="External"/><Relationship Id="rId3" Type="http://schemas.openxmlformats.org/officeDocument/2006/relationships/styles" Target="styles.xml"/><Relationship Id="rId21" Type="http://schemas.openxmlformats.org/officeDocument/2006/relationships/hyperlink" Target="https://doi.org/10.2307/234461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2307/270718" TargetMode="External"/><Relationship Id="rId17" Type="http://schemas.openxmlformats.org/officeDocument/2006/relationships/hyperlink" Target="https://doi.org/10.2307/2529982" TargetMode="External"/><Relationship Id="rId25" Type="http://schemas.openxmlformats.org/officeDocument/2006/relationships/hyperlink" Target="https://doi.org/10.18637/jss.v067.i0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2307/2529982" TargetMode="External"/><Relationship Id="rId20" Type="http://schemas.openxmlformats.org/officeDocument/2006/relationships/hyperlink" Target="https://doi.org/10.1002/9781118548387" TargetMode="External"/><Relationship Id="rId29" Type="http://schemas.openxmlformats.org/officeDocument/2006/relationships/hyperlink" Target="https://dama.umh.es/discovery/fulldisplay?docid=alma991001281202206331&amp;context=U&amp;vid=34CVA_UMH:VU1&amp;lan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307/270718" TargetMode="External"/><Relationship Id="rId24" Type="http://schemas.openxmlformats.org/officeDocument/2006/relationships/hyperlink" Target="https://www.r-project.org/"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201/9781315182780" TargetMode="External"/><Relationship Id="rId23" Type="http://schemas.openxmlformats.org/officeDocument/2006/relationships/hyperlink" Target="https://doi.org/10.2307/2529588" TargetMode="External"/><Relationship Id="rId28" Type="http://schemas.openxmlformats.org/officeDocument/2006/relationships/hyperlink" Target="https://dama.umh.es/discovery/fulldisplay?docid=alma991000827409706331&amp;context=U&amp;vid=34CVA_UMH:VU1&amp;lang=es" TargetMode="External"/><Relationship Id="rId10" Type="http://schemas.openxmlformats.org/officeDocument/2006/relationships/hyperlink" Target="https://doi.org/10.2307/2986139" TargetMode="External"/><Relationship Id="rId19" Type="http://schemas.openxmlformats.org/officeDocument/2006/relationships/hyperlink" Target="https://doi.org/10.1080/01621459.1981.10477634" TargetMode="External"/><Relationship Id="rId31" Type="http://schemas.openxmlformats.org/officeDocument/2006/relationships/hyperlink" Target="https://dama.umh.es/discovery/fulldisplay?docid=alma991001379373306331&amp;context=U&amp;vid=34CVA_UMH:VU1&amp;lang=es" TargetMode="External"/><Relationship Id="rId4" Type="http://schemas.openxmlformats.org/officeDocument/2006/relationships/settings" Target="settings.xml"/><Relationship Id="rId9" Type="http://schemas.openxmlformats.org/officeDocument/2006/relationships/hyperlink" Target="https://docs.google.com/spreadsheets/d/1X7QUlJpGiuj8-9yppcqRqVaq2HHp_mU5z-fv-zA24r0/" TargetMode="External"/><Relationship Id="rId14" Type="http://schemas.openxmlformats.org/officeDocument/2006/relationships/hyperlink" Target="https://doi.org/10.1111/j.2517-6161.1972.tb00899.x" TargetMode="External"/><Relationship Id="rId22" Type="http://schemas.openxmlformats.org/officeDocument/2006/relationships/hyperlink" Target="https://doi.org/10.2307/2529588" TargetMode="External"/><Relationship Id="rId27" Type="http://schemas.openxmlformats.org/officeDocument/2006/relationships/hyperlink" Target="https://cran.r-project.org/package=survival" TargetMode="External"/><Relationship Id="rId30" Type="http://schemas.openxmlformats.org/officeDocument/2006/relationships/hyperlink" Target="https://dama.umh.es/discovery/fulldisplay?docid=alma991000709379706331&amp;context=U&amp;vid=34CVA_UMH:VU1&amp;lang=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K+nmLWwM3urhqU5DhD1zqsySA==">CgMxLjAaJAoBMBIfCh0IB0IZCgVBcmltbxIQQXJpYWwgVW5pY29kZSBNUxokCgExEh8KHQgHQhkKBUFyaW1vEhBBcmlhbCBVbmljb2RlIE1TGh0KATISGAoWCAdCEhIQQXJpYWwgVW5pY29kZSBNUxodCgEzEhgKFggHQhISEEFyaWFsIFVuaWNvZGUgTVMaHQoBNBIYChYIB0ISEhBBcmlhbCBVbmljb2RlIE1TMg5oLm1jNnA1MnRwdWZjNDINaC40MG1sd3JwcWY2eDIOaC5lbGxrOHVmdWV4czAyDmguaDZjdzE1dmRsaXNuMg5oLm05dWt0bDl4bDY4MDIOaC5vYWxwcG1ocGt5NDMyDmguYzV1dXMwdDIxcjdiMg5oLmp6bnZndHN0ZXlnbjIOaC5zOXN6emwzNGs0NDEyDmguemU5b2M3bHZoaTQ0OAByITFGM0FieVptaFNpb3ZmRHYxakRmdy0wTGZjdTZ2eUxD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7617</Words>
  <Characters>41894</Characters>
  <Application>Microsoft Office Word</Application>
  <DocSecurity>0</DocSecurity>
  <Lines>349</Lines>
  <Paragraphs>98</Paragraphs>
  <ScaleCrop>false</ScaleCrop>
  <Company/>
  <LinksUpToDate>false</LinksUpToDate>
  <CharactersWithSpaces>49413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Martínez Mayoral, Maria Asuncion</cp:lastModifiedBy>
  <cp:revision>2</cp:revision>
  <dcterms:created xsi:type="dcterms:W3CDTF">2026-07-14T16:35:00Z</dcterms:created>
  <dcterms:modified xsi:type="dcterms:W3CDTF">2026-07-14T16:37:00Z</dcterms:modified>
</cp:coreProperties>
</file>