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首页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banner图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 - 业务概览-港口基础设施-航道工程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关于华滋海工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新闻中心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关于华滋国际海洋工程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公司简介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集团简介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发展历程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荣誉奖项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管理团队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我们的业务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业务概览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航口基础设施（可选择推荐到首页）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航道工程（可选择推荐到首页）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新闻中心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新闻分类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新闻的增删改查 （可选择推荐到首页）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联系我们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传真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友情链接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备案号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整体网站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页面TDK管理（title description keywords  页面标题 页面描述 页面</w:t>
      </w:r>
      <w:bookmarkStart w:id="0" w:name="_GoBack"/>
      <w:bookmarkEnd w:id="0"/>
      <w:r>
        <w:rPr>
          <w:rFonts w:hint="eastAsia"/>
          <w:lang w:val="en-US" w:eastAsia="zh-CN"/>
        </w:rPr>
        <w:t>关键词）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7D7F23"/>
    <w:multiLevelType w:val="singleLevel"/>
    <w:tmpl w:val="A17D7F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72C9024"/>
    <w:multiLevelType w:val="singleLevel"/>
    <w:tmpl w:val="A72C90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92AB5FE"/>
    <w:multiLevelType w:val="singleLevel"/>
    <w:tmpl w:val="B92AB5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A4AB864"/>
    <w:multiLevelType w:val="singleLevel"/>
    <w:tmpl w:val="BA4AB8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30C7C6D"/>
    <w:multiLevelType w:val="singleLevel"/>
    <w:tmpl w:val="630C7C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262F86A"/>
    <w:multiLevelType w:val="singleLevel"/>
    <w:tmpl w:val="7262F8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76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</dc:creator>
  <cp:lastModifiedBy>mx</cp:lastModifiedBy>
  <dcterms:modified xsi:type="dcterms:W3CDTF">2018-10-22T07:59:20Z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