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73402" w14:textId="5E52F2A9" w:rsidR="007008A8" w:rsidRPr="007008A8" w:rsidRDefault="007008A8" w:rsidP="007008A8">
      <w:pPr>
        <w:spacing w:line="360" w:lineRule="auto"/>
        <w:jc w:val="center"/>
        <w:rPr>
          <w:rFonts w:ascii="Times New Roman" w:hAnsi="Times New Roman" w:cs="Times New Roman"/>
        </w:rPr>
      </w:pPr>
      <w:r w:rsidRPr="007008A8">
        <w:rPr>
          <w:rFonts w:ascii="Times New Roman" w:hAnsi="Times New Roman" w:cs="Times New Roman"/>
        </w:rPr>
        <w:t>CORNELL UNIVERSITY</w:t>
      </w:r>
    </w:p>
    <w:p w14:paraId="1FDB5284" w14:textId="60F08621" w:rsidR="007008A8" w:rsidRPr="007008A8" w:rsidRDefault="007008A8" w:rsidP="007008A8">
      <w:pPr>
        <w:spacing w:line="360" w:lineRule="auto"/>
        <w:jc w:val="center"/>
        <w:rPr>
          <w:rFonts w:ascii="Times New Roman" w:hAnsi="Times New Roman" w:cs="Times New Roman"/>
        </w:rPr>
      </w:pPr>
      <w:r w:rsidRPr="007008A8">
        <w:rPr>
          <w:rFonts w:ascii="Times New Roman" w:hAnsi="Times New Roman" w:cs="Times New Roman"/>
        </w:rPr>
        <w:t>FINAL EXAM, SPRING 202</w:t>
      </w:r>
      <w:r w:rsidR="00C91911">
        <w:rPr>
          <w:rFonts w:ascii="Times New Roman" w:hAnsi="Times New Roman" w:cs="Times New Roman"/>
        </w:rPr>
        <w:t>4</w:t>
      </w:r>
    </w:p>
    <w:p w14:paraId="7378C7BF" w14:textId="77777777" w:rsidR="007008A8" w:rsidRDefault="007008A8" w:rsidP="007008A8">
      <w:pPr>
        <w:spacing w:line="360" w:lineRule="auto"/>
        <w:jc w:val="center"/>
        <w:rPr>
          <w:rFonts w:ascii="Times New Roman" w:hAnsi="Times New Roman" w:cs="Times New Roman"/>
        </w:rPr>
      </w:pPr>
      <w:r w:rsidRPr="007008A8">
        <w:rPr>
          <w:rFonts w:ascii="Times New Roman" w:hAnsi="Times New Roman" w:cs="Times New Roman"/>
        </w:rPr>
        <w:t xml:space="preserve">SUSTAINABLE FINANCE: SOUTHEAST ASIA AND GLOBAL PERSPECTIVES </w:t>
      </w:r>
    </w:p>
    <w:p w14:paraId="1084FDDA" w14:textId="42271913" w:rsidR="007008A8" w:rsidRPr="007008A8" w:rsidRDefault="007008A8" w:rsidP="007008A8">
      <w:pPr>
        <w:spacing w:line="360" w:lineRule="auto"/>
        <w:jc w:val="center"/>
        <w:rPr>
          <w:rFonts w:ascii="Times New Roman" w:hAnsi="Times New Roman" w:cs="Times New Roman"/>
        </w:rPr>
      </w:pPr>
      <w:r w:rsidRPr="007008A8">
        <w:rPr>
          <w:rFonts w:ascii="Times New Roman" w:hAnsi="Times New Roman" w:cs="Times New Roman"/>
        </w:rPr>
        <w:t>PUBPOL 3615/</w:t>
      </w:r>
      <w:r w:rsidR="00C91911">
        <w:rPr>
          <w:rFonts w:ascii="Times New Roman" w:hAnsi="Times New Roman" w:cs="Times New Roman"/>
        </w:rPr>
        <w:t xml:space="preserve">PADM </w:t>
      </w:r>
      <w:r w:rsidRPr="007008A8">
        <w:rPr>
          <w:rFonts w:ascii="Times New Roman" w:hAnsi="Times New Roman" w:cs="Times New Roman"/>
        </w:rPr>
        <w:t>5615</w:t>
      </w:r>
    </w:p>
    <w:p w14:paraId="0C4C56AA" w14:textId="77777777" w:rsidR="007008A8" w:rsidRDefault="007008A8" w:rsidP="007008A8">
      <w:pPr>
        <w:spacing w:line="360" w:lineRule="auto"/>
        <w:jc w:val="both"/>
        <w:rPr>
          <w:rFonts w:ascii="Times New Roman" w:hAnsi="Times New Roman" w:cs="Times New Roman"/>
          <w:b/>
          <w:bCs/>
        </w:rPr>
      </w:pPr>
    </w:p>
    <w:p w14:paraId="52F58B05" w14:textId="53FAE023" w:rsidR="007008A8" w:rsidRDefault="007008A8" w:rsidP="00C91911">
      <w:pPr>
        <w:spacing w:line="360" w:lineRule="auto"/>
        <w:jc w:val="both"/>
        <w:rPr>
          <w:rFonts w:ascii="Times New Roman" w:hAnsi="Times New Roman" w:cs="Times New Roman"/>
        </w:rPr>
      </w:pPr>
      <w:r w:rsidRPr="007008A8">
        <w:rPr>
          <w:rFonts w:ascii="Times New Roman" w:hAnsi="Times New Roman" w:cs="Times New Roman"/>
          <w:b/>
          <w:bCs/>
        </w:rPr>
        <w:t>QUESTION 1 (25 POINTS)</w:t>
      </w:r>
    </w:p>
    <w:p w14:paraId="01EC2661" w14:textId="77777777" w:rsidR="00C91911" w:rsidRPr="00C91911" w:rsidRDefault="00C91911" w:rsidP="00C91911">
      <w:pPr>
        <w:spacing w:line="360" w:lineRule="auto"/>
        <w:jc w:val="both"/>
        <w:rPr>
          <w:rFonts w:ascii="Times New Roman" w:hAnsi="Times New Roman" w:cs="Times New Roman"/>
        </w:rPr>
      </w:pPr>
      <w:r w:rsidRPr="00C91911">
        <w:rPr>
          <w:rFonts w:ascii="Times New Roman" w:hAnsi="Times New Roman" w:cs="Times New Roman"/>
        </w:rPr>
        <w:t>The Malaysian Ministry of Investment, Trade and Industry is considering a proposal for a one-time subsidy to increase electric vehicle (EV) ownership in the domestic market.</w:t>
      </w:r>
    </w:p>
    <w:p w14:paraId="5B88F91B" w14:textId="77777777" w:rsidR="00C91911" w:rsidRPr="00C91911" w:rsidRDefault="00C91911" w:rsidP="00C91911">
      <w:pPr>
        <w:numPr>
          <w:ilvl w:val="0"/>
          <w:numId w:val="5"/>
        </w:numPr>
        <w:spacing w:line="360" w:lineRule="auto"/>
        <w:jc w:val="both"/>
        <w:rPr>
          <w:rFonts w:ascii="Times New Roman" w:hAnsi="Times New Roman" w:cs="Times New Roman"/>
        </w:rPr>
      </w:pPr>
      <w:r w:rsidRPr="00C91911">
        <w:rPr>
          <w:rFonts w:ascii="Times New Roman" w:hAnsi="Times New Roman" w:cs="Times New Roman"/>
        </w:rPr>
        <w:t>Using the functions of government framework, argue whether this proposed government intervention is justified.</w:t>
      </w:r>
    </w:p>
    <w:p w14:paraId="30C95E8C" w14:textId="77777777" w:rsidR="00C91911" w:rsidRPr="00C91911" w:rsidRDefault="00C91911" w:rsidP="00C91911">
      <w:pPr>
        <w:numPr>
          <w:ilvl w:val="0"/>
          <w:numId w:val="5"/>
        </w:numPr>
        <w:spacing w:line="360" w:lineRule="auto"/>
        <w:jc w:val="both"/>
        <w:rPr>
          <w:rFonts w:ascii="Times New Roman" w:hAnsi="Times New Roman" w:cs="Times New Roman"/>
        </w:rPr>
      </w:pPr>
      <w:r w:rsidRPr="00C91911">
        <w:rPr>
          <w:rFonts w:ascii="Times New Roman" w:hAnsi="Times New Roman" w:cs="Times New Roman"/>
        </w:rPr>
        <w:t>Given the government’s budget constraints, explain why a utilitarian policy maker would prefer providing free EV charging stations over subsidizing personal EVs.</w:t>
      </w:r>
    </w:p>
    <w:p w14:paraId="24A83E7C" w14:textId="079A32DC" w:rsidR="00C91911" w:rsidRPr="00C91911" w:rsidRDefault="00C91911" w:rsidP="00C91911">
      <w:pPr>
        <w:numPr>
          <w:ilvl w:val="0"/>
          <w:numId w:val="5"/>
        </w:numPr>
        <w:spacing w:line="360" w:lineRule="auto"/>
        <w:jc w:val="both"/>
        <w:rPr>
          <w:rFonts w:ascii="Times New Roman" w:hAnsi="Times New Roman" w:cs="Times New Roman"/>
        </w:rPr>
      </w:pPr>
      <w:r w:rsidRPr="00C91911">
        <w:rPr>
          <w:rFonts w:ascii="Times New Roman" w:hAnsi="Times New Roman" w:cs="Times New Roman"/>
        </w:rPr>
        <w:t>Suppose the EV charging stations and personal EVs are supplied by two different companies, and both are listed on the Malaysia stock exchange. Relative to each other, will their stock prices exhibit high positive, low positive, zero, low negative, or high negative covariances? Why?</w:t>
      </w:r>
    </w:p>
    <w:p w14:paraId="30E3149C"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rPr>
        <w:t> </w:t>
      </w:r>
    </w:p>
    <w:p w14:paraId="129A7DB1"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b/>
          <w:bCs/>
        </w:rPr>
        <w:t>QUESTION 2 (25 POINTS)</w:t>
      </w:r>
    </w:p>
    <w:p w14:paraId="479B1153" w14:textId="77777777" w:rsidR="00C91911" w:rsidRPr="00C91911" w:rsidRDefault="00C91911" w:rsidP="00C91911">
      <w:pPr>
        <w:spacing w:line="360" w:lineRule="auto"/>
        <w:jc w:val="both"/>
        <w:rPr>
          <w:rFonts w:ascii="Times New Roman" w:hAnsi="Times New Roman" w:cs="Times New Roman"/>
        </w:rPr>
      </w:pPr>
      <w:r w:rsidRPr="00C91911">
        <w:rPr>
          <w:rFonts w:ascii="Times New Roman" w:hAnsi="Times New Roman" w:cs="Times New Roman"/>
        </w:rPr>
        <w:t>The Thai government is planning to introduce a carbon tax in the energy, transport, and industry sectors to encourage businesses and consumers to reduce emissions.</w:t>
      </w:r>
    </w:p>
    <w:p w14:paraId="22F480A9" w14:textId="77777777" w:rsidR="00C91911" w:rsidRPr="00C91911" w:rsidRDefault="00C91911" w:rsidP="00C91911">
      <w:pPr>
        <w:numPr>
          <w:ilvl w:val="0"/>
          <w:numId w:val="6"/>
        </w:numPr>
        <w:spacing w:line="360" w:lineRule="auto"/>
        <w:jc w:val="both"/>
        <w:rPr>
          <w:rFonts w:ascii="Times New Roman" w:hAnsi="Times New Roman" w:cs="Times New Roman"/>
        </w:rPr>
      </w:pPr>
      <w:r w:rsidRPr="00C91911">
        <w:rPr>
          <w:rFonts w:ascii="Times New Roman" w:hAnsi="Times New Roman" w:cs="Times New Roman"/>
        </w:rPr>
        <w:t>Will a carbon tax bolster “economic growth” in Thailand, or will it instead push the country towards the “uneconomic growth” stage? Explain.</w:t>
      </w:r>
    </w:p>
    <w:p w14:paraId="0A530B97" w14:textId="4D99597C" w:rsidR="007008A8" w:rsidRPr="00C91911" w:rsidRDefault="00C91911" w:rsidP="00C91911">
      <w:pPr>
        <w:numPr>
          <w:ilvl w:val="0"/>
          <w:numId w:val="6"/>
        </w:numPr>
        <w:spacing w:line="360" w:lineRule="auto"/>
        <w:jc w:val="both"/>
        <w:rPr>
          <w:rFonts w:ascii="Times New Roman" w:hAnsi="Times New Roman" w:cs="Times New Roman"/>
        </w:rPr>
      </w:pPr>
      <w:r w:rsidRPr="00C91911">
        <w:rPr>
          <w:rFonts w:ascii="Times New Roman" w:hAnsi="Times New Roman" w:cs="Times New Roman"/>
        </w:rPr>
        <w:t>Among the criteria for evaluating a tax policy are (</w:t>
      </w:r>
      <w:proofErr w:type="spellStart"/>
      <w:r w:rsidRPr="00C91911">
        <w:rPr>
          <w:rFonts w:ascii="Times New Roman" w:hAnsi="Times New Roman" w:cs="Times New Roman"/>
        </w:rPr>
        <w:t>i</w:t>
      </w:r>
      <w:proofErr w:type="spellEnd"/>
      <w:r w:rsidRPr="00C91911">
        <w:rPr>
          <w:rFonts w:ascii="Times New Roman" w:hAnsi="Times New Roman" w:cs="Times New Roman"/>
        </w:rPr>
        <w:t>) equity implications and (ii) the adequacy of government revenue it generates. In the context of Thailand, evaluate the carbon tax using these two criteria, respectively.</w:t>
      </w:r>
    </w:p>
    <w:p w14:paraId="2EF06850"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rPr>
        <w:t> </w:t>
      </w:r>
    </w:p>
    <w:p w14:paraId="711B1969" w14:textId="07975229" w:rsidR="007008A8" w:rsidRDefault="007008A8" w:rsidP="00C91911">
      <w:pPr>
        <w:spacing w:line="360" w:lineRule="auto"/>
        <w:jc w:val="both"/>
        <w:rPr>
          <w:rFonts w:ascii="Times New Roman" w:hAnsi="Times New Roman" w:cs="Times New Roman"/>
        </w:rPr>
      </w:pPr>
      <w:r w:rsidRPr="007008A8">
        <w:rPr>
          <w:rFonts w:ascii="Times New Roman" w:hAnsi="Times New Roman" w:cs="Times New Roman"/>
          <w:b/>
          <w:bCs/>
        </w:rPr>
        <w:t>QUESTION 3 (25 POINTS)</w:t>
      </w:r>
    </w:p>
    <w:p w14:paraId="3196F447" w14:textId="77777777" w:rsidR="00C91911" w:rsidRPr="00C91911" w:rsidRDefault="00C91911" w:rsidP="00C91911">
      <w:pPr>
        <w:spacing w:line="360" w:lineRule="auto"/>
        <w:jc w:val="both"/>
        <w:rPr>
          <w:rFonts w:ascii="Times New Roman" w:hAnsi="Times New Roman" w:cs="Times New Roman"/>
        </w:rPr>
      </w:pPr>
      <w:r w:rsidRPr="00C91911">
        <w:rPr>
          <w:rFonts w:ascii="Times New Roman" w:hAnsi="Times New Roman" w:cs="Times New Roman"/>
        </w:rPr>
        <w:t>Green bonds issuance has seen an increasing trend in Vietnam, and it can be ascribed to the active involvement of not only the government but also private entities.</w:t>
      </w:r>
    </w:p>
    <w:p w14:paraId="07260B28" w14:textId="77777777" w:rsidR="00C91911" w:rsidRPr="00C91911" w:rsidRDefault="00C91911" w:rsidP="00C91911">
      <w:pPr>
        <w:numPr>
          <w:ilvl w:val="0"/>
          <w:numId w:val="7"/>
        </w:numPr>
        <w:spacing w:line="360" w:lineRule="auto"/>
        <w:jc w:val="both"/>
        <w:rPr>
          <w:rFonts w:ascii="Times New Roman" w:hAnsi="Times New Roman" w:cs="Times New Roman"/>
        </w:rPr>
      </w:pPr>
      <w:r w:rsidRPr="00C91911">
        <w:rPr>
          <w:rFonts w:ascii="Times New Roman" w:hAnsi="Times New Roman" w:cs="Times New Roman"/>
        </w:rPr>
        <w:lastRenderedPageBreak/>
        <w:t>Are coupon rates for </w:t>
      </w:r>
      <w:r w:rsidRPr="00C91911">
        <w:rPr>
          <w:rFonts w:ascii="Times New Roman" w:hAnsi="Times New Roman" w:cs="Times New Roman"/>
          <w:i/>
          <w:iCs/>
        </w:rPr>
        <w:t>green</w:t>
      </w:r>
      <w:r w:rsidRPr="00C91911">
        <w:rPr>
          <w:rFonts w:ascii="Times New Roman" w:hAnsi="Times New Roman" w:cs="Times New Roman"/>
        </w:rPr>
        <w:t> </w:t>
      </w:r>
      <w:r w:rsidRPr="00C91911">
        <w:rPr>
          <w:rFonts w:ascii="Times New Roman" w:hAnsi="Times New Roman" w:cs="Times New Roman"/>
          <w:i/>
          <w:iCs/>
        </w:rPr>
        <w:t>corporate bonds</w:t>
      </w:r>
      <w:r w:rsidRPr="00C91911">
        <w:rPr>
          <w:rFonts w:ascii="Times New Roman" w:hAnsi="Times New Roman" w:cs="Times New Roman"/>
        </w:rPr>
        <w:t> typically higher or lower than those of </w:t>
      </w:r>
      <w:r w:rsidRPr="00C91911">
        <w:rPr>
          <w:rFonts w:ascii="Times New Roman" w:hAnsi="Times New Roman" w:cs="Times New Roman"/>
          <w:i/>
          <w:iCs/>
        </w:rPr>
        <w:t>conventional corporate bonds</w:t>
      </w:r>
      <w:r w:rsidRPr="00C91911">
        <w:rPr>
          <w:rFonts w:ascii="Times New Roman" w:hAnsi="Times New Roman" w:cs="Times New Roman"/>
        </w:rPr>
        <w:t>? Provide a numerical example within the context of Vietnam for illustration.</w:t>
      </w:r>
    </w:p>
    <w:p w14:paraId="5986BC52" w14:textId="77777777" w:rsidR="00C91911" w:rsidRPr="00C91911" w:rsidRDefault="00C91911" w:rsidP="00C91911">
      <w:pPr>
        <w:numPr>
          <w:ilvl w:val="0"/>
          <w:numId w:val="7"/>
        </w:numPr>
        <w:spacing w:line="360" w:lineRule="auto"/>
        <w:jc w:val="both"/>
        <w:rPr>
          <w:rFonts w:ascii="Times New Roman" w:hAnsi="Times New Roman" w:cs="Times New Roman"/>
        </w:rPr>
      </w:pPr>
      <w:r w:rsidRPr="00C91911">
        <w:rPr>
          <w:rFonts w:ascii="Times New Roman" w:hAnsi="Times New Roman" w:cs="Times New Roman"/>
        </w:rPr>
        <w:t>Argue for the notion that green bonds issuance serves as a means for private entities to engage in greenwashing.</w:t>
      </w:r>
    </w:p>
    <w:p w14:paraId="6E80174E" w14:textId="49898287" w:rsidR="00C91911" w:rsidRPr="00C91911" w:rsidRDefault="00C91911" w:rsidP="00C91911">
      <w:pPr>
        <w:numPr>
          <w:ilvl w:val="0"/>
          <w:numId w:val="7"/>
        </w:numPr>
        <w:spacing w:line="360" w:lineRule="auto"/>
        <w:jc w:val="both"/>
        <w:rPr>
          <w:rFonts w:ascii="Times New Roman" w:hAnsi="Times New Roman" w:cs="Times New Roman"/>
        </w:rPr>
      </w:pPr>
      <w:r w:rsidRPr="00C91911">
        <w:rPr>
          <w:rFonts w:ascii="Times New Roman" w:hAnsi="Times New Roman" w:cs="Times New Roman"/>
        </w:rPr>
        <w:t>Provide the counterargument to the notion that green bonds issuance serves as a means for private entities to engage in greenwashing.</w:t>
      </w:r>
    </w:p>
    <w:p w14:paraId="37AAB480"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rPr>
        <w:t> </w:t>
      </w:r>
    </w:p>
    <w:p w14:paraId="2ADB66F2"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b/>
          <w:bCs/>
        </w:rPr>
        <w:t>QUESTION 4 (25 POINTS)</w:t>
      </w:r>
    </w:p>
    <w:p w14:paraId="6D394D89" w14:textId="77777777" w:rsidR="00C91911" w:rsidRPr="00C91911" w:rsidRDefault="00C91911" w:rsidP="00C91911">
      <w:pPr>
        <w:spacing w:line="360" w:lineRule="auto"/>
        <w:jc w:val="both"/>
        <w:rPr>
          <w:rFonts w:ascii="Times New Roman" w:hAnsi="Times New Roman" w:cs="Times New Roman"/>
        </w:rPr>
      </w:pPr>
      <w:r w:rsidRPr="00C91911">
        <w:rPr>
          <w:rFonts w:ascii="Times New Roman" w:hAnsi="Times New Roman" w:cs="Times New Roman"/>
        </w:rPr>
        <w:t>The increasing adoption of Environmental, Social, and Governance (ESG) ratings in the Singaporean capital market is attributable in part to the availability of a code of conduct. Applicable to providers of ESG ratings, this code was formulated by the government in consultation with industry stakeholders.</w:t>
      </w:r>
    </w:p>
    <w:p w14:paraId="4A608385" w14:textId="77777777" w:rsidR="00C91911" w:rsidRPr="00C91911" w:rsidRDefault="00C91911" w:rsidP="00C91911">
      <w:pPr>
        <w:numPr>
          <w:ilvl w:val="0"/>
          <w:numId w:val="8"/>
        </w:numPr>
        <w:spacing w:line="360" w:lineRule="auto"/>
        <w:jc w:val="both"/>
        <w:rPr>
          <w:rFonts w:ascii="Times New Roman" w:hAnsi="Times New Roman" w:cs="Times New Roman"/>
        </w:rPr>
      </w:pPr>
      <w:r w:rsidRPr="00C91911">
        <w:rPr>
          <w:rFonts w:ascii="Times New Roman" w:hAnsi="Times New Roman" w:cs="Times New Roman"/>
        </w:rPr>
        <w:t xml:space="preserve">Can the provision of the code be classified as a financial </w:t>
      </w:r>
      <w:proofErr w:type="spellStart"/>
      <w:r w:rsidRPr="00C91911">
        <w:rPr>
          <w:rFonts w:ascii="Times New Roman" w:hAnsi="Times New Roman" w:cs="Times New Roman"/>
        </w:rPr>
        <w:t>derisking</w:t>
      </w:r>
      <w:proofErr w:type="spellEnd"/>
      <w:r w:rsidRPr="00C91911">
        <w:rPr>
          <w:rFonts w:ascii="Times New Roman" w:hAnsi="Times New Roman" w:cs="Times New Roman"/>
        </w:rPr>
        <w:t xml:space="preserve"> policy? Why or why not?</w:t>
      </w:r>
    </w:p>
    <w:p w14:paraId="73A25DCE" w14:textId="77777777" w:rsidR="00C91911" w:rsidRPr="00C91911" w:rsidRDefault="00C91911" w:rsidP="00C91911">
      <w:pPr>
        <w:numPr>
          <w:ilvl w:val="0"/>
          <w:numId w:val="8"/>
        </w:numPr>
        <w:spacing w:line="360" w:lineRule="auto"/>
        <w:jc w:val="both"/>
        <w:rPr>
          <w:rFonts w:ascii="Times New Roman" w:hAnsi="Times New Roman" w:cs="Times New Roman"/>
        </w:rPr>
      </w:pPr>
      <w:r w:rsidRPr="00C91911">
        <w:rPr>
          <w:rFonts w:ascii="Times New Roman" w:hAnsi="Times New Roman" w:cs="Times New Roman"/>
        </w:rPr>
        <w:t>Rating agencies are typically paid by issuers despite the potential conflict of interests. Considering the political-bureaucratic relations in Singapore, would this issue be resolved by having the Singaporean government as the exclusive rater instead? Explain your reasoning.</w:t>
      </w:r>
    </w:p>
    <w:p w14:paraId="36F59588" w14:textId="77777777" w:rsidR="00C91911" w:rsidRPr="00C91911" w:rsidRDefault="00C91911" w:rsidP="00C91911">
      <w:pPr>
        <w:numPr>
          <w:ilvl w:val="0"/>
          <w:numId w:val="8"/>
        </w:numPr>
        <w:spacing w:line="360" w:lineRule="auto"/>
        <w:jc w:val="both"/>
        <w:rPr>
          <w:rFonts w:ascii="Times New Roman" w:hAnsi="Times New Roman" w:cs="Times New Roman"/>
        </w:rPr>
      </w:pPr>
      <w:r w:rsidRPr="00C91911">
        <w:rPr>
          <w:rFonts w:ascii="Times New Roman" w:hAnsi="Times New Roman" w:cs="Times New Roman"/>
        </w:rPr>
        <w:t>Some scholars have warned of the potential for ends-means reversal in efforts to achieve climate goals. Discuss how the same concern could apply to the development of ESG ratings across Southeast Asian countries.</w:t>
      </w:r>
    </w:p>
    <w:p w14:paraId="4CE9AE25" w14:textId="77777777" w:rsidR="00697560" w:rsidRPr="007008A8" w:rsidRDefault="00697560" w:rsidP="007008A8">
      <w:pPr>
        <w:spacing w:line="360" w:lineRule="auto"/>
        <w:jc w:val="both"/>
        <w:rPr>
          <w:rFonts w:ascii="Times New Roman" w:hAnsi="Times New Roman" w:cs="Times New Roman"/>
        </w:rPr>
      </w:pPr>
    </w:p>
    <w:sectPr w:rsidR="00697560" w:rsidRPr="007008A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72F5A" w14:textId="77777777" w:rsidR="00200CDA" w:rsidRDefault="00200CDA" w:rsidP="007008A8">
      <w:r>
        <w:separator/>
      </w:r>
    </w:p>
  </w:endnote>
  <w:endnote w:type="continuationSeparator" w:id="0">
    <w:p w14:paraId="747375FE" w14:textId="77777777" w:rsidR="00200CDA" w:rsidRDefault="00200CDA" w:rsidP="00700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1E0C3" w14:textId="20B868EC" w:rsidR="007008A8" w:rsidRPr="007008A8" w:rsidRDefault="007008A8" w:rsidP="007008A8">
    <w:pPr>
      <w:pStyle w:val="Footer"/>
      <w:jc w:val="center"/>
      <w:rPr>
        <w:rFonts w:ascii="Times New Roman" w:hAnsi="Times New Roman" w:cs="Times New Roman"/>
      </w:rPr>
    </w:pPr>
    <w:r w:rsidRPr="007008A8">
      <w:rPr>
        <w:rFonts w:ascii="Times New Roman" w:hAnsi="Times New Roman" w:cs="Times New Roman"/>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DA6F2" w14:textId="77777777" w:rsidR="00200CDA" w:rsidRDefault="00200CDA" w:rsidP="007008A8">
      <w:r>
        <w:separator/>
      </w:r>
    </w:p>
  </w:footnote>
  <w:footnote w:type="continuationSeparator" w:id="0">
    <w:p w14:paraId="525CD092" w14:textId="77777777" w:rsidR="00200CDA" w:rsidRDefault="00200CDA" w:rsidP="00700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138E"/>
    <w:multiLevelType w:val="hybridMultilevel"/>
    <w:tmpl w:val="20FA67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F4BD8"/>
    <w:multiLevelType w:val="multilevel"/>
    <w:tmpl w:val="B526F7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F090430"/>
    <w:multiLevelType w:val="multilevel"/>
    <w:tmpl w:val="CA50FD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30CD52B4"/>
    <w:multiLevelType w:val="hybridMultilevel"/>
    <w:tmpl w:val="21CA9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2B7E6C"/>
    <w:multiLevelType w:val="multilevel"/>
    <w:tmpl w:val="97B0A6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56013B3D"/>
    <w:multiLevelType w:val="multilevel"/>
    <w:tmpl w:val="86A4CB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74216F94"/>
    <w:multiLevelType w:val="hybridMultilevel"/>
    <w:tmpl w:val="E0467A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9C4BF0"/>
    <w:multiLevelType w:val="hybridMultilevel"/>
    <w:tmpl w:val="D13EDE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6"/>
  </w:num>
  <w:num w:numId="5">
    <w:abstractNumId w:val="1"/>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8A8"/>
    <w:rsid w:val="00066235"/>
    <w:rsid w:val="000D08E4"/>
    <w:rsid w:val="001050A9"/>
    <w:rsid w:val="00200CDA"/>
    <w:rsid w:val="00204D82"/>
    <w:rsid w:val="005F2444"/>
    <w:rsid w:val="00632618"/>
    <w:rsid w:val="00697560"/>
    <w:rsid w:val="007008A8"/>
    <w:rsid w:val="008715BA"/>
    <w:rsid w:val="00985AAC"/>
    <w:rsid w:val="00C91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290A5"/>
  <w15:chartTrackingRefBased/>
  <w15:docId w15:val="{039142E6-06F6-6B46-BB1E-629D016F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8A8"/>
    <w:pPr>
      <w:ind w:left="720"/>
      <w:contextualSpacing/>
    </w:pPr>
  </w:style>
  <w:style w:type="paragraph" w:styleId="Header">
    <w:name w:val="header"/>
    <w:basedOn w:val="Normal"/>
    <w:link w:val="HeaderChar"/>
    <w:uiPriority w:val="99"/>
    <w:unhideWhenUsed/>
    <w:rsid w:val="007008A8"/>
    <w:pPr>
      <w:tabs>
        <w:tab w:val="center" w:pos="4680"/>
        <w:tab w:val="right" w:pos="9360"/>
      </w:tabs>
    </w:pPr>
  </w:style>
  <w:style w:type="character" w:customStyle="1" w:styleId="HeaderChar">
    <w:name w:val="Header Char"/>
    <w:basedOn w:val="DefaultParagraphFont"/>
    <w:link w:val="Header"/>
    <w:uiPriority w:val="99"/>
    <w:rsid w:val="007008A8"/>
  </w:style>
  <w:style w:type="paragraph" w:styleId="Footer">
    <w:name w:val="footer"/>
    <w:basedOn w:val="Normal"/>
    <w:link w:val="FooterChar"/>
    <w:uiPriority w:val="99"/>
    <w:unhideWhenUsed/>
    <w:rsid w:val="007008A8"/>
    <w:pPr>
      <w:tabs>
        <w:tab w:val="center" w:pos="4680"/>
        <w:tab w:val="right" w:pos="9360"/>
      </w:tabs>
    </w:pPr>
  </w:style>
  <w:style w:type="character" w:customStyle="1" w:styleId="FooterChar">
    <w:name w:val="Footer Char"/>
    <w:basedOn w:val="DefaultParagraphFont"/>
    <w:link w:val="Footer"/>
    <w:uiPriority w:val="99"/>
    <w:rsid w:val="00700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77037">
      <w:bodyDiv w:val="1"/>
      <w:marLeft w:val="0"/>
      <w:marRight w:val="0"/>
      <w:marTop w:val="0"/>
      <w:marBottom w:val="0"/>
      <w:divBdr>
        <w:top w:val="none" w:sz="0" w:space="0" w:color="auto"/>
        <w:left w:val="none" w:sz="0" w:space="0" w:color="auto"/>
        <w:bottom w:val="none" w:sz="0" w:space="0" w:color="auto"/>
        <w:right w:val="none" w:sz="0" w:space="0" w:color="auto"/>
      </w:divBdr>
    </w:div>
    <w:div w:id="678237701">
      <w:bodyDiv w:val="1"/>
      <w:marLeft w:val="0"/>
      <w:marRight w:val="0"/>
      <w:marTop w:val="0"/>
      <w:marBottom w:val="0"/>
      <w:divBdr>
        <w:top w:val="none" w:sz="0" w:space="0" w:color="auto"/>
        <w:left w:val="none" w:sz="0" w:space="0" w:color="auto"/>
        <w:bottom w:val="none" w:sz="0" w:space="0" w:color="auto"/>
        <w:right w:val="none" w:sz="0" w:space="0" w:color="auto"/>
      </w:divBdr>
    </w:div>
    <w:div w:id="881943967">
      <w:bodyDiv w:val="1"/>
      <w:marLeft w:val="0"/>
      <w:marRight w:val="0"/>
      <w:marTop w:val="0"/>
      <w:marBottom w:val="0"/>
      <w:divBdr>
        <w:top w:val="none" w:sz="0" w:space="0" w:color="auto"/>
        <w:left w:val="none" w:sz="0" w:space="0" w:color="auto"/>
        <w:bottom w:val="none" w:sz="0" w:space="0" w:color="auto"/>
        <w:right w:val="none" w:sz="0" w:space="0" w:color="auto"/>
      </w:divBdr>
    </w:div>
    <w:div w:id="930966293">
      <w:bodyDiv w:val="1"/>
      <w:marLeft w:val="0"/>
      <w:marRight w:val="0"/>
      <w:marTop w:val="0"/>
      <w:marBottom w:val="0"/>
      <w:divBdr>
        <w:top w:val="none" w:sz="0" w:space="0" w:color="auto"/>
        <w:left w:val="none" w:sz="0" w:space="0" w:color="auto"/>
        <w:bottom w:val="none" w:sz="0" w:space="0" w:color="auto"/>
        <w:right w:val="none" w:sz="0" w:space="0" w:color="auto"/>
      </w:divBdr>
    </w:div>
    <w:div w:id="1186674701">
      <w:bodyDiv w:val="1"/>
      <w:marLeft w:val="0"/>
      <w:marRight w:val="0"/>
      <w:marTop w:val="0"/>
      <w:marBottom w:val="0"/>
      <w:divBdr>
        <w:top w:val="none" w:sz="0" w:space="0" w:color="auto"/>
        <w:left w:val="none" w:sz="0" w:space="0" w:color="auto"/>
        <w:bottom w:val="none" w:sz="0" w:space="0" w:color="auto"/>
        <w:right w:val="none" w:sz="0" w:space="0" w:color="auto"/>
      </w:divBdr>
    </w:div>
    <w:div w:id="1188325446">
      <w:bodyDiv w:val="1"/>
      <w:marLeft w:val="0"/>
      <w:marRight w:val="0"/>
      <w:marTop w:val="0"/>
      <w:marBottom w:val="0"/>
      <w:divBdr>
        <w:top w:val="none" w:sz="0" w:space="0" w:color="auto"/>
        <w:left w:val="none" w:sz="0" w:space="0" w:color="auto"/>
        <w:bottom w:val="none" w:sz="0" w:space="0" w:color="auto"/>
        <w:right w:val="none" w:sz="0" w:space="0" w:color="auto"/>
      </w:divBdr>
    </w:div>
    <w:div w:id="1466237694">
      <w:bodyDiv w:val="1"/>
      <w:marLeft w:val="0"/>
      <w:marRight w:val="0"/>
      <w:marTop w:val="0"/>
      <w:marBottom w:val="0"/>
      <w:divBdr>
        <w:top w:val="none" w:sz="0" w:space="0" w:color="auto"/>
        <w:left w:val="none" w:sz="0" w:space="0" w:color="auto"/>
        <w:bottom w:val="none" w:sz="0" w:space="0" w:color="auto"/>
        <w:right w:val="none" w:sz="0" w:space="0" w:color="auto"/>
      </w:divBdr>
    </w:div>
    <w:div w:id="1646664073">
      <w:bodyDiv w:val="1"/>
      <w:marLeft w:val="0"/>
      <w:marRight w:val="0"/>
      <w:marTop w:val="0"/>
      <w:marBottom w:val="0"/>
      <w:divBdr>
        <w:top w:val="none" w:sz="0" w:space="0" w:color="auto"/>
        <w:left w:val="none" w:sz="0" w:space="0" w:color="auto"/>
        <w:bottom w:val="none" w:sz="0" w:space="0" w:color="auto"/>
        <w:right w:val="none" w:sz="0" w:space="0" w:color="auto"/>
      </w:divBdr>
    </w:div>
    <w:div w:id="1691563221">
      <w:bodyDiv w:val="1"/>
      <w:marLeft w:val="0"/>
      <w:marRight w:val="0"/>
      <w:marTop w:val="0"/>
      <w:marBottom w:val="0"/>
      <w:divBdr>
        <w:top w:val="none" w:sz="0" w:space="0" w:color="auto"/>
        <w:left w:val="none" w:sz="0" w:space="0" w:color="auto"/>
        <w:bottom w:val="none" w:sz="0" w:space="0" w:color="auto"/>
        <w:right w:val="none" w:sz="0" w:space="0" w:color="auto"/>
      </w:divBdr>
    </w:div>
    <w:div w:id="1693990859">
      <w:bodyDiv w:val="1"/>
      <w:marLeft w:val="0"/>
      <w:marRight w:val="0"/>
      <w:marTop w:val="0"/>
      <w:marBottom w:val="0"/>
      <w:divBdr>
        <w:top w:val="none" w:sz="0" w:space="0" w:color="auto"/>
        <w:left w:val="none" w:sz="0" w:space="0" w:color="auto"/>
        <w:bottom w:val="none" w:sz="0" w:space="0" w:color="auto"/>
        <w:right w:val="none" w:sz="0" w:space="0" w:color="auto"/>
      </w:divBdr>
    </w:div>
    <w:div w:id="1842236207">
      <w:bodyDiv w:val="1"/>
      <w:marLeft w:val="0"/>
      <w:marRight w:val="0"/>
      <w:marTop w:val="0"/>
      <w:marBottom w:val="0"/>
      <w:divBdr>
        <w:top w:val="none" w:sz="0" w:space="0" w:color="auto"/>
        <w:left w:val="none" w:sz="0" w:space="0" w:color="auto"/>
        <w:bottom w:val="none" w:sz="0" w:space="0" w:color="auto"/>
        <w:right w:val="none" w:sz="0" w:space="0" w:color="auto"/>
      </w:divBdr>
    </w:div>
    <w:div w:id="199001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423</Words>
  <Characters>2552</Characters>
  <Application>Microsoft Office Word</Application>
  <DocSecurity>0</DocSecurity>
  <Lines>75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Aichiro Suryo Prabowo</dc:creator>
  <cp:keywords/>
  <dc:description/>
  <cp:lastModifiedBy>Aichiro Suryo Prabowo</cp:lastModifiedBy>
  <cp:revision>2</cp:revision>
  <dcterms:created xsi:type="dcterms:W3CDTF">2025-06-10T23:17:00Z</dcterms:created>
  <dcterms:modified xsi:type="dcterms:W3CDTF">2025-06-10T23:25:00Z</dcterms:modified>
</cp:coreProperties>
</file>