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3402" w14:textId="5E52F2A9"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CORNELL UNIVERSITY</w:t>
      </w:r>
    </w:p>
    <w:p w14:paraId="1FDB5284" w14:textId="5FF6D787"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 xml:space="preserve">FINAL EXAM, </w:t>
      </w:r>
      <w:r w:rsidRPr="007008A8">
        <w:rPr>
          <w:rFonts w:ascii="Times New Roman" w:hAnsi="Times New Roman" w:cs="Times New Roman"/>
        </w:rPr>
        <w:t>SPRING 2025</w:t>
      </w:r>
    </w:p>
    <w:p w14:paraId="7378C7BF" w14:textId="77777777" w:rsid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 xml:space="preserve">SUSTAINABLE FINANCE: SOUTHEAST ASIA AND GLOBAL PERSPECTIVES </w:t>
      </w:r>
    </w:p>
    <w:p w14:paraId="1084FDDA" w14:textId="0145F29B"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PUBPOL 3615/5615</w:t>
      </w:r>
    </w:p>
    <w:p w14:paraId="0C4C56AA" w14:textId="77777777" w:rsidR="007008A8" w:rsidRDefault="007008A8" w:rsidP="007008A8">
      <w:pPr>
        <w:spacing w:line="360" w:lineRule="auto"/>
        <w:jc w:val="both"/>
        <w:rPr>
          <w:rFonts w:ascii="Times New Roman" w:hAnsi="Times New Roman" w:cs="Times New Roman"/>
          <w:b/>
          <w:bCs/>
        </w:rPr>
      </w:pPr>
    </w:p>
    <w:p w14:paraId="5205BB30" w14:textId="7398146E"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1 (25 POINTS)</w:t>
      </w:r>
    </w:p>
    <w:p w14:paraId="40EB0B23"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Electric vehicle (EV) development is still nascent in many Southeast Asian countries. The Asian Development Bank (ADB) is providing a financing package to an established conglomerate, which it claims will help foster market creation in the Philippines. A portion of the funding is specifically allocated for procuring EVs from manufacturers for commercial distribution. Using blended finance as a conceptual framework:</w:t>
      </w:r>
    </w:p>
    <w:p w14:paraId="14170A5F" w14:textId="6C1BBFE2" w:rsidR="007008A8" w:rsidRPr="007008A8" w:rsidRDefault="007008A8" w:rsidP="007008A8">
      <w:pPr>
        <w:pStyle w:val="ListParagraph"/>
        <w:numPr>
          <w:ilvl w:val="0"/>
          <w:numId w:val="1"/>
        </w:numPr>
        <w:spacing w:line="360" w:lineRule="auto"/>
        <w:jc w:val="both"/>
        <w:rPr>
          <w:rFonts w:ascii="Times New Roman" w:hAnsi="Times New Roman" w:cs="Times New Roman"/>
        </w:rPr>
      </w:pPr>
      <w:r w:rsidRPr="007008A8">
        <w:rPr>
          <w:rFonts w:ascii="Times New Roman" w:hAnsi="Times New Roman" w:cs="Times New Roman"/>
        </w:rPr>
        <w:t>Construct an argument </w:t>
      </w:r>
      <w:r w:rsidRPr="007008A8">
        <w:rPr>
          <w:rFonts w:ascii="Times New Roman" w:hAnsi="Times New Roman" w:cs="Times New Roman"/>
          <w:i/>
          <w:iCs/>
        </w:rPr>
        <w:t>in support of</w:t>
      </w:r>
      <w:r w:rsidRPr="007008A8">
        <w:rPr>
          <w:rFonts w:ascii="Times New Roman" w:hAnsi="Times New Roman" w:cs="Times New Roman"/>
        </w:rPr>
        <w:t> the ADB's decision to provide the financing package.</w:t>
      </w:r>
    </w:p>
    <w:p w14:paraId="52F58B05" w14:textId="55F4BBE2" w:rsidR="007008A8" w:rsidRPr="007008A8" w:rsidRDefault="007008A8" w:rsidP="007008A8">
      <w:pPr>
        <w:pStyle w:val="ListParagraph"/>
        <w:numPr>
          <w:ilvl w:val="0"/>
          <w:numId w:val="1"/>
        </w:numPr>
        <w:spacing w:line="360" w:lineRule="auto"/>
        <w:jc w:val="both"/>
        <w:rPr>
          <w:rFonts w:ascii="Times New Roman" w:hAnsi="Times New Roman" w:cs="Times New Roman"/>
        </w:rPr>
      </w:pPr>
      <w:r w:rsidRPr="007008A8">
        <w:rPr>
          <w:rFonts w:ascii="Times New Roman" w:hAnsi="Times New Roman" w:cs="Times New Roman"/>
        </w:rPr>
        <w:t>Construct an argument </w:t>
      </w:r>
      <w:r w:rsidRPr="007008A8">
        <w:rPr>
          <w:rFonts w:ascii="Times New Roman" w:hAnsi="Times New Roman" w:cs="Times New Roman"/>
          <w:i/>
          <w:iCs/>
        </w:rPr>
        <w:t>against</w:t>
      </w:r>
      <w:r w:rsidRPr="007008A8">
        <w:rPr>
          <w:rFonts w:ascii="Times New Roman" w:hAnsi="Times New Roman" w:cs="Times New Roman"/>
        </w:rPr>
        <w:t> the ADB's decision to provide the financing package.</w:t>
      </w:r>
    </w:p>
    <w:p w14:paraId="30E3149C"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129A7DB1"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2 (25 POINTS)</w:t>
      </w:r>
    </w:p>
    <w:p w14:paraId="4BD49AAF"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The Just Energy Transition Partnerships (JETPs), supported by donors such as the United States and European countries, provide funding to developing countries, including Vietnam and Indonesia. One of the conditions for receiving JETP funding is the early retirement of coal-fired power plants. At the Net Zero Summit in 2022, a prominent Indonesian minister made the following remarks:</w:t>
      </w:r>
    </w:p>
    <w:p w14:paraId="363F0BEF" w14:textId="77777777" w:rsidR="007008A8" w:rsidRPr="007008A8" w:rsidRDefault="007008A8" w:rsidP="007008A8">
      <w:pPr>
        <w:spacing w:line="360" w:lineRule="auto"/>
        <w:jc w:val="both"/>
        <w:rPr>
          <w:rFonts w:ascii="Times New Roman" w:hAnsi="Times New Roman" w:cs="Times New Roman"/>
          <w:i/>
          <w:iCs/>
        </w:rPr>
      </w:pPr>
      <w:r w:rsidRPr="007008A8">
        <w:rPr>
          <w:rFonts w:ascii="Times New Roman" w:hAnsi="Times New Roman" w:cs="Times New Roman"/>
          <w:i/>
          <w:iCs/>
        </w:rPr>
        <w:t>“Facing the risk of climate change, Indonesia needs to transform to sustainable development. That, I think, is very important. Ladies and Gentlemen, we care very much about this. Our negotiation with the US – JETP – so far went very well. Last night, my good friend, John Kerry, phoned me about the progress of this. Hopefully we can announce something by 16th of November. I’m glad also Ambassador came here. This is a very tough negotiation. But Indonesia makes it very clear stand on this. Because we don’t want any policy about climate change disturb our economic growth. Our economic growth right now is doing well. So that’s very important.”</w:t>
      </w:r>
    </w:p>
    <w:p w14:paraId="7333E59A" w14:textId="77777777" w:rsidR="007008A8" w:rsidRDefault="007008A8" w:rsidP="007008A8">
      <w:pPr>
        <w:pStyle w:val="ListParagraph"/>
        <w:numPr>
          <w:ilvl w:val="0"/>
          <w:numId w:val="2"/>
        </w:numPr>
        <w:spacing w:line="360" w:lineRule="auto"/>
        <w:jc w:val="both"/>
        <w:rPr>
          <w:rFonts w:ascii="Times New Roman" w:hAnsi="Times New Roman" w:cs="Times New Roman"/>
        </w:rPr>
      </w:pPr>
      <w:r w:rsidRPr="007008A8">
        <w:rPr>
          <w:rFonts w:ascii="Times New Roman" w:hAnsi="Times New Roman" w:cs="Times New Roman"/>
        </w:rPr>
        <w:t>To what extent is the minister's assertion of a trade-off between economic growth and environmental protection justified?</w:t>
      </w:r>
    </w:p>
    <w:p w14:paraId="0A530B97" w14:textId="749E2D11" w:rsidR="007008A8" w:rsidRPr="007008A8" w:rsidRDefault="007008A8" w:rsidP="007008A8">
      <w:pPr>
        <w:pStyle w:val="ListParagraph"/>
        <w:numPr>
          <w:ilvl w:val="0"/>
          <w:numId w:val="2"/>
        </w:numPr>
        <w:spacing w:line="360" w:lineRule="auto"/>
        <w:jc w:val="both"/>
        <w:rPr>
          <w:rFonts w:ascii="Times New Roman" w:hAnsi="Times New Roman" w:cs="Times New Roman"/>
        </w:rPr>
      </w:pPr>
      <w:r w:rsidRPr="007008A8">
        <w:rPr>
          <w:rFonts w:ascii="Times New Roman" w:hAnsi="Times New Roman" w:cs="Times New Roman"/>
        </w:rPr>
        <w:lastRenderedPageBreak/>
        <w:t>According to the literature on the functions of government, which function is </w:t>
      </w:r>
      <w:r w:rsidRPr="007008A8">
        <w:rPr>
          <w:rFonts w:ascii="Times New Roman" w:hAnsi="Times New Roman" w:cs="Times New Roman"/>
          <w:i/>
          <w:iCs/>
        </w:rPr>
        <w:t>most violated</w:t>
      </w:r>
      <w:r w:rsidRPr="007008A8">
        <w:rPr>
          <w:rFonts w:ascii="Times New Roman" w:hAnsi="Times New Roman" w:cs="Times New Roman"/>
        </w:rPr>
        <w:t>, and which is </w:t>
      </w:r>
      <w:r w:rsidRPr="007008A8">
        <w:rPr>
          <w:rFonts w:ascii="Times New Roman" w:hAnsi="Times New Roman" w:cs="Times New Roman"/>
          <w:i/>
          <w:iCs/>
        </w:rPr>
        <w:t>best served</w:t>
      </w:r>
      <w:r w:rsidRPr="007008A8">
        <w:rPr>
          <w:rFonts w:ascii="Times New Roman" w:hAnsi="Times New Roman" w:cs="Times New Roman"/>
        </w:rPr>
        <w:t>, when the government allocates public funds to build new coal-fired power plants? Explain.</w:t>
      </w:r>
    </w:p>
    <w:p w14:paraId="2EF06850"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57DE9157"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3 (25 POINTS)</w:t>
      </w:r>
    </w:p>
    <w:p w14:paraId="107A8D00"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Green bond issuance has seen an increasing trend in Singapore, which can be attributed to the active involvement of both the government and private sector entities. Focusing on bonds issued by corporations (where tax exemptions are irrelevant):</w:t>
      </w:r>
    </w:p>
    <w:p w14:paraId="487FFD09" w14:textId="22CC22C2" w:rsidR="007008A8" w:rsidRPr="007008A8" w:rsidRDefault="007008A8" w:rsidP="007008A8">
      <w:pPr>
        <w:pStyle w:val="ListParagraph"/>
        <w:numPr>
          <w:ilvl w:val="0"/>
          <w:numId w:val="3"/>
        </w:numPr>
        <w:spacing w:line="360" w:lineRule="auto"/>
        <w:jc w:val="both"/>
        <w:rPr>
          <w:rFonts w:ascii="Times New Roman" w:hAnsi="Times New Roman" w:cs="Times New Roman"/>
        </w:rPr>
      </w:pPr>
      <w:r w:rsidRPr="007008A8">
        <w:rPr>
          <w:rFonts w:ascii="Times New Roman" w:hAnsi="Times New Roman" w:cs="Times New Roman"/>
        </w:rPr>
        <w:t>Do green bonds typically offer higher, lower, or similar coupon rates compared to conventional bonds? Explain.</w:t>
      </w:r>
    </w:p>
    <w:p w14:paraId="711B1969" w14:textId="38BCEA08" w:rsidR="007008A8" w:rsidRPr="007008A8" w:rsidRDefault="007008A8" w:rsidP="007008A8">
      <w:pPr>
        <w:pStyle w:val="ListParagraph"/>
        <w:numPr>
          <w:ilvl w:val="0"/>
          <w:numId w:val="3"/>
        </w:numPr>
        <w:spacing w:line="360" w:lineRule="auto"/>
        <w:jc w:val="both"/>
        <w:rPr>
          <w:rFonts w:ascii="Times New Roman" w:hAnsi="Times New Roman" w:cs="Times New Roman"/>
        </w:rPr>
      </w:pPr>
      <w:r w:rsidRPr="007008A8">
        <w:rPr>
          <w:rFonts w:ascii="Times New Roman" w:hAnsi="Times New Roman" w:cs="Times New Roman"/>
        </w:rPr>
        <w:t>For an investor whose portfolio primarily consists of conventional bonds, would including green bonds be considered an effective strategy for diversification? Justify your answer with a quantitative example and relevant metrics.</w:t>
      </w:r>
    </w:p>
    <w:p w14:paraId="37AAB480"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2ADB66F2"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4 (25 POINTS)</w:t>
      </w:r>
    </w:p>
    <w:p w14:paraId="3E092097"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A new policy offering free public transport was tested for one week in Bangkok, as part of an effort to reduce air pollution in the Thai capital. The implementation was estimated to have cost millions of dollars, including compensation for lost revenue to transportation operators. Differing views have emerged regarding which public authority should bear the financial burden associated with the policy: the Thai government (at the national level) or the Bangkok Metropolitan Administration (at the subnational level).</w:t>
      </w:r>
    </w:p>
    <w:p w14:paraId="7F34100D" w14:textId="31E9DF27" w:rsidR="007008A8" w:rsidRPr="007008A8" w:rsidRDefault="007008A8" w:rsidP="007008A8">
      <w:pPr>
        <w:pStyle w:val="ListParagraph"/>
        <w:numPr>
          <w:ilvl w:val="0"/>
          <w:numId w:val="4"/>
        </w:numPr>
        <w:spacing w:line="360" w:lineRule="auto"/>
        <w:jc w:val="both"/>
        <w:rPr>
          <w:rFonts w:ascii="Times New Roman" w:hAnsi="Times New Roman" w:cs="Times New Roman"/>
        </w:rPr>
      </w:pPr>
      <w:r w:rsidRPr="007008A8">
        <w:rPr>
          <w:rFonts w:ascii="Times New Roman" w:hAnsi="Times New Roman" w:cs="Times New Roman"/>
        </w:rPr>
        <w:t>Present an argument supporting the notion that </w:t>
      </w:r>
      <w:r w:rsidRPr="007008A8">
        <w:rPr>
          <w:rFonts w:ascii="Times New Roman" w:hAnsi="Times New Roman" w:cs="Times New Roman"/>
          <w:i/>
          <w:iCs/>
        </w:rPr>
        <w:t>the Thai government</w:t>
      </w:r>
      <w:r w:rsidRPr="007008A8">
        <w:rPr>
          <w:rFonts w:ascii="Times New Roman" w:hAnsi="Times New Roman" w:cs="Times New Roman"/>
        </w:rPr>
        <w:t> should be responsible for the financial burden.</w:t>
      </w:r>
    </w:p>
    <w:p w14:paraId="0B58C2B4" w14:textId="7B45B7FC" w:rsidR="007008A8" w:rsidRPr="007008A8" w:rsidRDefault="007008A8" w:rsidP="007008A8">
      <w:pPr>
        <w:pStyle w:val="ListParagraph"/>
        <w:numPr>
          <w:ilvl w:val="0"/>
          <w:numId w:val="4"/>
        </w:numPr>
        <w:spacing w:line="360" w:lineRule="auto"/>
        <w:jc w:val="both"/>
        <w:rPr>
          <w:rFonts w:ascii="Times New Roman" w:hAnsi="Times New Roman" w:cs="Times New Roman"/>
        </w:rPr>
      </w:pPr>
      <w:r w:rsidRPr="007008A8">
        <w:rPr>
          <w:rFonts w:ascii="Times New Roman" w:hAnsi="Times New Roman" w:cs="Times New Roman"/>
        </w:rPr>
        <w:t>Present an argument supporting the notion that </w:t>
      </w:r>
      <w:r w:rsidRPr="007008A8">
        <w:rPr>
          <w:rFonts w:ascii="Times New Roman" w:hAnsi="Times New Roman" w:cs="Times New Roman"/>
          <w:i/>
          <w:iCs/>
        </w:rPr>
        <w:t>the Bangkok Metropolitan Administration</w:t>
      </w:r>
      <w:r w:rsidRPr="007008A8">
        <w:rPr>
          <w:rFonts w:ascii="Times New Roman" w:hAnsi="Times New Roman" w:cs="Times New Roman"/>
        </w:rPr>
        <w:t> should be responsible for the financial burden.</w:t>
      </w:r>
    </w:p>
    <w:p w14:paraId="4CE9AE25" w14:textId="77777777" w:rsidR="00697560" w:rsidRPr="007008A8" w:rsidRDefault="00697560" w:rsidP="007008A8">
      <w:pPr>
        <w:spacing w:line="360" w:lineRule="auto"/>
        <w:jc w:val="both"/>
        <w:rPr>
          <w:rFonts w:ascii="Times New Roman" w:hAnsi="Times New Roman" w:cs="Times New Roman"/>
        </w:rPr>
      </w:pPr>
    </w:p>
    <w:sectPr w:rsidR="00697560" w:rsidRPr="007008A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210C2" w14:textId="77777777" w:rsidR="00204D82" w:rsidRDefault="00204D82" w:rsidP="007008A8">
      <w:r>
        <w:separator/>
      </w:r>
    </w:p>
  </w:endnote>
  <w:endnote w:type="continuationSeparator" w:id="0">
    <w:p w14:paraId="4F8F6FA8" w14:textId="77777777" w:rsidR="00204D82" w:rsidRDefault="00204D82" w:rsidP="00700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E0C3" w14:textId="20B868EC" w:rsidR="007008A8" w:rsidRPr="007008A8" w:rsidRDefault="007008A8" w:rsidP="007008A8">
    <w:pPr>
      <w:pStyle w:val="Footer"/>
      <w:jc w:val="center"/>
      <w:rPr>
        <w:rFonts w:ascii="Times New Roman" w:hAnsi="Times New Roman" w:cs="Times New Roman"/>
      </w:rPr>
    </w:pPr>
    <w:r w:rsidRPr="007008A8">
      <w:rPr>
        <w:rFonts w:ascii="Times New Roman" w:hAnsi="Times New Roman"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1C470" w14:textId="77777777" w:rsidR="00204D82" w:rsidRDefault="00204D82" w:rsidP="007008A8">
      <w:r>
        <w:separator/>
      </w:r>
    </w:p>
  </w:footnote>
  <w:footnote w:type="continuationSeparator" w:id="0">
    <w:p w14:paraId="01C0C15A" w14:textId="77777777" w:rsidR="00204D82" w:rsidRDefault="00204D82" w:rsidP="00700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38E"/>
    <w:multiLevelType w:val="hybridMultilevel"/>
    <w:tmpl w:val="20FA6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D52B4"/>
    <w:multiLevelType w:val="hybridMultilevel"/>
    <w:tmpl w:val="21CA9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16F94"/>
    <w:multiLevelType w:val="hybridMultilevel"/>
    <w:tmpl w:val="E0467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C4BF0"/>
    <w:multiLevelType w:val="hybridMultilevel"/>
    <w:tmpl w:val="D13ED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A8"/>
    <w:rsid w:val="00066235"/>
    <w:rsid w:val="000D08E4"/>
    <w:rsid w:val="001050A9"/>
    <w:rsid w:val="00204D82"/>
    <w:rsid w:val="005F2444"/>
    <w:rsid w:val="00632618"/>
    <w:rsid w:val="00697560"/>
    <w:rsid w:val="007008A8"/>
    <w:rsid w:val="008715BA"/>
    <w:rsid w:val="0098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290A5"/>
  <w15:chartTrackingRefBased/>
  <w15:docId w15:val="{039142E6-06F6-6B46-BB1E-629D016F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8A8"/>
    <w:pPr>
      <w:ind w:left="720"/>
      <w:contextualSpacing/>
    </w:pPr>
  </w:style>
  <w:style w:type="paragraph" w:styleId="Header">
    <w:name w:val="header"/>
    <w:basedOn w:val="Normal"/>
    <w:link w:val="HeaderChar"/>
    <w:uiPriority w:val="99"/>
    <w:unhideWhenUsed/>
    <w:rsid w:val="007008A8"/>
    <w:pPr>
      <w:tabs>
        <w:tab w:val="center" w:pos="4680"/>
        <w:tab w:val="right" w:pos="9360"/>
      </w:tabs>
    </w:pPr>
  </w:style>
  <w:style w:type="character" w:customStyle="1" w:styleId="HeaderChar">
    <w:name w:val="Header Char"/>
    <w:basedOn w:val="DefaultParagraphFont"/>
    <w:link w:val="Header"/>
    <w:uiPriority w:val="99"/>
    <w:rsid w:val="007008A8"/>
  </w:style>
  <w:style w:type="paragraph" w:styleId="Footer">
    <w:name w:val="footer"/>
    <w:basedOn w:val="Normal"/>
    <w:link w:val="FooterChar"/>
    <w:uiPriority w:val="99"/>
    <w:unhideWhenUsed/>
    <w:rsid w:val="007008A8"/>
    <w:pPr>
      <w:tabs>
        <w:tab w:val="center" w:pos="4680"/>
        <w:tab w:val="right" w:pos="9360"/>
      </w:tabs>
    </w:pPr>
  </w:style>
  <w:style w:type="character" w:customStyle="1" w:styleId="FooterChar">
    <w:name w:val="Footer Char"/>
    <w:basedOn w:val="DefaultParagraphFont"/>
    <w:link w:val="Footer"/>
    <w:uiPriority w:val="99"/>
    <w:rsid w:val="00700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7037">
      <w:bodyDiv w:val="1"/>
      <w:marLeft w:val="0"/>
      <w:marRight w:val="0"/>
      <w:marTop w:val="0"/>
      <w:marBottom w:val="0"/>
      <w:divBdr>
        <w:top w:val="none" w:sz="0" w:space="0" w:color="auto"/>
        <w:left w:val="none" w:sz="0" w:space="0" w:color="auto"/>
        <w:bottom w:val="none" w:sz="0" w:space="0" w:color="auto"/>
        <w:right w:val="none" w:sz="0" w:space="0" w:color="auto"/>
      </w:divBdr>
    </w:div>
    <w:div w:id="16466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503</Words>
  <Characters>3029</Characters>
  <Application>Microsoft Office Word</Application>
  <DocSecurity>0</DocSecurity>
  <Lines>89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Aichiro Suryo Prabowo</dc:creator>
  <cp:keywords/>
  <dc:description/>
  <cp:lastModifiedBy>Aichiro Suryo Prabowo</cp:lastModifiedBy>
  <cp:revision>1</cp:revision>
  <dcterms:created xsi:type="dcterms:W3CDTF">2025-06-10T23:17:00Z</dcterms:created>
  <dcterms:modified xsi:type="dcterms:W3CDTF">2025-06-10T23:23:00Z</dcterms:modified>
</cp:coreProperties>
</file>