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</w:pPr>
      <w:r>
        <w:rPr>
          <w:b/>
          <w:color w:val="666B73"/>
          <w:sz w:val="22"/>
        </w:rPr>
        <w:t>KIN ANALYTICS</w:t>
      </w:r>
    </w:p>
    <w:p>
      <w:r>
        <w:rPr>
          <w:b/>
          <w:color w:val="141417"/>
          <w:sz w:val="60"/>
        </w:rPr>
        <w:t>Inventario de Skills del equipo</w:t>
      </w:r>
    </w:p>
    <w:p>
      <w:pPr>
        <w:spacing w:before="40" w:after="200"/>
        <w:pBdr>
          <w:bottom w:val="single" w:sz="12" w:space="1" w:color="E5FF01"/>
        </w:pBdr>
      </w:pPr>
    </w:p>
    <w:p>
      <w:pPr>
        <w:spacing w:after="160"/>
      </w:pPr>
      <w:r>
        <w:rPr>
          <w:i w:val="0"/>
          <w:color w:val="666B73"/>
          <w:sz w:val="26"/>
        </w:rPr>
        <w:t>Qué hace cada skill, para qué sirve y en qué se enfocó cada persona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  <w:shd w:val="clear" w:fill="141417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5953"/>
            <w:shd w:val="clear" w:fill="141417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Alcance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8"/>
              </w:rPr>
              <w:t>22 skills · 6 personas</w:t>
            </w:r>
          </w:p>
        </w:tc>
      </w:tr>
      <w:tr>
        <w:tc>
          <w:tcPr>
            <w:tcW w:type="dxa" w:w="2268"/>
            <w:shd w:val="clear" w:fill="F4F5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Fuente</w:t>
            </w:r>
          </w:p>
        </w:tc>
        <w:tc>
          <w:tcPr>
            <w:tcW w:type="dxa" w:w="5953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C:\Users\KIN\Desktop\Kin\skills_data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8"/>
              </w:rPr>
              <w:t>10 de septiembre de 2026</w:t>
            </w:r>
          </w:p>
        </w:tc>
      </w:tr>
      <w:tr>
        <w:tc>
          <w:tcPr>
            <w:tcW w:type="dxa" w:w="2268"/>
            <w:shd w:val="clear" w:fill="F4F5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Anexo</w:t>
            </w:r>
          </w:p>
        </w:tc>
        <w:tc>
          <w:tcPr>
            <w:tcW w:type="dxa" w:w="5953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Inventario_Skills_Kin.xlsx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Confidencialidad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8"/>
              </w:rPr>
              <w:t>Interno — Kin Analytics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120"/>
      </w:pPr>
      <w:r>
        <w:rPr>
          <w:rFonts w:ascii="Aptos" w:hAnsi="Aptos"/>
          <w:b/>
          <w:color w:val="141417"/>
          <w:sz w:val="36"/>
        </w:rPr>
        <w:t>1. Resumen ejecutivo</w:t>
      </w:r>
    </w:p>
    <w:p>
      <w:pPr>
        <w:spacing w:before="40" w:after="200"/>
        <w:pBdr>
          <w:bottom w:val="single" w:sz="12" w:space="1" w:color="E5FF01"/>
        </w:pBdr>
      </w:pPr>
    </w:p>
    <w:p>
      <w:pPr>
        <w:spacing w:after="160"/>
      </w:pPr>
      <w:r>
        <w:rPr>
          <w:i w:val="0"/>
          <w:sz w:val="21"/>
        </w:rPr>
        <w:t>El equipo construyó 22 skills. No son 22 piezas sueltas: leídas juntas, cubren casi todo el ciclo de un proyecto de Kin — recibir la base del cliente, validarla, conseguir las fronteras geográficas, modelar, auditar el resultado del algoritmo, visualizarlo en un mapa y entregarlo en un deck con la marca aplicada.</w:t>
      </w:r>
    </w:p>
    <w:p>
      <w:pPr>
        <w:spacing w:after="160"/>
      </w:pPr>
      <w:r>
        <w:rPr>
          <w:i w:val="0"/>
          <w:sz w:val="21"/>
        </w:rPr>
        <w:t>Cada persona entró por un punto distinto de ese ciclo, y ahí está la lectura interesante del inventario:</w:t>
      </w:r>
    </w:p>
    <w:p>
      <w:pPr>
        <w:pStyle w:val="ListBullet"/>
        <w:spacing w:after="80"/>
      </w:pPr>
      <w:r>
        <w:rPr>
          <w:b/>
          <w:sz w:val="21"/>
        </w:rPr>
        <w:t xml:space="preserve">Miguel Mena </w:t>
      </w:r>
      <w:r>
        <w:rPr>
          <w:sz w:val="21"/>
        </w:rPr>
        <w:t>cubrió el ciclo completo del proyecto Coca-Cola con 8 skills y puso las versiones base que otros después extendieron.</w:t>
      </w:r>
    </w:p>
    <w:p>
      <w:pPr>
        <w:pStyle w:val="ListBullet"/>
        <w:spacing w:after="80"/>
      </w:pPr>
      <w:r>
        <w:rPr>
          <w:b/>
          <w:sz w:val="21"/>
        </w:rPr>
        <w:t xml:space="preserve">André Sarmiento </w:t>
      </w:r>
      <w:r>
        <w:rPr>
          <w:sz w:val="21"/>
        </w:rPr>
        <w:t>tomó dos de esas bases y las llevó más lejos (multiidioma, intake más estricto, mapeo diapositiva por diapositiva), y fue el único que trajo skills de proceso de desarrollo.</w:t>
      </w:r>
    </w:p>
    <w:p>
      <w:pPr>
        <w:pStyle w:val="ListBullet"/>
        <w:spacing w:after="80"/>
      </w:pPr>
      <w:r>
        <w:rPr>
          <w:b/>
          <w:sz w:val="21"/>
        </w:rPr>
        <w:t xml:space="preserve">Gabriel Lara </w:t>
      </w:r>
      <w:r>
        <w:rPr>
          <w:sz w:val="21"/>
        </w:rPr>
        <w:t>se fue al principio del ciclo: entender el dato antes de modelarlo, y quitar el paso manual que hacía lento reproducir un mapa.</w:t>
      </w:r>
    </w:p>
    <w:p>
      <w:pPr>
        <w:pStyle w:val="ListBullet"/>
        <w:spacing w:after="80"/>
      </w:pPr>
      <w:r>
        <w:rPr>
          <w:b/>
          <w:sz w:val="21"/>
        </w:rPr>
        <w:t xml:space="preserve">Kevin Farinango </w:t>
      </w:r>
      <w:r>
        <w:rPr>
          <w:sz w:val="21"/>
        </w:rPr>
        <w:t>se ocupó de los insumos confiables y de la traducción del modelo al lenguaje de negocio.</w:t>
      </w:r>
    </w:p>
    <w:p>
      <w:pPr>
        <w:pStyle w:val="ListBullet"/>
        <w:spacing w:after="80"/>
      </w:pPr>
      <w:r>
        <w:rPr>
          <w:b/>
          <w:sz w:val="21"/>
        </w:rPr>
        <w:t xml:space="preserve">Kristian Mendoza </w:t>
      </w:r>
      <w:r>
        <w:rPr>
          <w:sz w:val="21"/>
        </w:rPr>
        <w:t>es el único que mira el final del ciclo: qué pasa cuando el pipeline corre desatendido y falla sin nadie mirando.</w:t>
      </w:r>
    </w:p>
    <w:p>
      <w:pPr>
        <w:pStyle w:val="ListBullet"/>
        <w:spacing w:after="80"/>
      </w:pPr>
      <w:r>
        <w:rPr>
          <w:b/>
          <w:sz w:val="21"/>
        </w:rPr>
        <w:t xml:space="preserve">Isabel Martinez </w:t>
      </w:r>
      <w:r>
        <w:rPr>
          <w:sz w:val="21"/>
        </w:rPr>
        <w:t>resolvió un caso muy acotado de visualización, completo y con las restricciones de privacidad explícitas.</w:t>
      </w:r>
    </w:p>
    <w:p>
      <w:pPr>
        <w:spacing w:after="80"/>
      </w:pPr>
      <w:r>
        <w:rPr>
          <w:i w:val="0"/>
          <w:sz w:val="21"/>
        </w:rPr>
        <w:t>Los dos hallazgos que piden acción:</w:t>
      </w:r>
    </w:p>
    <w:p>
      <w:pPr>
        <w:pStyle w:val="ListBullet"/>
        <w:spacing w:after="80"/>
      </w:pPr>
      <w:r>
        <w:rPr>
          <w:sz w:val="21"/>
        </w:rPr>
        <w:t>Hay 6 casos de duplicación o solapamiento. El más claro: la skill de marca está subida dos veces, byte por byte idéntica. Y tres skills existen en versión base y versión extendida en paralelo (data-validation, prospeccion-digital, kin-hexmap).</w:t>
      </w:r>
    </w:p>
    <w:p>
      <w:pPr>
        <w:pStyle w:val="ListBullet"/>
        <w:spacing w:after="80"/>
      </w:pPr>
      <w:r>
        <w:rPr>
          <w:sz w:val="21"/>
        </w:rPr>
        <w:t>Cinco skills generan mapas hexagonales H3 en HTML autocontenido. Colorean cosas distintas, pero comparten cerca del 70% del andamiaje.</w:t>
      </w:r>
    </w:p>
    <w:p>
      <w:pPr>
        <w:spacing w:before="320" w:after="120"/>
      </w:pPr>
      <w:r>
        <w:rPr>
          <w:rFonts w:ascii="Aptos" w:hAnsi="Aptos"/>
          <w:b/>
          <w:color w:val="141417"/>
          <w:sz w:val="36"/>
        </w:rPr>
        <w:t>2. Cómo se armó este informe</w:t>
      </w:r>
    </w:p>
    <w:p>
      <w:pPr>
        <w:spacing w:before="40" w:after="200"/>
        <w:pBdr>
          <w:bottom w:val="single" w:sz="12" w:space="1" w:color="E5FF01"/>
        </w:pBdr>
      </w:pPr>
    </w:p>
    <w:p>
      <w:pPr>
        <w:spacing w:after="160"/>
      </w:pPr>
      <w:r>
        <w:rPr>
          <w:i w:val="0"/>
          <w:sz w:val="21"/>
        </w:rPr>
        <w:t>Se revisó el contenido real de cada paquete, no solo su nombre: se descomprimieron los 16 archivos .skill, se leyeron los 22 SKILL.md completos con sus referencias y scripts, y se contaron archivos, líneas de instrucción y líneas de Python. Los duplicados se confirmaron comparando el hash del contenido, no el nombre del archivo.</w:t>
      </w:r>
    </w:p>
    <w:p>
      <w:pPr>
        <w:spacing w:after="160"/>
      </w:pPr>
      <w:r>
        <w:rPr>
          <w:i/>
          <w:color w:val="666B73"/>
          <w:sz w:val="21"/>
        </w:rPr>
        <w:t>Nota sobre los formatos: las skills de André Sarmiento están como carpetas sin comprimir; las del resto vienen empaquetadas como .skill. Es una diferencia de entrega, no de calidad.</w:t>
      </w:r>
    </w:p>
    <w:p>
      <w:r>
        <w:br w:type="page"/>
      </w:r>
    </w:p>
    <w:p>
      <w:pPr>
        <w:spacing w:before="0" w:after="120"/>
      </w:pPr>
      <w:r>
        <w:rPr>
          <w:rFonts w:ascii="Aptos" w:hAnsi="Aptos"/>
          <w:b/>
          <w:color w:val="141417"/>
          <w:sz w:val="36"/>
        </w:rPr>
        <w:t>3. Qué hace cada skill y para qué</w:t>
      </w:r>
    </w:p>
    <w:p>
      <w:pPr>
        <w:spacing w:before="40" w:after="200"/>
        <w:pBdr>
          <w:bottom w:val="single" w:sz="12" w:space="1" w:color="E5FF01"/>
        </w:pBdr>
      </w:pPr>
    </w:p>
    <w:p>
      <w:pPr>
        <w:spacing w:after="160"/>
      </w:pPr>
      <w:r>
        <w:rPr>
          <w:i w:val="0"/>
          <w:sz w:val="21"/>
        </w:rPr>
        <w:t>Una ficha por skill, agrupadas por persona. El mismo contenido está en la hoja «Inventario» del Excel, filtrable por persona y por tema.</w:t>
      </w:r>
    </w:p>
    <w:p>
      <w:pPr>
        <w:spacing w:before="320" w:after="120"/>
      </w:pPr>
      <w:r>
        <w:rPr>
          <w:rFonts w:ascii="Aptos" w:hAnsi="Aptos"/>
          <w:b/>
          <w:color w:val="141417"/>
          <w:sz w:val="28"/>
        </w:rPr>
        <w:t>Miguel Mena  ·  8 skills</w:t>
      </w:r>
    </w:p>
    <w:p>
      <w:pPr>
        <w:spacing w:after="160"/>
      </w:pPr>
      <w:r>
        <w:rPr>
          <w:i/>
          <w:color w:val="666B73"/>
          <w:sz w:val="20"/>
        </w:rPr>
        <w:t>Cobertura del ciclo completo del proyecto Coca-Cola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customer-potential-kin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Arma el deck de resultados de Customer Potential / Ultrasegmentación (plantilla fija de 16 diapositivas: 1-8 explican el modelo, 9 los insumos, 10-15 los resultados del embotellador) y/o el mapa HTML de densidad de los mismos resultados. Todos los números se calculan por script y se guardan en content.json, y el skill evalúa si el dataset merece una diapositiva extra de insight.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Producir el entregable estrella de Kin de forma determinista, con espacio para el hallazgo propio de cada operación.</w:t>
      </w:r>
    </w:p>
    <w:p>
      <w:pPr>
        <w:spacing w:after="200"/>
      </w:pPr>
      <w:r>
        <w:rPr>
          <w:i/>
          <w:color w:val="666B73"/>
          <w:sz w:val="17"/>
        </w:rPr>
        <w:t>Insumo: CSV de salida del modelo Customer Potential  ·  Entregable: PPTX de 16+ diapositivas + mapa HTML de densidad  ·  Contexto: Coca-Cola / embotelladores (Nayar y otros)  ·  10 archivos, 4 scripts, 1478 líneas de Python  ·  Muy alta — 4 scripts, 1.478 líneas de Python, plantilla PPTX y de mapa incluidas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data-validation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Versión base del validador de calidad de datos: mapeo automático de columnas, validación de clientes con geo-validación contra GeoJSON (con descarga automática del GeoJSON del país si no lo suben), productos y ventas, y reporte Word con la plantilla Kin. El reporte solo se genera si hay base de clientes.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Cerrar la etapa de recepción de datos con un diagnóstico formal antes de arrancar el modelado.</w:t>
      </w:r>
    </w:p>
    <w:p>
      <w:pPr>
        <w:spacing w:after="200"/>
      </w:pPr>
      <w:r>
        <w:rPr>
          <w:i/>
          <w:color w:val="666B73"/>
          <w:sz w:val="17"/>
        </w:rPr>
        <w:t>Insumo: 1 a 4 archivos: clientes, productos, ventas, GeoJSON  ·  Entregable: Reporte Word + CSVs procesados  ·  Contexto: Coca-Cola / embotelladores  ·  10 archivos, 6 scripts, 1373 líneas de Python  ·  Alta — 6 scripts, 1.373 líneas de Python; base de la versión de André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prospeccion-digital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Versión base de la presentación de Prospección Digital: 5 preguntas de intake, procesamiento de la base de Priority, cálculo de métricas de match/no match y probabilidad de existencia, y generación del PPTX sobre la plantilla corporativa.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Entregar los resultados de prospección digital al embotellador en el formato estándar de KinAnalytics.</w:t>
      </w:r>
    </w:p>
    <w:p>
      <w:pPr>
        <w:spacing w:after="200"/>
      </w:pPr>
      <w:r>
        <w:rPr>
          <w:i/>
          <w:color w:val="666B73"/>
          <w:sz w:val="17"/>
        </w:rPr>
        <w:t>Insumo: Base de Priority (CSV/XLSX) + plantilla PPTX  ·  Entregable: PPTX final  ·  Contexto: Coca-Cola / embotelladores  ·  2 archivos, 0 scripts, 0 líneas de Python  ·  Alta — 544 líneas; base de la versión ampliada de André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prospection-qa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Audita la salida del algoritmo de prospección/matching: cruza la base de clientes contra la salida etiquetada match/no_match, construye un corpus TF-IDF con los nombres de ambos archivos para bajar el peso de tokens ubicuos, encuentra falsos negativos, analiza el desglose por categoría de negocio y compara el match rate contra benchmarks de penetración de Coca-Cola.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Saber dónde se equivoca el algoritmo de matching y con qué evidencia mejorarlo, en vez de confiar en la tasa de match agregada.</w:t>
      </w:r>
    </w:p>
    <w:p>
      <w:pPr>
        <w:spacing w:after="200"/>
      </w:pPr>
      <w:r>
        <w:rPr>
          <w:i/>
          <w:color w:val="666B73"/>
          <w:sz w:val="17"/>
        </w:rPr>
        <w:t>Insumo: client_base + prospection_output (XLSX o CSV)  ·  Entregable: Mapas HTML + Excel de análisis por categoría + reporte HTML de QA  ·  Contexto: Coca-Cola / embotelladores  ·  1 archivos, 0 scripts, 0 líneas de Python  ·  Alta — 366 líneas, con metodología de matching propia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prospection-map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Convierte resultados de prospección (CSV, Excel o Kepler JSON) en un mapa HTML autónomo, sin servidor ni API keys. Se adapta a las columnas presentes: si hay grade agrega filtro multi-select, si hay exclusión agrega su filtro, si hay estado agrega dropdown, y si suben un segundo archivo de clientes lo agrega como capa.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Que cualquiera pueda abrir y explorar los resultados de prospección en el navegador, sin depender de Kepler ni de una herramienta instalada.</w:t>
      </w:r>
    </w:p>
    <w:p>
      <w:pPr>
        <w:spacing w:after="200"/>
      </w:pPr>
      <w:r>
        <w:rPr>
          <w:i/>
          <w:color w:val="666B73"/>
          <w:sz w:val="17"/>
        </w:rPr>
        <w:t>Insumo: CSV / XLSX / Kepler JSON con coordenadas de POIs  ·  Entregable: HTML autónomo  ·  Contexto: Coca-Cola / embotelladores  ·  1 archivos, 0 scripts, 0 líneas de Python  ·  Alta — 476 líneas, degradación silenciosa cuando falta una columna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kin-hexmap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Versión original del mapa H3 Share vs Ejecución: hexágonos en resolución 7/8/9 coloreados por métrica de oportunidad (tráfico × bajo share, bajo share × baja ejecución, gaps SOVI/SOCI), filtros invertidos que dejan visible lo de menor valor, dibujo de polígonos para contar y descargar PDV. Genera dos salidas: Bottler (con lat/long) y KO (sin coordenadas, por NDA).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Ver dónde está la oportunidad comercial por hexágono y poder entregar el mismo mapa a la embotelladora y a The Coca-Cola Company respetando el NDA.</w:t>
      </w:r>
    </w:p>
    <w:p>
      <w:pPr>
        <w:spacing w:after="200"/>
      </w:pPr>
      <w:r>
        <w:rPr>
          <w:i/>
          <w:color w:val="666B73"/>
          <w:sz w:val="17"/>
        </w:rPr>
        <w:t>Insumo: hexseg.json + points.json + canales.json del pipeline  ·  Entregable: Mapa_Bottler.html y Mapa_KO.html  ·  Contexto: Coca-Cola / embotelladores  ·  3 archivos, 2 scripts, 53 líneas de Python  ·  Media-alta — requiere insumos pre-agregados a mano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hexbin-map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Genérico: toma cualquier CSV con lat/long, detecta las columnas de coordenadas y produce un mapa de calor hexagonal H3 autocontenido con 5 rangos de color, mapa oscuro Carto Dark Matter, tooltip, selector de resolución y control de opacidad.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Ver la distribución espacial de un conjunto de puntos en un minuto, sin montar Kepler ni subir el archivo a ningún lado.</w:t>
      </w:r>
    </w:p>
    <w:p>
      <w:pPr>
        <w:spacing w:after="200"/>
      </w:pPr>
      <w:r>
        <w:rPr>
          <w:i/>
          <w:color w:val="666B73"/>
          <w:sz w:val="17"/>
        </w:rPr>
        <w:t>Insumo: CSV con columnas de latitud/longitud  ·  Entregable: HTML autocontenido con los datos embebidos  ·  Contexto: Transversal — cualquier dataset con coordenadas  ·  2 archivos, 1 scripts, 430 líneas de Python  ·  Media-alta — 430 líneas de Python en un script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kin-brand-pptx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Aplica la identidad KIN Analytics a cualquier entregable — PPTX, Word, Excel, HTML — con un núcleo de marca más una referencia por formato. Tres innegociables: KIN Yellow #E5FF01 como acento, Space Grotesk en títulos, y pensamiento dark-first.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Que todo entregable de Kin se vea consistente y premium sin que nadie tenga que recordar los códigos de color.</w:t>
      </w:r>
    </w:p>
    <w:p>
      <w:pPr>
        <w:spacing w:after="200"/>
      </w:pPr>
      <w:r>
        <w:rPr>
          <w:i/>
          <w:color w:val="666B73"/>
          <w:sz w:val="17"/>
        </w:rPr>
        <w:t>Insumo: Cualquier entregable en construcción  ·  Entregable: Guía aplicada (no genera archivos por sí sola)  ·  Contexto: Transversal — toda la empresa  ·  6 archivos, 0 scripts, 0 líneas de Python  ·  Estable — idéntico al kin_brand de Gabriel Lara (mismo archivo)</w:t>
      </w:r>
    </w:p>
    <w:p/>
    <w:p>
      <w:pPr>
        <w:spacing w:before="320" w:after="120"/>
      </w:pPr>
      <w:r>
        <w:rPr>
          <w:rFonts w:ascii="Aptos" w:hAnsi="Aptos"/>
          <w:b/>
          <w:color w:val="141417"/>
          <w:sz w:val="28"/>
        </w:rPr>
        <w:t>André Sarmiento  ·  6 skills</w:t>
      </w:r>
    </w:p>
    <w:p>
      <w:pPr>
        <w:spacing w:after="160"/>
      </w:pPr>
      <w:r>
        <w:rPr>
          <w:i/>
          <w:color w:val="666B73"/>
          <w:sz w:val="20"/>
        </w:rPr>
        <w:t>Entregables al cliente de punta a punta + disciplina de proceso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prospeccion-digital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Genera de punta a punta la presentación de Prospección Digital de KinAnalytics: hace 6 preguntas de intake (país, embotelladora, fecha y origen de la maestra, total de clientes, idioma), procesa la base de Priority (match/no_match, probability_existence_cat, channel_cat, business_category, city), calcula todas las métricas, arma los gráficos y rellena la plantilla corporativa PPTX.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Entregar al embotellador (Femsa, Arca, OXXO…) el resultado de la prospección digital sin armar diapositivas a mano y sin que los números varíen entre corridas.</w:t>
      </w:r>
    </w:p>
    <w:p>
      <w:pPr>
        <w:spacing w:after="200"/>
      </w:pPr>
      <w:r>
        <w:rPr>
          <w:i/>
          <w:color w:val="666B73"/>
          <w:sz w:val="17"/>
        </w:rPr>
        <w:t>Insumo: Base de Priority (CSV/XLSX) + plantilla PPTX corporativa  ·  Entregable: PPTX final listo para entregar  ·  Contexto: Coca-Cola / embotelladores  ·  2 archivos, 0 scripts, 0 líneas de Python  ·  Avanzada — 732 líneas de instrucción, la más detallada del conjunto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customer-potential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Construye la presentación de Customer Potential (Ultrasegmentación) a partir del CSV de segmentación: intake obligatorio (país, embotelladora, mes, quién entregó clientes y ventas), cálculo de KPIs por segmento cualitativo (Very High → Low), y reemplazo quirúrgico del XML de cada diapositiva de la plantilla Uruguay.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Producir el deck de resultados de Ultrasegmentación de forma reproducible, con los KPIs calculados desde el dato y no estimados.</w:t>
      </w:r>
    </w:p>
    <w:p>
      <w:pPr>
        <w:spacing w:after="200"/>
      </w:pPr>
      <w:r>
        <w:rPr>
          <w:i/>
          <w:color w:val="666B73"/>
          <w:sz w:val="17"/>
        </w:rPr>
        <w:t>Insumo: CSV de segmentación (PotentialQualitative_/Quantitative_) + plantilla PPTX  ·  Entregable: PPTX branded Kin Analytics  ·  Contexto: Coca-Cola / embotelladores  ·  9 archivos, 5 scripts, 2490 líneas de Python  ·  Avanzada — 5 scripts, 2.490 líneas de Python, guía de mapeo slide a slide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data-validation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Valida calidad de datos sobre maestra de clientes (con geo-validación contra GeoJSON), maestra de productos y base de ventas: mapea columnas automáticamente contra un catálogo de alias, deriva el tipo de consumidor, corre todas las validaciones y genera un informe Word con la plantilla Kin. Incluye selector de idioma (ES / EN / PT) antes de empezar.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Saber si una base entregada por el cliente sirve para el proyecto, y dejar por escrito los hallazgos y puntos de acción antes de modelar.</w:t>
      </w:r>
    </w:p>
    <w:p>
      <w:pPr>
        <w:spacing w:after="200"/>
      </w:pPr>
      <w:r>
        <w:rPr>
          <w:i/>
          <w:color w:val="666B73"/>
          <w:sz w:val="17"/>
        </w:rPr>
        <w:t>Insumo: 1 a 4 archivos: clientes, productos, ventas, GeoJSON  ·  Entregable: Reporte Word + CSVs procesados  ·  Contexto: Coca-Cola / embotelladores  ·  11 archivos, 7 scripts, 1681 líneas de Python  ·  Avanzada — 7 scripts, 1.681 líneas de Python, versión multiidioma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churn-mobility-report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Genera un informe HTML interactivo y autocontenido que cruza churn de clientes con señales de tráfico peatonal (movilidad H3): recomputa mob_drop, calcula 7 estructuras de gráficos y renderiza todo con Chart.js embebido y branding Kin (fondo oscuro, KIN Yellow, Space Grotesk).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Explicar por qué se pierden clientes distinguiendo lo que es caída de tráfico de la zona de lo que es problema del punto de venta.</w:t>
      </w:r>
    </w:p>
    <w:p>
      <w:pPr>
        <w:spacing w:after="200"/>
      </w:pPr>
      <w:r>
        <w:rPr>
          <w:i/>
          <w:color w:val="666B73"/>
          <w:sz w:val="17"/>
        </w:rPr>
        <w:t>Insumo: CSV de churn con columnas H3 (pos_h3_cell, pct_change_devices, churn_reason…)  ·  Entregable: HTML interactivo de una sola página  ·  Contexto: Femsa / KOF — MEX, NIC, VEN, COL  ·  1 archivos, 0 scripts, 0 líneas de Python  ·  Media-alta — 571 líneas, sin scripts auxiliares (todo en el SKILL.md)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receiving-code-review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Define cómo se debe recibir feedback de code review: leer completo, reformular el requerimiento, verificar contra el código real, evaluar si aplica a este repo, y recién ahí implementar. Prohíbe explícitamente las respuestas complacientes.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Evitar que se implemente feedback sin verificarlo y que se acepten sugerencias técnicamente incorrectas por comodidad social.</w:t>
      </w:r>
    </w:p>
    <w:p>
      <w:pPr>
        <w:spacing w:after="200"/>
      </w:pPr>
      <w:r>
        <w:rPr>
          <w:i/>
          <w:color w:val="666B73"/>
          <w:sz w:val="17"/>
        </w:rPr>
        <w:t>Insumo: Feedback de revisión de código  ·  Entregable: Protocolo de conducta (no genera archivos)  ·  Contexto: Proceso interno de desarrollo  ·  1 archivos, 0 scripts, 0 líneas de Python  ·  Media — adaptación de una práctica genérica, no específica de Kin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requesting-code-review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Define cuándo y cómo pedir una revisión de código: obtener los SHAs de git, despachar un subagente revisor con una plantilla de contexto acotada, y clasificar los hallazgos en Crítico / Importante / Menor.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Detectar problemas antes de que se acumulen, sin contaminar al revisor con el historial de la sesión.</w:t>
      </w:r>
    </w:p>
    <w:p>
      <w:pPr>
        <w:spacing w:after="200"/>
      </w:pPr>
      <w:r>
        <w:rPr>
          <w:i/>
          <w:color w:val="666B73"/>
          <w:sz w:val="17"/>
        </w:rPr>
        <w:t>Insumo: Rango de commits  ·  Entregable: Reporte de revisión estructurado  ·  Contexto: Proceso interno de desarrollo  ·  2 archivos, 0 scripts, 0 líneas de Python  ·  Media — adaptación de una práctica genérica, no específica de Kin</w:t>
      </w:r>
    </w:p>
    <w:p/>
    <w:p>
      <w:pPr>
        <w:spacing w:before="320" w:after="120"/>
      </w:pPr>
      <w:r>
        <w:rPr>
          <w:rFonts w:ascii="Aptos" w:hAnsi="Aptos"/>
          <w:b/>
          <w:color w:val="141417"/>
          <w:sz w:val="28"/>
        </w:rPr>
        <w:t>Gabriel Lara  ·  3 skills</w:t>
      </w:r>
    </w:p>
    <w:p>
      <w:pPr>
        <w:spacing w:after="160"/>
      </w:pPr>
      <w:r>
        <w:rPr>
          <w:i/>
          <w:color w:val="666B73"/>
          <w:sz w:val="20"/>
        </w:rPr>
        <w:t>Entender el dato antes de modelarlo, y automatizar el paso manual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kin-eda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Convierte una carpeta de datos cruda en un libro Excel (EAD) que documenta qué hay, cómo se construye y qué falta preguntar: reconoce las fuentes antes de preguntar, perfila con lectura como texto (para no perder ceros a la izquierda), descifra reglas de columnas derivadas y deja explícito qué se está asumiendo.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Arrancar un proyecto sabiendo qué significa cada columna y con una lista concreta de preguntas para el negocio, en lugar de un perfilado automático sin criterio.</w:t>
      </w:r>
    </w:p>
    <w:p>
      <w:pPr>
        <w:spacing w:after="200"/>
      </w:pPr>
      <w:r>
        <w:rPr>
          <w:i/>
          <w:color w:val="666B73"/>
          <w:sz w:val="17"/>
        </w:rPr>
        <w:t>Insumo: Carpeta con CSV / XLSX de cualquier dominio  ·  Entregable: Libro Excel EAD + carpeta reorganizada (01_Raw / 02_EAD / 03_Limpio)  ·  Contexto: Transversal — cualquier dominio  ·  6 archivos, 1 scripts, 621 líneas de Python  ·  Alta — 621 líneas de Python, incluye perfilado en streaming y parser XLSX propio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kin-hexmap (v2)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Versión extendida del mapa H3 Share vs Ejecución: además del mapa interactivo, incorpora prep_from_base.py, que arma los tres insumos (hexseg, points, canales) directamente desde la base real de PDV sin pre-agregar nada a mano. Añade filtro por canal y KPIs de auditoría.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Poder generar el mapa desde el dato crudo del pipeline, quitando el paso manual que hacía lento reproducir el mapa para una nueva operación.</w:t>
      </w:r>
    </w:p>
    <w:p>
      <w:pPr>
        <w:spacing w:after="200"/>
      </w:pPr>
      <w:r>
        <w:rPr>
          <w:i/>
          <w:color w:val="666B73"/>
          <w:sz w:val="17"/>
        </w:rPr>
        <w:t>Insumo: Base de PDV con H3 (+ base de zonas si existe)  ·  Entregable: Mapa_Bottler.html y Mapa_KO.html (autocontenidos)  ·  Contexto: Coca-Cola / embotelladores (Arca Perú)  ·  4 archivos, 3 scripts, 262 líneas de Python  ·  Alta — evolución sobre la versión de Miguel Mena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kin_brand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Aplica la identidad KIN Analytics a cualquier entregable — PPTX, Word, Excel, HTML — con un núcleo de marca (colores, tipografías, logo, hexágonos, tono de voz) más una referencia por formato.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Que todo lo que sale de Kin se vea igual, sin depender de que cada persona recuerde los hex y las fuentes.</w:t>
      </w:r>
    </w:p>
    <w:p>
      <w:pPr>
        <w:spacing w:after="200"/>
      </w:pPr>
      <w:r>
        <w:rPr>
          <w:i/>
          <w:color w:val="666B73"/>
          <w:sz w:val="17"/>
        </w:rPr>
        <w:t>Insumo: Cualquier entregable en construcción  ·  Entregable: Guía aplicada (no genera archivos por sí sola)  ·  Contexto: Transversal — toda la empresa  ·  6 archivos, 0 scripts, 0 líneas de Python  ·  Estable — idéntico al kin-brand-pptx de Miguel Mena (mismo archivo)</w:t>
      </w:r>
    </w:p>
    <w:p/>
    <w:p>
      <w:pPr>
        <w:spacing w:before="320" w:after="120"/>
      </w:pPr>
      <w:r>
        <w:rPr>
          <w:rFonts w:ascii="Aptos" w:hAnsi="Aptos"/>
          <w:b/>
          <w:color w:val="141417"/>
          <w:sz w:val="28"/>
        </w:rPr>
        <w:t>Kevin Farinango  ·  3 skills</w:t>
      </w:r>
    </w:p>
    <w:p>
      <w:pPr>
        <w:spacing w:after="160"/>
      </w:pPr>
      <w:r>
        <w:rPr>
          <w:i/>
          <w:color w:val="666B73"/>
          <w:sz w:val="20"/>
        </w:rPr>
        <w:t>Insumos confiables y traducción del modelo al negocio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geojson-boundary-finder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Obtiene fronteras administrativas oficiales en GeoJSON para cualquier país y devuelve solo las divisiones pedidas (estados, provincias, municipios, cantones, condados, parroquias). Confirma la jerarquía administrativa del país antes de bajar nada, valida geometrías y limpia fragmentos sueltos. Regla dura: la geometría siempre viene de una fuente real, nunca se aproxima ni se dibuja a mano.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Tener el polígono correcto para geo-validar bases y recortar mapas, sin corromper el análisis con una frontera inventada que parece plausible.</w:t>
      </w:r>
    </w:p>
    <w:p>
      <w:pPr>
        <w:spacing w:after="200"/>
      </w:pPr>
      <w:r>
        <w:rPr>
          <w:i/>
          <w:color w:val="666B73"/>
          <w:sz w:val="17"/>
        </w:rPr>
        <w:t>Insumo: Nombre del país y de las divisiones requeridas  ·  Entregable: GeoJSON (o TopoJSON / Shapefile / GeoPackage)  ·  Contexto: Transversal — insumo de otros skills (data-validation, mapas)  ·  3 archivos, 1 scripts, 207 líneas de Python  ·  Alta — catálogo de fuentes confiables (geoBoundaries, Natural Earth, GADM)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kinray-repo-audit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Analiza un repositorio completo o una sola ruta y produce artefactos técnicos con marca KinRay: un informe de auditoría (.docx) o un documento de flujo (.md) con diagramas mermaid. Lee el código estáticamente, nunca lo ejecuta ni lo modifica, y entrega exactamente un artefacto por pedido en la carpeta KinRay_output.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Documentar cómo funciona un repo o una carpeta, y auditar calidad, seguridad y arquitectura sin tocar el código analizado.</w:t>
      </w:r>
    </w:p>
    <w:p>
      <w:pPr>
        <w:spacing w:after="200"/>
      </w:pPr>
      <w:r>
        <w:rPr>
          <w:i/>
          <w:color w:val="666B73"/>
          <w:sz w:val="17"/>
        </w:rPr>
        <w:t>Insumo: Repositorio o ruta  ·  Entregable: Informe .docx o documento de flujo .md con diagramas  ·  Contexto: Transversal — auditoría de código  ·  3 archivos, 0 scripts, 0 líneas de Python  ·  Media-alta — separa auditoría completa de análisis con alcance acotado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sintesis-clusters-retail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Traduce la salida de un modelo de clustering geoespacial (cluster_size + variables discriminantes, o parquet de perfiles) a un TXT ejecutivo 'Síntesis para la toma de decisiones', nombrando cada cluster por su rasgo comercial dominante con el % de tamaño. Verifica la escala antes de citar cifras: si las variables vienen transformadas, redacta solo en términos relativos.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Que gerencia comercial, expansión, operaciones y marketing puedan decidir sobre una segmentación sin leer la salida técnica del modelo.</w:t>
      </w:r>
    </w:p>
    <w:p>
      <w:pPr>
        <w:spacing w:after="200"/>
      </w:pPr>
      <w:r>
        <w:rPr>
          <w:i/>
          <w:color w:val="666B73"/>
          <w:sz w:val="17"/>
        </w:rPr>
        <w:t>Insumo: CSV de tamaños + CSV de variables discriminantes (+ parquet de perfiles)  ·  Entregable: TXT ejecutivo  ·  Contexto: Retail / segmentación geoespacial  ·  1 archivos, 0 scripts, 0 líneas de Python  ·  Media — un solo archivo, sin scripts, pero con reglas antifallo bien definidas</w:t>
      </w:r>
    </w:p>
    <w:p/>
    <w:p>
      <w:pPr>
        <w:spacing w:before="320" w:after="120"/>
      </w:pPr>
      <w:r>
        <w:rPr>
          <w:rFonts w:ascii="Aptos" w:hAnsi="Aptos"/>
          <w:b/>
          <w:color w:val="141417"/>
          <w:sz w:val="28"/>
        </w:rPr>
        <w:t>Kristian Mendoza  ·  1 skills</w:t>
      </w:r>
    </w:p>
    <w:p>
      <w:pPr>
        <w:spacing w:after="160"/>
      </w:pPr>
      <w:r>
        <w:rPr>
          <w:i/>
          <w:color w:val="666B73"/>
          <w:sz w:val="20"/>
        </w:rPr>
        <w:t>Estándar de producción para pipelines en la nube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cloud-notebook-standards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Fija el estándar para notebooks PySpark que un orquestador ejecuta desatendidos (Synapse/Fabric, Databricks Jobs, Airflow, Azure ML, Vertex AI, SageMaker): orden canónico de celdas, parámetros aislados, validación fail-fast, logging estructurado con identificador de corrida y persistencia del estado del run. Sirve tanto para escribir como para auditar notebooks existentes.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Que cuando un paso de pipeline falle a las 3 de la mañana, las tres únicas señales que queda un humano — exit status, logs y estado persistido — sean correctas y fáciles de encontrar.</w:t>
      </w:r>
    </w:p>
    <w:p>
      <w:pPr>
        <w:spacing w:after="200"/>
      </w:pPr>
      <w:r>
        <w:rPr>
          <w:i/>
          <w:color w:val="666B73"/>
          <w:sz w:val="17"/>
        </w:rPr>
        <w:t>Insumo: Notebook nuevo o .ipynb existente a auditar  ·  Entregable: Notebook conforme al estándar / reporte de cumplimiento  ·  Contexto: Transversal — pipelines en la nube  ·  1 archivos, 0 scripts, 0 líneas de Python  ·  Alta — 217 líneas, agnóstico de nube y de proyecto</w:t>
      </w:r>
    </w:p>
    <w:p/>
    <w:p>
      <w:pPr>
        <w:spacing w:before="320" w:after="120"/>
      </w:pPr>
      <w:r>
        <w:rPr>
          <w:rFonts w:ascii="Aptos" w:hAnsi="Aptos"/>
          <w:b/>
          <w:color w:val="141417"/>
          <w:sz w:val="28"/>
        </w:rPr>
        <w:t>Isabel Martinez  ·  1 skills</w:t>
      </w:r>
    </w:p>
    <w:p>
      <w:pPr>
        <w:spacing w:after="160"/>
      </w:pPr>
      <w:r>
        <w:rPr>
          <w:i/>
          <w:color w:val="666B73"/>
          <w:sz w:val="20"/>
        </w:rPr>
        <w:t>Visualización de índices con comparabilidad y privacidad</w:t>
      </w:r>
    </w:p>
    <w:p>
      <w:pPr>
        <w:spacing w:before="200" w:after="120"/>
      </w:pPr>
      <w:r>
        <w:rPr>
          <w:rFonts w:ascii="Aptos" w:hAnsi="Aptos"/>
          <w:b/>
          <w:color w:val="141417"/>
          <w:sz w:val="23"/>
        </w:rPr>
        <w:t>skill-indices</w:t>
      </w:r>
    </w:p>
    <w:p>
      <w:pPr>
        <w:spacing w:after="80"/>
      </w:pPr>
      <w:r>
        <w:rPr>
          <w:b/>
          <w:sz w:val="21"/>
        </w:rPr>
        <w:t xml:space="preserve">Qué hace. </w:t>
      </w:r>
      <w:r>
        <w:rPr>
          <w:sz w:val="21"/>
        </w:rPr>
        <w:t>Construye un mapa hexagonal H3 que colorea por la media de un score continuo 0-1 por punto de venta (score_residencial, score_on_the_go, score_sweat_points…), con selector de eje, resolución 7/8/9, filtro por ciudad/territorio/franquicia y escala fija. Replica exactamente el formato visual del mapa de referencia FEMSA México — Score por Arquetipo.</w:t>
      </w:r>
    </w:p>
    <w:p>
      <w:pPr>
        <w:spacing w:after="80"/>
      </w:pPr>
      <w:r>
        <w:rPr>
          <w:b/>
          <w:sz w:val="21"/>
        </w:rPr>
        <w:t xml:space="preserve">Para qué sirve. </w:t>
      </w:r>
      <w:r>
        <w:rPr>
          <w:sz w:val="21"/>
        </w:rPr>
        <w:t>Visualizar índices de arquetipo ya normalizados manteniendo la escala fija, de modo que corridas distintas sean comparables entre sí.</w:t>
      </w:r>
    </w:p>
    <w:p>
      <w:pPr>
        <w:spacing w:after="200"/>
      </w:pPr>
      <w:r>
        <w:rPr>
          <w:i/>
          <w:color w:val="666B73"/>
          <w:sz w:val="17"/>
        </w:rPr>
        <w:t>Insumo: CSV/parquet con lat/long + columnas idx_* o score_*  ·  Entregable: HTML autocontenido  ·  Contexto: FEMSA México — Score por Arquetipo  ·  4 archivos, 1 scripts, 254 líneas de Python  ·  Alta — restricción de privacidad explícita: el HTML nunca lleva coordenadas crudas de PDV</w:t>
      </w:r>
    </w:p>
    <w:p/>
    <w:p>
      <w:r>
        <w:br w:type="page"/>
      </w:r>
    </w:p>
    <w:p>
      <w:pPr>
        <w:spacing w:before="0" w:after="120"/>
      </w:pPr>
      <w:r>
        <w:rPr>
          <w:rFonts w:ascii="Aptos" w:hAnsi="Aptos"/>
          <w:b/>
          <w:color w:val="141417"/>
          <w:sz w:val="36"/>
        </w:rPr>
        <w:t>4. En qué se enfocó cada persona</w:t>
      </w:r>
    </w:p>
    <w:p>
      <w:pPr>
        <w:spacing w:before="40" w:after="200"/>
        <w:pBdr>
          <w:bottom w:val="single" w:sz="12" w:space="1" w:color="E5FF01"/>
        </w:pBdr>
      </w:pP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Miguel Mena</w:t>
      </w:r>
    </w:p>
    <w:p>
      <w:pPr>
        <w:spacing w:after="80"/>
      </w:pPr>
      <w:r>
        <w:rPr>
          <w:i w:val="0"/>
          <w:sz w:val="21"/>
        </w:rPr>
        <w:t>Ocho skills, la colección más amplia. Cubre validación de datos → prospección → QA del algoritmo → deck de resultados → mapas → marca. Es el único que audita su propio algoritmo (prospection-qa) y quien puso las versiones base que otros extendieron (data-validation, prospeccion-digital, kin-hexmap).</w:t>
      </w:r>
    </w:p>
    <w:p>
      <w:pPr>
        <w:spacing w:after="200"/>
      </w:pPr>
      <w:r>
        <w:rPr>
          <w:b/>
          <w:sz w:val="20"/>
        </w:rPr>
        <w:t xml:space="preserve">Señal de fondo: </w:t>
      </w:r>
      <w:r>
        <w:rPr>
          <w:i/>
          <w:sz w:val="20"/>
        </w:rPr>
        <w:t>Amplitud y reutilización: construye la base sobre la que trabajan los demás.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André Sarmiento</w:t>
      </w:r>
    </w:p>
    <w:p>
      <w:pPr>
        <w:spacing w:after="80"/>
      </w:pPr>
      <w:r>
        <w:rPr>
          <w:i w:val="0"/>
          <w:sz w:val="21"/>
        </w:rPr>
        <w:t>Seis skills, y son las de instrucción más larga del conjunto (732 y 571 líneas). Tomó los dos entregables troncales de Kin — prospección digital y customer potential — y los llevó más lejos que la versión base: multiidioma, intake más estricto, mapeo XML diapositiva por diapositiva. Es además el único que trajo skills de proceso de desarrollo (dar y recibir code review), que no producen entregable de cliente.</w:t>
      </w:r>
    </w:p>
    <w:p>
      <w:pPr>
        <w:spacing w:after="200"/>
      </w:pPr>
      <w:r>
        <w:rPr>
          <w:b/>
          <w:sz w:val="20"/>
        </w:rPr>
        <w:t xml:space="preserve">Señal de fondo: </w:t>
      </w:r>
      <w:r>
        <w:rPr>
          <w:i/>
          <w:sz w:val="20"/>
        </w:rPr>
        <w:t>Profundidad sobre amplitud: menos temas, más detalle por tema.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Gabriel Lara</w:t>
      </w:r>
    </w:p>
    <w:p>
      <w:pPr>
        <w:spacing w:after="80"/>
      </w:pPr>
      <w:r>
        <w:rPr>
          <w:i w:val="0"/>
          <w:sz w:val="21"/>
        </w:rPr>
        <w:t>Tres skills con dos apuestas claras. kin-eda es la más original del conjunto: convierte el reconocimiento de datos en un entregable documentado, con perfilado en streaming y parser XLSX propio para archivos grandes. Y en kin-hexmap eliminó el pre-agregado manual de insumos que tenía la versión original.</w:t>
      </w:r>
    </w:p>
    <w:p>
      <w:pPr>
        <w:spacing w:after="200"/>
      </w:pPr>
      <w:r>
        <w:rPr>
          <w:b/>
          <w:sz w:val="20"/>
        </w:rPr>
        <w:t xml:space="preserve">Señal de fondo: </w:t>
      </w:r>
      <w:r>
        <w:rPr>
          <w:i/>
          <w:sz w:val="20"/>
        </w:rPr>
        <w:t>Ingeniería de datos: rendimiento, criterio y quitar fricción manual.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Kevin Farinango</w:t>
      </w:r>
    </w:p>
    <w:p>
      <w:pPr>
        <w:spacing w:after="80"/>
      </w:pPr>
      <w:r>
        <w:rPr>
          <w:i w:val="0"/>
          <w:sz w:val="21"/>
        </w:rPr>
        <w:t>Tres skills que no compiten con las demás: consigue fronteras oficiales sin inventar geometría (insumo que alimenta a data-validation y a los mapas), documenta y audita repositorios sin tocarlos, y traduce salidas de clustering al lenguaje de gerencia comercial. Las tres comparten una obsesión: no presentar como cierto algo que no se verificó.</w:t>
      </w:r>
    </w:p>
    <w:p>
      <w:pPr>
        <w:spacing w:after="200"/>
      </w:pPr>
      <w:r>
        <w:rPr>
          <w:b/>
          <w:sz w:val="20"/>
        </w:rPr>
        <w:t xml:space="preserve">Señal de fondo: </w:t>
      </w:r>
      <w:r>
        <w:rPr>
          <w:i/>
          <w:sz w:val="20"/>
        </w:rPr>
        <w:t>Rigor sobre la procedencia del dato y sobre cómo se comunica.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Kristian Mendoza</w:t>
      </w:r>
    </w:p>
    <w:p>
      <w:pPr>
        <w:spacing w:after="80"/>
      </w:pPr>
      <w:r>
        <w:rPr>
          <w:i w:val="0"/>
          <w:sz w:val="21"/>
        </w:rPr>
        <w:t>Una sola skill, pero es la única que mira el problema de operación: qué pasa cuando un notebook corre desatendido y falla sin nadie mirando. Define orden de celdas, validación fail-fast, logging con identificador de corrida y persistencia de estado. Agnóstica de nube y de proyecto — sirve igual en Databricks, Fabric o Airflow.</w:t>
      </w:r>
    </w:p>
    <w:p>
      <w:pPr>
        <w:spacing w:after="200"/>
      </w:pPr>
      <w:r>
        <w:rPr>
          <w:b/>
          <w:sz w:val="20"/>
        </w:rPr>
        <w:t xml:space="preserve">Señal de fondo: </w:t>
      </w:r>
      <w:r>
        <w:rPr>
          <w:i/>
          <w:sz w:val="20"/>
        </w:rPr>
        <w:t>Confiabilidad operativa. Es la pieza que le falta al resto de la colección.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Isabel Martinez</w:t>
      </w:r>
    </w:p>
    <w:p>
      <w:pPr>
        <w:spacing w:after="80"/>
      </w:pPr>
      <w:r>
        <w:rPr>
          <w:i w:val="0"/>
          <w:sz w:val="21"/>
        </w:rPr>
        <w:t>Una skill muy acotada y muy bien resuelta: mapa hexagonal de scores de arquetipo con escala fija (para que corridas distintas se puedan comparar) y con la restricción explícita de que el HTML nunca contenga una coordenada cruda de PDV, solo agregados por hexágono. Se posiciona a propósito como hermana de customer-potential-kin, no como reemplazo.</w:t>
      </w:r>
    </w:p>
    <w:p>
      <w:pPr>
        <w:spacing w:after="200"/>
      </w:pPr>
      <w:r>
        <w:rPr>
          <w:b/>
          <w:sz w:val="20"/>
        </w:rPr>
        <w:t xml:space="preserve">Señal de fondo: </w:t>
      </w:r>
      <w:r>
        <w:rPr>
          <w:i/>
          <w:sz w:val="20"/>
        </w:rPr>
        <w:t>Precisión de alcance: resuelve un caso, lo resuelve completo y dice qué no es.</w:t>
      </w:r>
    </w:p>
    <w:p>
      <w:pPr>
        <w:spacing w:before="320" w:after="120"/>
      </w:pPr>
      <w:r>
        <w:rPr>
          <w:rFonts w:ascii="Aptos" w:hAnsi="Aptos"/>
          <w:b/>
          <w:color w:val="141417"/>
          <w:sz w:val="36"/>
        </w:rPr>
        <w:t>5. Mapa de temas</w:t>
      </w:r>
    </w:p>
    <w:p>
      <w:pPr>
        <w:spacing w:before="40" w:after="200"/>
        <w:pBdr>
          <w:bottom w:val="single" w:sz="12" w:space="1" w:color="E5FF01"/>
        </w:pBdr>
      </w:pPr>
    </w:p>
    <w:p>
      <w:pPr>
        <w:spacing w:after="160"/>
      </w:pPr>
      <w:r>
        <w:rPr>
          <w:i w:val="0"/>
          <w:sz w:val="21"/>
        </w:rPr>
        <w:t>Dónde se concentró el esfuerzo del equipo y dónde hay un solo dueño.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2494"/>
            <w:shd w:val="clear" w:fill="141417"/>
          </w:tcPr>
          <w:p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79"/>
            <w:shd w:val="clear" w:fill="141417"/>
          </w:tcPr>
          <w:p>
            <w:r/>
            <w:r>
              <w:rPr>
                <w:b/>
                <w:color w:val="FFFFFF"/>
                <w:sz w:val="18"/>
              </w:rPr>
              <w:t>Miguel</w:t>
            </w:r>
          </w:p>
        </w:tc>
        <w:tc>
          <w:tcPr>
            <w:tcW w:type="dxa" w:w="879"/>
            <w:shd w:val="clear" w:fill="141417"/>
          </w:tcPr>
          <w:p>
            <w:r/>
            <w:r>
              <w:rPr>
                <w:b/>
                <w:color w:val="FFFFFF"/>
                <w:sz w:val="18"/>
              </w:rPr>
              <w:t>André</w:t>
            </w:r>
          </w:p>
        </w:tc>
        <w:tc>
          <w:tcPr>
            <w:tcW w:type="dxa" w:w="879"/>
            <w:shd w:val="clear" w:fill="141417"/>
          </w:tcPr>
          <w:p>
            <w:r/>
            <w:r>
              <w:rPr>
                <w:b/>
                <w:color w:val="FFFFFF"/>
                <w:sz w:val="18"/>
              </w:rPr>
              <w:t>Gabriel</w:t>
            </w:r>
          </w:p>
        </w:tc>
        <w:tc>
          <w:tcPr>
            <w:tcW w:type="dxa" w:w="879"/>
            <w:shd w:val="clear" w:fill="141417"/>
          </w:tcPr>
          <w:p>
            <w:r/>
            <w:r>
              <w:rPr>
                <w:b/>
                <w:color w:val="FFFFFF"/>
                <w:sz w:val="18"/>
              </w:rPr>
              <w:t>Kevin</w:t>
            </w:r>
          </w:p>
        </w:tc>
        <w:tc>
          <w:tcPr>
            <w:tcW w:type="dxa" w:w="879"/>
            <w:shd w:val="clear" w:fill="141417"/>
          </w:tcPr>
          <w:p>
            <w:r/>
            <w:r>
              <w:rPr>
                <w:b/>
                <w:color w:val="FFFFFF"/>
                <w:sz w:val="18"/>
              </w:rPr>
              <w:t>Kristian</w:t>
            </w:r>
          </w:p>
        </w:tc>
        <w:tc>
          <w:tcPr>
            <w:tcW w:type="dxa" w:w="879"/>
            <w:shd w:val="clear" w:fill="141417"/>
          </w:tcPr>
          <w:p>
            <w:r/>
            <w:r>
              <w:rPr>
                <w:b/>
                <w:color w:val="FFFFFF"/>
                <w:sz w:val="18"/>
              </w:rPr>
              <w:t>Isabel</w:t>
            </w:r>
          </w:p>
        </w:tc>
        <w:tc>
          <w:tcPr>
            <w:tcW w:type="dxa" w:w="624"/>
            <w:shd w:val="clear" w:fill="141417"/>
          </w:tcPr>
          <w:p>
            <w:r/>
            <w:r>
              <w:rPr>
                <w:b/>
                <w:color w:val="FFFFFF"/>
                <w:sz w:val="18"/>
              </w:rPr>
              <w:t>Tot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Calidad de datos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494"/>
            <w:shd w:val="clear" w:fill="F4F5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Datos geográficos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624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Estándares de ingeniería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494"/>
            <w:shd w:val="clear" w:fill="F4F5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Exploración y documentación de datos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624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Mapas / Geoespacial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494"/>
            <w:shd w:val="clear" w:fill="F4F5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Marca / Identidad visual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624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Presentaciones / Entregables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494"/>
            <w:shd w:val="clear" w:fill="F4F5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Reportes analíticos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624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Traducción modelo → negocio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879"/>
          </w:tcPr>
          <w:p>
            <w:pPr>
              <w:spacing w:after="4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624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494"/>
            <w:shd w:val="clear" w:fill="F4F5F6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879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624"/>
            <w:shd w:val="clear" w:fill="F4F5F6"/>
          </w:tcPr>
          <w:p>
            <w:pPr>
              <w:spacing w:after="40"/>
            </w:pPr>
            <w:r/>
            <w:r>
              <w:rPr>
                <w:sz w:val="18"/>
              </w:rPr>
              <w:t>22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1"/>
        </w:rPr>
        <w:t>Mapas / Geoespacial es el frente más poblado: 5 skills de 3 personas. Es donde más se repite trabajo.</w:t>
      </w:r>
    </w:p>
    <w:p>
      <w:pPr>
        <w:pStyle w:val="ListBullet"/>
        <w:spacing w:after="80"/>
      </w:pPr>
      <w:r>
        <w:rPr>
          <w:sz w:val="21"/>
        </w:rPr>
        <w:t>Presentaciones / Entregables concentra lo que ve el cliente: 4 skills entre André y Miguel.</w:t>
      </w:r>
    </w:p>
    <w:p>
      <w:pPr>
        <w:pStyle w:val="ListBullet"/>
        <w:spacing w:after="80"/>
      </w:pPr>
      <w:r>
        <w:rPr>
          <w:sz w:val="21"/>
        </w:rPr>
        <w:t>Estándares de ingeniería suma 4 skills de tres personas distintas, y ninguna se solapa con otra.</w:t>
      </w:r>
    </w:p>
    <w:p>
      <w:pPr>
        <w:pStyle w:val="ListBullet"/>
        <w:spacing w:after="80"/>
      </w:pPr>
      <w:r>
        <w:rPr>
          <w:sz w:val="21"/>
        </w:rPr>
        <w:t>Exploración de datos, Datos geográficos, Reportes analíticos y Traducción a negocio tienen un solo dueño cada uno — son los puntos de dependencia de una sola persona.</w:t>
      </w:r>
    </w:p>
    <w:p>
      <w:r>
        <w:br w:type="page"/>
      </w:r>
    </w:p>
    <w:p>
      <w:pPr>
        <w:spacing w:before="0" w:after="120"/>
      </w:pPr>
      <w:r>
        <w:rPr>
          <w:rFonts w:ascii="Aptos" w:hAnsi="Aptos"/>
          <w:b/>
          <w:color w:val="141417"/>
          <w:sz w:val="36"/>
        </w:rPr>
        <w:t>6. Duplicados y solapamientos</w:t>
      </w:r>
    </w:p>
    <w:p>
      <w:pPr>
        <w:spacing w:before="40" w:after="200"/>
        <w:pBdr>
          <w:bottom w:val="single" w:sz="12" w:space="1" w:color="E5FF01"/>
        </w:pBdr>
      </w:pPr>
    </w:p>
    <w:p>
      <w:pPr>
        <w:spacing w:after="160"/>
      </w:pPr>
      <w:r>
        <w:rPr>
          <w:i w:val="0"/>
          <w:sz w:val="21"/>
        </w:rPr>
        <w:t>Seis casos donde dos o más personas resolvieron lo mismo. No todos son un problema — una versión extendida que reemplaza a la base es sano; dos ramas vivas en paralelo, no.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kin-brand — Duplicado exacto</w:t>
      </w:r>
    </w:p>
    <w:p>
      <w:pPr>
        <w:spacing w:after="80"/>
      </w:pPr>
      <w:r>
        <w:rPr>
          <w:i/>
          <w:color w:val="666B73"/>
          <w:sz w:val="19"/>
        </w:rPr>
        <w:t>Gabriel Lara (kin_brand) · Miguel Mena (kin-brand-pptx)</w:t>
      </w:r>
    </w:p>
    <w:p>
      <w:pPr>
        <w:spacing w:after="80"/>
      </w:pPr>
      <w:r>
        <w:rPr>
          <w:i w:val="0"/>
          <w:sz w:val="21"/>
        </w:rPr>
        <w:t>Mismo SKILL.md byte por byte (hash 86cafc1c) y las mismas 5 referencias. Es la misma skill subida dos veces.</w:t>
      </w:r>
    </w:p>
    <w:p>
      <w:pPr>
        <w:spacing w:after="160"/>
      </w:pPr>
      <w:r>
        <w:rPr>
          <w:b/>
          <w:sz w:val="20"/>
        </w:rPr>
        <w:t xml:space="preserve">Qué hacer: </w:t>
      </w:r>
      <w:r>
        <w:rPr>
          <w:sz w:val="20"/>
        </w:rPr>
        <w:t>Dejar una sola copia como skill de empresa; borrar la otra.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data-validation — Versión evolucionada</w:t>
      </w:r>
    </w:p>
    <w:p>
      <w:pPr>
        <w:spacing w:after="80"/>
      </w:pPr>
      <w:r>
        <w:rPr>
          <w:i/>
          <w:color w:val="666B73"/>
          <w:sz w:val="19"/>
        </w:rPr>
        <w:t>Miguel Mena (base) · André Sarmiento (extendida)</w:t>
      </w:r>
    </w:p>
    <w:p>
      <w:pPr>
        <w:spacing w:after="80"/>
      </w:pPr>
      <w:r>
        <w:rPr>
          <w:i w:val="0"/>
          <w:sz w:val="21"/>
        </w:rPr>
        <w:t>André parte de la de Miguel y agrega el Paso 0 de selección de idioma (ES/EN/PT) y un script más (7 vs 6). El resto de la lógica es común.</w:t>
      </w:r>
    </w:p>
    <w:p>
      <w:pPr>
        <w:spacing w:after="160"/>
      </w:pPr>
      <w:r>
        <w:rPr>
          <w:b/>
          <w:sz w:val="20"/>
        </w:rPr>
        <w:t xml:space="preserve">Qué hacer: </w:t>
      </w:r>
      <w:r>
        <w:rPr>
          <w:sz w:val="20"/>
        </w:rPr>
        <w:t>Consolidar en una sola con el selector de idioma; no mantener dos ramas.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prospeccion-digital — Versión evolucionada</w:t>
      </w:r>
    </w:p>
    <w:p>
      <w:pPr>
        <w:spacing w:after="80"/>
      </w:pPr>
      <w:r>
        <w:rPr>
          <w:i/>
          <w:color w:val="666B73"/>
          <w:sz w:val="19"/>
        </w:rPr>
        <w:t>Miguel Mena (base) · André Sarmiento (extendida)</w:t>
      </w:r>
    </w:p>
    <w:p>
      <w:pPr>
        <w:spacing w:after="80"/>
      </w:pPr>
      <w:r>
        <w:rPr>
          <w:i w:val="0"/>
          <w:sz w:val="21"/>
        </w:rPr>
        <w:t>André extiende el intake de 5 a 6 preguntas (agrega idioma) y pasa de 544 a 732 líneas de instrucción. Ambas cargan la misma plantilla PPTX de ~19 MB.</w:t>
      </w:r>
    </w:p>
    <w:p>
      <w:pPr>
        <w:spacing w:after="160"/>
      </w:pPr>
      <w:r>
        <w:rPr>
          <w:b/>
          <w:sz w:val="20"/>
        </w:rPr>
        <w:t xml:space="preserve">Qué hacer: </w:t>
      </w:r>
      <w:r>
        <w:rPr>
          <w:sz w:val="20"/>
        </w:rPr>
        <w:t>Consolidar; la plantilla debería vivir una sola vez, no duplicada en dos paquetes de 19 MB.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kin-hexmap — Versión evolucionada</w:t>
      </w:r>
    </w:p>
    <w:p>
      <w:pPr>
        <w:spacing w:after="80"/>
      </w:pPr>
      <w:r>
        <w:rPr>
          <w:i/>
          <w:color w:val="666B73"/>
          <w:sz w:val="19"/>
        </w:rPr>
        <w:t>Miguel Mena (v1) · Gabriel Lara (v2)</w:t>
      </w:r>
    </w:p>
    <w:p>
      <w:pPr>
        <w:spacing w:after="80"/>
      </w:pPr>
      <w:r>
        <w:rPr>
          <w:i w:val="0"/>
          <w:sz w:val="21"/>
        </w:rPr>
        <w:t>Gabriel agrega prep_from_base.py, que arma los insumos desde la base real de PDV, más filtro por canal y KPIs de auditoría.</w:t>
      </w:r>
    </w:p>
    <w:p>
      <w:pPr>
        <w:spacing w:after="160"/>
      </w:pPr>
      <w:r>
        <w:rPr>
          <w:b/>
          <w:sz w:val="20"/>
        </w:rPr>
        <w:t xml:space="preserve">Qué hacer: </w:t>
      </w:r>
      <w:r>
        <w:rPr>
          <w:sz w:val="20"/>
        </w:rPr>
        <w:t>La v2 reemplaza a la v1; retirar la v1.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Customer Potential — Enfoques distintos, mismo entregable</w:t>
      </w:r>
    </w:p>
    <w:p>
      <w:pPr>
        <w:spacing w:after="80"/>
      </w:pPr>
      <w:r>
        <w:rPr>
          <w:i/>
          <w:color w:val="666B73"/>
          <w:sz w:val="19"/>
        </w:rPr>
        <w:t>Miguel Mena (customer-potential-kin) · André Sarmiento (customer-potential)</w:t>
      </w:r>
    </w:p>
    <w:p>
      <w:pPr>
        <w:spacing w:after="80"/>
      </w:pPr>
      <w:r>
        <w:rPr>
          <w:i w:val="0"/>
          <w:sz w:val="21"/>
        </w:rPr>
        <w:t>Miguel genera el deck fijo de 16 diapositivas con content.json + mapa de densidad. André trabaja sobre la plantilla Uruguay con reemplazo de XML por diapositiva y una guía de mapeo. Son dos caminos técnicos distintos al mismo PPTX.</w:t>
      </w:r>
    </w:p>
    <w:p>
      <w:pPr>
        <w:spacing w:after="160"/>
      </w:pPr>
      <w:r>
        <w:rPr>
          <w:b/>
          <w:sz w:val="20"/>
        </w:rPr>
        <w:t xml:space="preserve">Qué hacer: </w:t>
      </w:r>
      <w:r>
        <w:rPr>
          <w:sz w:val="20"/>
        </w:rPr>
        <w:t>Decidir cuál es el camino oficial antes de que las dos plantillas diverjan.</w:t>
      </w:r>
    </w:p>
    <w:p>
      <w:pPr>
        <w:spacing w:before="240" w:after="120"/>
      </w:pPr>
      <w:r>
        <w:rPr>
          <w:rFonts w:ascii="Aptos" w:hAnsi="Aptos"/>
          <w:b/>
          <w:color w:val="141417"/>
          <w:sz w:val="23"/>
        </w:rPr>
        <w:t>Mapas hexagonales — Familia solapada</w:t>
      </w:r>
    </w:p>
    <w:p>
      <w:pPr>
        <w:spacing w:after="80"/>
      </w:pPr>
      <w:r>
        <w:rPr>
          <w:i/>
          <w:color w:val="666B73"/>
          <w:sz w:val="19"/>
        </w:rPr>
        <w:t>Miguel Mena (hexbin-map, kin-hexmap, prospection-map) · Gabriel Lara (kin-hexmap v2) · Isabel Martinez (skill-indices)</w:t>
      </w:r>
    </w:p>
    <w:p>
      <w:pPr>
        <w:spacing w:after="80"/>
      </w:pPr>
      <w:r>
        <w:rPr>
          <w:i w:val="0"/>
          <w:sz w:val="21"/>
        </w:rPr>
        <w:t>Cinco skills generan mapas H3 en HTML autocontenido. Difieren en qué colorean (conteo, share vs ejecución, score 0-1, resultados de prospección), pero comparten el 70% del andamiaje.</w:t>
      </w:r>
    </w:p>
    <w:p>
      <w:pPr>
        <w:spacing w:after="160"/>
      </w:pPr>
      <w:r>
        <w:rPr>
          <w:b/>
          <w:sz w:val="20"/>
        </w:rPr>
        <w:t xml:space="preserve">Qué hacer: </w:t>
      </w:r>
      <w:r>
        <w:rPr>
          <w:sz w:val="20"/>
        </w:rPr>
        <w:t>Extraer un motor de mapa común y dejar cada skill como una configuración encima.</w:t>
      </w:r>
    </w:p>
    <w:p>
      <w:pPr>
        <w:spacing w:before="320" w:after="120"/>
      </w:pPr>
      <w:r>
        <w:rPr>
          <w:rFonts w:ascii="Aptos" w:hAnsi="Aptos"/>
          <w:b/>
          <w:color w:val="141417"/>
          <w:sz w:val="36"/>
        </w:rPr>
        <w:t>7. Recomendaciones</w:t>
      </w:r>
    </w:p>
    <w:p>
      <w:pPr>
        <w:spacing w:before="40" w:after="200"/>
        <w:pBdr>
          <w:bottom w:val="single" w:sz="12" w:space="1" w:color="E5FF01"/>
        </w:pBdr>
      </w:pPr>
    </w:p>
    <w:p>
      <w:pPr>
        <w:spacing w:after="60"/>
      </w:pPr>
      <w:r>
        <w:rPr>
          <w:b/>
          <w:sz w:val="22"/>
        </w:rPr>
        <w:t>1. Consolidar antes de seguir creando</w:t>
      </w:r>
    </w:p>
    <w:p>
      <w:pPr>
        <w:spacing w:after="200"/>
      </w:pPr>
      <w:r>
        <w:rPr>
          <w:i w:val="0"/>
          <w:sz w:val="21"/>
        </w:rPr>
        <w:t>Resolver los 6 solapamientos primero. Cada semana que pasan dos versiones vivas en paralelo, divergen un poco más y consolidar cuesta más caro.</w:t>
      </w:r>
    </w:p>
    <w:p>
      <w:pPr>
        <w:spacing w:after="60"/>
      </w:pPr>
      <w:r>
        <w:rPr>
          <w:b/>
          <w:sz w:val="22"/>
        </w:rPr>
        <w:t>2. Extraer un motor de mapa común</w:t>
      </w:r>
    </w:p>
    <w:p>
      <w:pPr>
        <w:spacing w:after="200"/>
      </w:pPr>
      <w:r>
        <w:rPr>
          <w:i w:val="0"/>
          <w:sz w:val="21"/>
        </w:rPr>
        <w:t>Las 5 skills de mapas comparten el andamiaje H3 + HTML autocontenido. Un motor único y cada skill como configuración encima reduce el mantenimiento y hace que una mejora — por ejemplo la restricción de privacidad de skill-indices — llegue a todas de una vez.</w:t>
      </w:r>
    </w:p>
    <w:p>
      <w:pPr>
        <w:spacing w:after="60"/>
      </w:pPr>
      <w:r>
        <w:rPr>
          <w:b/>
          <w:sz w:val="22"/>
        </w:rPr>
        <w:t>3. Sacar las plantillas pesadas de los paquetes</w:t>
      </w:r>
    </w:p>
    <w:p>
      <w:pPr>
        <w:spacing w:after="200"/>
      </w:pPr>
      <w:r>
        <w:rPr>
          <w:i w:val="0"/>
          <w:sz w:val="21"/>
        </w:rPr>
        <w:t>prospeccion-digital pesa ~19 MB en cada una de sus dos copias, casi todo la plantilla PPTX. La plantilla debería vivir en un solo lugar referenciado, no duplicada dentro de cada skill.</w:t>
      </w:r>
    </w:p>
    <w:p>
      <w:pPr>
        <w:spacing w:after="60"/>
      </w:pPr>
      <w:r>
        <w:rPr>
          <w:b/>
          <w:sz w:val="22"/>
        </w:rPr>
        <w:t>4. Aplicar el estándar de notebooks al resto</w:t>
      </w:r>
    </w:p>
    <w:p>
      <w:pPr>
        <w:spacing w:after="200"/>
      </w:pPr>
      <w:r>
        <w:rPr>
          <w:i w:val="0"/>
          <w:sz w:val="21"/>
        </w:rPr>
        <w:t>cloud-notebook-standards es la única skill que se ocupa de la confiabilidad en producción. Vale la pena que el criterio que define — fallar temprano, loggear con identificador de corrida, persistir el estado — se aplique también a los scripts de las otras skills.</w:t>
      </w:r>
    </w:p>
    <w:p>
      <w:pPr>
        <w:spacing w:after="60"/>
      </w:pPr>
      <w:r>
        <w:rPr>
          <w:b/>
          <w:sz w:val="22"/>
        </w:rPr>
        <w:t>5. Cubrir los puntos de una sola persona</w:t>
      </w:r>
    </w:p>
    <w:p>
      <w:pPr>
        <w:spacing w:after="200"/>
      </w:pPr>
      <w:r>
        <w:rPr>
          <w:i w:val="0"/>
          <w:sz w:val="21"/>
        </w:rPr>
        <w:t>Cuatro temas dependen de una sola persona. Al menos documentar y compartir kin-eda y geojson-boundary-finder, que son insumos de los que dependen otras skills.</w:t>
      </w:r>
    </w:p>
    <w:p>
      <w:pPr>
        <w:spacing w:after="60"/>
      </w:pPr>
      <w:r>
        <w:rPr>
          <w:b/>
          <w:sz w:val="22"/>
        </w:rPr>
        <w:t>6. Unificar el formato de entrega</w:t>
      </w:r>
    </w:p>
    <w:p>
      <w:pPr>
        <w:spacing w:after="200"/>
      </w:pPr>
      <w:r>
        <w:rPr>
          <w:i w:val="0"/>
          <w:sz w:val="21"/>
        </w:rPr>
        <w:t>Empaquetar todo como .skill, incluidas las carpetas de André, para que el inventario se pueda versionar y distribuir igual.</w:t>
      </w:r>
    </w:p>
    <w:p/>
    <w:p>
      <w:pPr>
        <w:spacing w:before="40" w:after="200"/>
        <w:pBdr>
          <w:bottom w:val="single" w:sz="12" w:space="1" w:color="E5FF01"/>
        </w:pBdr>
      </w:pPr>
    </w:p>
    <w:p>
      <w:pPr>
        <w:spacing w:after="160"/>
      </w:pPr>
      <w:r>
        <w:rPr>
          <w:i/>
          <w:color w:val="666B73"/>
          <w:sz w:val="17"/>
        </w:rPr>
        <w:t>Kin Analytics — Inventario de Skills — Interno — 10 de septiembre de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ptos" w:hAnsi="Aptos"/>
      <w:color w:val="1414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