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8A"/>
          <w:sz w:val="60"/>
        </w:rPr>
        <w:t>KIN</w:t>
      </w:r>
      <w:r>
        <w:rPr>
          <w:b/>
          <w:color w:val="0E7490"/>
          <w:sz w:val="60"/>
        </w:rPr>
        <w:t>ANALYTICS</w:t>
      </w:r>
    </w:p>
    <w:p>
      <w:pPr>
        <w:spacing w:before="80"/>
        <w:jc w:val="center"/>
      </w:pPr>
      <w:r>
        <w:rPr>
          <w:color w:val="64748B"/>
          <w:sz w:val="24"/>
        </w:rPr>
        <w:t>Documentación técnica de archivos</w:t>
      </w:r>
    </w:p>
    <w:p/>
    <w:p/>
    <w:p>
      <w:pPr>
        <w:jc w:val="center"/>
      </w:pPr>
      <w:r>
        <w:rPr>
          <w:b/>
          <w:color w:val="1E3A8A"/>
          <w:sz w:val="52"/>
        </w:rPr>
        <w:t>Análisis de Paletización</w:t>
      </w:r>
    </w:p>
    <w:p>
      <w:pPr>
        <w:jc w:val="center"/>
      </w:pPr>
      <w:r>
        <w:rPr>
          <w:i/>
          <w:color w:val="334155"/>
          <w:sz w:val="26"/>
        </w:rPr>
        <w:t>¿Qué hace cada archivo y cómo trabajan en conjunto?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464"/>
            <w:shd w:val="clear" w:color="auto" w:fill="EEF6FF"/>
            <w:tcMar>
              <w:top w:w="150" w:type="dxa"/>
              <w:bottom w:w="150" w:type="dxa"/>
              <w:start w:w="160" w:type="dxa"/>
              <w:end w:w="160" w:type="dxa"/>
            </w:tcMar>
          </w:tcPr>
          <w:p>
            <w:pPr>
              <w:spacing w:after="40" w:before="20"/>
              <w:jc w:val="center"/>
            </w:pPr>
            <w:r>
              <w:rPr>
                <w:rFonts w:ascii="Calibri" w:hAnsi="Calibri"/>
                <w:b/>
                <w:color w:val="1E3A8A"/>
                <w:sz w:val="30"/>
              </w:rPr>
              <w:t>Base 2.xlsb</w:t>
            </w:r>
          </w:p>
          <w:p>
            <w:pPr>
              <w:spacing w:after="40" w:before="20"/>
              <w:jc w:val="center"/>
            </w:pPr>
            <w:r>
              <w:rPr>
                <w:rFonts w:ascii="Calibri" w:hAnsi="Calibri"/>
                <w:b/>
                <w:color w:val="0E7490"/>
                <w:sz w:val="21"/>
              </w:rPr>
              <w:t>Motor de cálculo</w:t>
            </w:r>
          </w:p>
          <w:p>
            <w:pPr>
              <w:spacing w:after="40" w:before="20"/>
              <w:jc w:val="center"/>
            </w:pPr>
            <w:r>
              <w:rPr>
                <w:rFonts w:ascii="Calibri" w:hAnsi="Calibri"/>
                <w:b w:val="0"/>
                <w:color w:val="64748B"/>
                <w:sz w:val="19"/>
              </w:rPr>
              <w:t>26,7 MB  ·  3 hojas</w:t>
            </w:r>
          </w:p>
        </w:tc>
        <w:tc>
          <w:tcPr>
            <w:tcW w:type="dxa" w:w="4464"/>
            <w:shd w:val="clear" w:color="auto" w:fill="FAF5FF"/>
            <w:tcMar>
              <w:top w:w="150" w:type="dxa"/>
              <w:bottom w:w="150" w:type="dxa"/>
              <w:start w:w="160" w:type="dxa"/>
              <w:end w:w="160" w:type="dxa"/>
            </w:tcMar>
          </w:tcPr>
          <w:p>
            <w:pPr>
              <w:spacing w:after="40" w:before="20"/>
              <w:jc w:val="center"/>
            </w:pPr>
            <w:r>
              <w:rPr>
                <w:rFonts w:ascii="Calibri" w:hAnsi="Calibri"/>
                <w:b/>
                <w:color w:val="7C3AED"/>
                <w:sz w:val="30"/>
              </w:rPr>
              <w:t>Paletização.xlsx</w:t>
            </w:r>
          </w:p>
          <w:p>
            <w:pPr>
              <w:spacing w:after="40" w:before="20"/>
              <w:jc w:val="center"/>
            </w:pPr>
            <w:r>
              <w:rPr>
                <w:rFonts w:ascii="Calibri" w:hAnsi="Calibri"/>
                <w:b/>
                <w:color w:val="0E7490"/>
                <w:sz w:val="21"/>
              </w:rPr>
              <w:t>Tablero de resultados</w:t>
            </w:r>
          </w:p>
          <w:p>
            <w:pPr>
              <w:spacing w:after="40" w:before="20"/>
              <w:jc w:val="center"/>
            </w:pPr>
            <w:r>
              <w:rPr>
                <w:rFonts w:ascii="Calibri" w:hAnsi="Calibri"/>
                <w:b w:val="0"/>
                <w:color w:val="64748B"/>
                <w:sz w:val="19"/>
              </w:rPr>
              <w:t>104 MB  ·  2 hojas</w:t>
            </w:r>
          </w:p>
        </w:tc>
      </w:tr>
    </w:tbl>
    <w:p/>
    <w:p/>
    <w:p>
      <w:pPr>
        <w:jc w:val="center"/>
      </w:pPr>
      <w:r>
        <w:rPr>
          <w:color w:val="64748B"/>
          <w:sz w:val="20"/>
        </w:rPr>
        <w:t>Preparado el 27 de julio de 2026</w:t>
      </w:r>
    </w:p>
    <w:p>
      <w:r>
        <w:br w:type="page"/>
      </w:r>
    </w:p>
    <w:p>
      <w:pPr>
        <w:keepNext/>
        <w:spacing w:before="280" w:after="120"/>
        <w:pBdr>
          <w:left w:val="single" w:sz="24" w:space="8" w:color="1E3A8A"/>
        </w:pBdr>
        <w:ind w:left="120"/>
      </w:pPr>
      <w:r>
        <w:rPr>
          <w:rFonts w:ascii="Calibri" w:hAnsi="Calibri"/>
          <w:b/>
          <w:color w:val="1E3A8A"/>
          <w:sz w:val="30"/>
        </w:rPr>
        <w:t>1.  Resumen ejecutivo</w:t>
      </w:r>
    </w:p>
    <w:p>
      <w:pPr>
        <w:spacing w:after="120"/>
      </w:pPr>
      <w:r>
        <w:rPr>
          <w:sz w:val="21"/>
        </w:rPr>
        <w:t>Estos dos libros de Excel forman un mismo análisis de negocio: miden cómo se arma (pallet, camada o cajas sueltas) el volumen despachado a los clientes y detectan oportunidades para mejorar la eficiencia logística de la paletización.</w:t>
      </w:r>
    </w:p>
    <w:p>
      <w:pPr>
        <w:spacing w:after="60"/>
        <w:ind w:left="403"/>
      </w:pPr>
      <w:r>
        <w:rPr>
          <w:b/>
          <w:color w:val="2563EB"/>
          <w:sz w:val="21"/>
        </w:rPr>
        <w:t xml:space="preserve">•  </w:t>
      </w:r>
      <w:r>
        <w:rPr>
          <w:b/>
          <w:sz w:val="21"/>
        </w:rPr>
        <w:t xml:space="preserve">Base 2.xlsb </w:t>
      </w:r>
      <w:r>
        <w:rPr>
          <w:sz w:val="21"/>
        </w:rPr>
        <w:t>es la fuente y el motor de cálculo. Contiene la base de datos transaccional de ventas fila por fila y, mediante columnas fórmula, clasifica cada pedido según su oportunidad de paletización.</w:t>
      </w:r>
    </w:p>
    <w:p>
      <w:pPr>
        <w:spacing w:after="60"/>
        <w:ind w:left="403"/>
      </w:pPr>
      <w:r>
        <w:rPr>
          <w:b/>
          <w:color w:val="2563EB"/>
          <w:sz w:val="21"/>
        </w:rPr>
        <w:t xml:space="preserve">•  </w:t>
      </w:r>
      <w:r>
        <w:rPr>
          <w:b/>
          <w:sz w:val="21"/>
        </w:rPr>
        <w:t xml:space="preserve">Paletização.xlsx </w:t>
      </w:r>
      <w:r>
        <w:rPr>
          <w:sz w:val="21"/>
        </w:rPr>
        <w:t>es el tablero de presentación. A través de tablas dinámicas resume el mismo universo de datos en indicadores de mezcla de armado por segmento, canal y cuenta clave.</w:t>
      </w:r>
    </w:p>
    <w:p>
      <w:pPr>
        <w:spacing w:after="80"/>
      </w:pPr>
      <w:r>
        <w:rPr>
          <w:sz w:val="21"/>
        </w:rPr>
        <w:t>La pregunta que responden juntos: ¿qué porcentaje del volumen se mueve de forma fraccionada (ineficiente) frente a camada o pallet cerrado, y en qué clientes conviene impulsar pedidos en pallet completo?</w:t>
      </w:r>
    </w:p>
    <w:p>
      <w:pPr>
        <w:keepNext/>
        <w:spacing w:before="280" w:after="120"/>
        <w:pBdr>
          <w:left w:val="single" w:sz="24" w:space="8" w:color="2563EB"/>
        </w:pBdr>
        <w:ind w:left="120"/>
      </w:pPr>
      <w:r>
        <w:rPr>
          <w:rFonts w:ascii="Calibri" w:hAnsi="Calibri"/>
          <w:b/>
          <w:color w:val="2563EB"/>
          <w:sz w:val="30"/>
        </w:rPr>
        <w:t>2.  Archivo 1  —  Base 2.xlsb</w:t>
      </w:r>
    </w:p>
    <w:p>
      <w:pPr>
        <w:spacing w:after="120"/>
      </w:pPr>
      <w:r>
        <w:rPr>
          <w:sz w:val="21"/>
        </w:rPr>
        <w:t>Formato binario de Excel (.xlsb), elegido por rendimiento y tamaño al manejar cerca de 190 mil filas. Es el documento donde ocurre el cálculo; las otras hojas y el segundo archivo dependen de sus resultados.</w:t>
      </w:r>
    </w:p>
    <w:p>
      <w:pPr>
        <w:keepNext/>
        <w:spacing w:before="180" w:after="60"/>
      </w:pPr>
      <w:r>
        <w:rPr>
          <w:b/>
          <w:color w:val="2563EB"/>
          <w:sz w:val="24"/>
        </w:rPr>
        <w:t>2.1  Hojas que contiene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6"/>
        <w:gridCol w:w="3216"/>
        <w:gridCol w:w="3216"/>
      </w:tblGrid>
      <w:tr>
        <w:tc>
          <w:tcPr>
            <w:tcW w:type="dxa" w:w="1368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1944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6336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13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base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Datos + cálculo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190.227 filas de ventas con 23 columnas. Núcleo del análisis.</w:t>
            </w:r>
          </w:p>
        </w:tc>
      </w:tr>
      <w:tr>
        <w:tc>
          <w:tcPr>
            <w:tcW w:type="dxa" w:w="136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Din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Tabla dinámica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Resume oportunidades por canal y número de clientes.</w:t>
            </w:r>
          </w:p>
        </w:tc>
      </w:tr>
      <w:tr>
        <w:tc>
          <w:tcPr>
            <w:tcW w:type="dxa" w:w="136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Planilha3</w:t>
            </w:r>
          </w:p>
        </w:tc>
        <w:tc>
          <w:tcPr>
            <w:tcW w:type="dxa" w:w="194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Tabla dinámica</w:t>
            </w:r>
          </w:p>
        </w:tc>
        <w:tc>
          <w:tcPr>
            <w:tcW w:type="dxa" w:w="633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Resume oportunidades por red minorista (REDE), volumen y %.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b/>
          <w:color w:val="2563EB"/>
          <w:sz w:val="24"/>
        </w:rPr>
        <w:t>2.2  Hoja «base» — diccionario de columnas</w:t>
      </w:r>
    </w:p>
    <w:p>
      <w:pPr>
        <w:spacing w:after="120"/>
      </w:pPr>
      <w:r>
        <w:rPr>
          <w:sz w:val="20"/>
        </w:rPr>
        <w:t>Cada fila representa una combinación de mes × canal × cuenta (Key account) × producto (SKU) entregada. Las columnas marcadas con «*» son auxiliares de cálculo.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24"/>
        <w:gridCol w:w="4824"/>
      </w:tblGrid>
      <w:tr>
        <w:tc>
          <w:tcPr>
            <w:tcW w:type="dxa" w:w="2952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6696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Qué representa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Nome do Mês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Mes de la venta (abril, maio).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Canal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Canal comercial: Atacadista, Hipermercado, Supermercado 5-19 / 20-49 cks.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MATRICULA / Dupli. Matricula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Código del cliente y marca de cliente distinto (evita contar dos veces).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Key account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Cuenta / cadena a la que pertenece el cliente.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SKU_ECC / SKU_ECC_DESC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Código y descripción del producto.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Categoria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Categoría del producto (p. ej. Refrig Colas).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VOL_CF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Volumen vendido en cajas físicas — métrica base de todo el análisis.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LASTRO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Cajas que forman una camada (lastro) del pallet de ese SKU.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PALETIZACAO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Cajas que forman un pallet completo de ese SKU.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*Vol Misto / *Datas Entrega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Volumen mixto y fechas de entrega usados en el cálculo.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*Soma Lastro / * Paletização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Cajas que completan camadas y pallets a partir del volumen.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Camada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Número de camadas que representa el volumen del pedido.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*Valida Paletização / *Valida Lastro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Verifican si el volumen alcanza pallet o camada cerrada.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% Lastro / % Palete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Grado de aprovechamiento de una camada y de un pallet.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Menor 1 lastro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Verdadero/Falso: indica si el pedido no llega a una camada completa.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Valida oport. Palete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Sub-clasificación fina: Picking caixas fracionadas, Meio Palete, Lastro, Palete.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Oportunidade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RESULTADO CLAVE. Etiqueta final: Sem Oportunidade / Oportunidade Lastro / Oportunidade Palete.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b/>
          <w:color w:val="2563EB"/>
          <w:sz w:val="24"/>
        </w:rPr>
        <w:t>2.3  Resultado del motor</w:t>
      </w:r>
    </w:p>
    <w:p>
      <w:pPr>
        <w:spacing w:after="60"/>
      </w:pPr>
      <w:r>
        <w:rPr>
          <w:sz w:val="20"/>
        </w:rPr>
        <w:t>Al clasificar las 190.227 líneas, la columna «Oportunidade» arroja: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2563EB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Clasificación</w:t>
            </w:r>
          </w:p>
        </w:tc>
        <w:tc>
          <w:tcPr>
            <w:tcW w:type="dxa" w:w="1728"/>
            <w:shd w:val="clear" w:color="auto" w:fill="2563EB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Líneas</w:t>
            </w:r>
          </w:p>
        </w:tc>
        <w:tc>
          <w:tcPr>
            <w:tcW w:type="dxa" w:w="4464"/>
            <w:shd w:val="clear" w:color="auto" w:fill="2563EB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Sem Oportunidade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169.592</w:t>
            </w:r>
          </w:p>
        </w:tc>
        <w:tc>
          <w:tcPr>
            <w:tcW w:type="dxa" w:w="44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Ya se despacha de forma eficiente.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Oportunidade Lastro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17.614</w:t>
            </w:r>
          </w:p>
        </w:tc>
        <w:tc>
          <w:tcPr>
            <w:tcW w:type="dxa" w:w="446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Podría consolidarse en camada cerrada.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Oportunidade Palete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3.021</w:t>
            </w:r>
          </w:p>
        </w:tc>
        <w:tc>
          <w:tcPr>
            <w:tcW w:type="dxa" w:w="446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Podría consolidarse en pallet completo.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left w:val="single" w:sz="24" w:space="8" w:color="7C3AED"/>
        </w:pBdr>
        <w:ind w:left="120"/>
      </w:pPr>
      <w:r>
        <w:rPr>
          <w:rFonts w:ascii="Calibri" w:hAnsi="Calibri"/>
          <w:b/>
          <w:color w:val="7C3AED"/>
          <w:sz w:val="30"/>
        </w:rPr>
        <w:t>3.  Archivo 2  —  Paletização.xlsx</w:t>
      </w:r>
    </w:p>
    <w:p>
      <w:pPr>
        <w:spacing w:after="120"/>
      </w:pPr>
      <w:r>
        <w:rPr>
          <w:sz w:val="21"/>
        </w:rPr>
        <w:t>Libro de Excel estándar (.xlsx) usado como tablero. No recalcula la base: toma el mismo universo de datos y lo resume en tablas dinámicas orientadas a la mezcla de armado del volumen.</w:t>
      </w:r>
    </w:p>
    <w:p>
      <w:pPr>
        <w:keepNext/>
        <w:spacing w:before="180" w:after="60"/>
      </w:pPr>
      <w:r>
        <w:rPr>
          <w:b/>
          <w:color w:val="7C3AED"/>
          <w:sz w:val="24"/>
        </w:rPr>
        <w:t>3.1  Hojas que contiene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Hoja</w:t>
            </w:r>
          </w:p>
        </w:tc>
        <w:tc>
          <w:tcPr>
            <w:tcW w:type="dxa" w:w="2232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5976"/>
            <w:shd w:val="clear" w:color="auto" w:fill="1E3A8A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Planilha2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Panel de tablas dinámicas</w:t>
            </w:r>
          </w:p>
        </w:tc>
        <w:tc>
          <w:tcPr>
            <w:tcW w:type="dxa" w:w="597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Múltiples pivots lado a lado sobre «Soma de VOL_CF», cruzando segmento, canal y cuenta contra el tipo de armado. Calcula el % Fracionado.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Planilha3</w:t>
            </w:r>
          </w:p>
        </w:tc>
        <w:tc>
          <w:tcPr>
            <w:tcW w:type="dxa" w:w="223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Tabla dimensión (maestro)</w:t>
            </w:r>
          </w:p>
        </w:tc>
        <w:tc>
          <w:tcPr>
            <w:tcW w:type="dxa" w:w="597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EEF2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1.105 cuentas. Mapea COD KEY ACCOUNT → Key account, Grupo, Segmento Customer, Canal y Subcanal. Sirve para agrupar y clasificar las cuentas del panel.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b/>
          <w:color w:val="7C3AED"/>
          <w:sz w:val="24"/>
        </w:rPr>
        <w:t>3.2  Qué mide el panel (Planilha2)</w:t>
      </w:r>
    </w:p>
    <w:p>
      <w:pPr>
        <w:spacing w:after="60"/>
      </w:pPr>
      <w:r>
        <w:rPr>
          <w:sz w:val="20"/>
        </w:rPr>
        <w:t>Cada tabla dinámica reparte el volumen (VOL_CF) de un segmento, canal o cuenta entre los tipos de armado y muestra su participación porcentual: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24"/>
        <w:gridCol w:w="4824"/>
      </w:tblGrid>
      <w:tr>
        <w:tc>
          <w:tcPr>
            <w:tcW w:type="dxa" w:w="2952"/>
            <w:shd w:val="clear" w:color="auto" w:fill="7C3AED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Tipo de armado</w:t>
            </w:r>
          </w:p>
        </w:tc>
        <w:tc>
          <w:tcPr>
            <w:tcW w:type="dxa" w:w="6696"/>
            <w:shd w:val="clear" w:color="auto" w:fill="7C3AED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PALLET FECHADO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Pallet completo de un mismo SKU — máxima eficiencia.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5F3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LASTRO FECHADO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5F3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Camada completa — fracción de pallet, aún eficiente.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MISTO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Pallet mixto con varios SKU.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5F3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LASTRO FRACIONADO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5F3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Cajas sueltas por debajo de una camada — mayor costo de picking.</w:t>
            </w:r>
          </w:p>
        </w:tc>
      </w:tr>
      <w:tr>
        <w:tc>
          <w:tcPr>
            <w:tcW w:type="dxa" w:w="295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% Fracionado</w:t>
            </w:r>
          </w:p>
        </w:tc>
        <w:tc>
          <w:tcPr>
            <w:tcW w:type="dxa" w:w="669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Fórmula (=D/D$total) que expresa qué parte del volumen va fraccionado.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0"/>
        </w:rPr>
        <w:t>Las aperturas del panel incluyen: Segmento Customer (Regionais Norte/Sul, Nacionais, Atacados, On Premise…), Canal (Supermercado, Atacadista, Hipermercado, Drogaria…) y Key Account (Assaí, Atacadão, Carrefour, Pão de Açúcar, Mart Minas…).</w:t>
      </w:r>
    </w:p>
    <w:p>
      <w:pPr>
        <w:keepNext/>
        <w:spacing w:before="280" w:after="120"/>
        <w:pBdr>
          <w:left w:val="single" w:sz="24" w:space="8" w:color="16A34A"/>
        </w:pBdr>
        <w:ind w:left="120"/>
      </w:pPr>
      <w:r>
        <w:rPr>
          <w:rFonts w:ascii="Calibri" w:hAnsi="Calibri"/>
          <w:b/>
          <w:color w:val="16A34A"/>
          <w:sz w:val="30"/>
        </w:rPr>
        <w:t>4.  Cómo trabajan en conjunto</w:t>
      </w:r>
    </w:p>
    <w:p>
      <w:pPr>
        <w:spacing w:after="120"/>
      </w:pPr>
      <w:r>
        <w:rPr>
          <w:sz w:val="21"/>
        </w:rPr>
        <w:t>El flujo va del dato crudo a la lectura de negocio, en cuatro etapas:</w:t>
      </w:r>
    </w:p>
    <w:p>
      <w:pPr>
        <w:spacing w:after="80"/>
        <w:ind w:left="403"/>
      </w:pPr>
      <w:r>
        <w:rPr>
          <w:b/>
          <w:color w:val="16A34A"/>
          <w:sz w:val="21"/>
        </w:rPr>
        <w:t xml:space="preserve">1.  </w:t>
      </w:r>
      <w:r>
        <w:rPr>
          <w:b/>
          <w:sz w:val="21"/>
        </w:rPr>
        <w:t xml:space="preserve">Origen.  </w:t>
      </w:r>
      <w:r>
        <w:rPr>
          <w:sz w:val="21"/>
        </w:rPr>
        <w:t>La hoja «base» de Base 2.xlsb reúne las ventas del período (abril + mayo) a nivel canal × cuenta × SKU.</w:t>
      </w:r>
    </w:p>
    <w:p>
      <w:pPr>
        <w:spacing w:after="80"/>
        <w:ind w:left="403"/>
      </w:pPr>
      <w:r>
        <w:rPr>
          <w:b/>
          <w:color w:val="16A34A"/>
          <w:sz w:val="21"/>
        </w:rPr>
        <w:t xml:space="preserve">2.  </w:t>
      </w:r>
      <w:r>
        <w:rPr>
          <w:b/>
          <w:sz w:val="21"/>
        </w:rPr>
        <w:t xml:space="preserve">Cálculo y clasificación.  </w:t>
      </w:r>
      <w:r>
        <w:rPr>
          <w:sz w:val="21"/>
        </w:rPr>
        <w:t>Las columnas auxiliares miden camadas, pallets y aprovechamiento, y etiquetan cada línea con su «Oportunidade».</w:t>
      </w:r>
    </w:p>
    <w:p>
      <w:pPr>
        <w:spacing w:after="80"/>
        <w:ind w:left="403"/>
      </w:pPr>
      <w:r>
        <w:rPr>
          <w:b/>
          <w:color w:val="16A34A"/>
          <w:sz w:val="21"/>
        </w:rPr>
        <w:t xml:space="preserve">3.  </w:t>
      </w:r>
      <w:r>
        <w:rPr>
          <w:b/>
          <w:sz w:val="21"/>
        </w:rPr>
        <w:t xml:space="preserve">Resumen de oportunidades.  </w:t>
      </w:r>
      <w:r>
        <w:rPr>
          <w:sz w:val="21"/>
        </w:rPr>
        <w:t>Las hojas Din y Planilha3 agregan esas oportunidades por canal, cliente y red minorista.</w:t>
      </w:r>
    </w:p>
    <w:p>
      <w:pPr>
        <w:spacing w:after="80"/>
        <w:ind w:left="403"/>
      </w:pPr>
      <w:r>
        <w:rPr>
          <w:b/>
          <w:color w:val="16A34A"/>
          <w:sz w:val="21"/>
        </w:rPr>
        <w:t xml:space="preserve">4.  </w:t>
      </w:r>
      <w:r>
        <w:rPr>
          <w:b/>
          <w:sz w:val="21"/>
        </w:rPr>
        <w:t xml:space="preserve">Tablero de paletización.  </w:t>
      </w:r>
      <w:r>
        <w:rPr>
          <w:sz w:val="21"/>
        </w:rPr>
        <w:t>Paletização.xlsx toma el mismo universo, lo enriquece con el maestro de cuentas (Planilha3) y presenta la mezcla de armado y el % fraccionado por segmento, canal y cuenta.</w:t>
      </w:r>
    </w:p>
    <w:p>
      <w:pPr>
        <w:spacing w:before="120"/>
      </w:pPr>
      <w:r>
        <w:rPr>
          <w:b/>
          <w:color w:val="16A34A"/>
          <w:sz w:val="21"/>
        </w:rPr>
        <w:t xml:space="preserve">Nexo entre archivos:  </w:t>
      </w:r>
      <w:r>
        <w:rPr>
          <w:sz w:val="21"/>
        </w:rPr>
        <w:t>ambos comparten la misma métrica (VOL_CF) y las mismas dimensiones (canal, cuenta, segmento). Base 2.xlsb responde «¿dónde hay oportunidad?» y Paletização.xlsx responde «¿cómo se compone hoy el armado del volumen?». Juntos permiten priorizar en qué clientes impulsar pedidos en pallet o camada cerrada para reducir picking fraccionado, mejorar la productividad y la ocupación del camión.</w:t>
      </w:r>
    </w:p>
    <w:p>
      <w:pPr>
        <w:keepNext/>
        <w:spacing w:before="280" w:after="120"/>
        <w:pBdr>
          <w:left w:val="single" w:sz="24" w:space="8" w:color="334155"/>
        </w:pBdr>
        <w:ind w:left="120"/>
      </w:pPr>
      <w:r>
        <w:rPr>
          <w:rFonts w:ascii="Calibri" w:hAnsi="Calibri"/>
          <w:b/>
          <w:color w:val="334155"/>
          <w:sz w:val="30"/>
        </w:rPr>
        <w:t>5. 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24"/>
        <w:gridCol w:w="4824"/>
      </w:tblGrid>
      <w:tr>
        <w:tc>
          <w:tcPr>
            <w:tcW w:type="dxa" w:w="2448"/>
            <w:shd w:val="clear" w:color="auto" w:fill="3341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7200"/>
            <w:shd w:val="clear" w:color="auto" w:fill="334155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VOL_CF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Volumen de venta expresado en cajas físicas (caixas). Métrica base de todo el análisis.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Lastro / Camada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Nivel horizontal de cajas dentro de un pallet.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Pallet fechado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Pallet cerrado / completo de un mismo producto.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Fracionado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Volumen despachado en cajas sueltas, por debajo de una camada.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Oportunidade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Potencial de consolidar el pedido en camada o pallet cerrado.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Key Account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Cuenta o cadena minorista cliente.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Segmento / Canal / Subcanal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Niveles de agrupación comercial de las cuentas.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Dupli. Matricula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1F5F9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Marca que identifica clientes distintos para no contarlos dos veces.</w:t>
            </w:r>
          </w:p>
        </w:tc>
      </w:tr>
      <w:tr>
        <w:tc>
          <w:tcPr>
            <w:tcW w:type="dxa" w:w="2448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334155"/>
                <w:sz w:val="18"/>
              </w:rPr>
              <w:t>REDE</w:t>
            </w:r>
          </w:p>
        </w:tc>
        <w:tc>
          <w:tcPr>
            <w:tcW w:type="dxa" w:w="720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Red o cadena minorista (agrupación de puntos de venta).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6" w:color="CBD5E1"/>
        </w:pBdr>
      </w:pPr>
      <w:r>
        <w:rPr>
          <w:i/>
          <w:color w:val="64748B"/>
          <w:sz w:val="17"/>
        </w:rPr>
        <w:t>Documento complementario: «Flujograma_Proceso_Paletizacao.svg» — diagrama visual del mismo proceso.  ·  KinAnalytics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