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widowControl w:val="false"/>
        <w:bidi w:val="false"/>
        <w:spacing w:line="240"/>
        <w:rPr>
          <w:color w:val="000000"/>
          <w:sz w:val="24"/>
        </w:rPr>
      </w:pPr>
    </w:p>
    <w:tbl>
      <w:tblPr>
        <w:tblStyle w:val="158834"/>
        <w:tblW w:w="8320" w:type="dxa"/>
        <w:tblInd w:w="119" w:type="dxa"/>
        <w:tblLayout w:type="fixed"/>
        <w:tblLook w:val="0600"/>
      </w:tblPr>
      <w:tblGrid>
        <w:gridCol w:w="1645"/>
        <w:gridCol w:w="2361"/>
        <w:gridCol w:w="4312"/>
      </w:tblGrid>
      <w:tr>
        <w:trPr>
          <w:trHeight w:val="610"/>
        </w:trPr>
        <w:tc>
          <w:tcPr>
            <w:tcW w:w="1645" w:type="dxa"/>
            <w:vMerge w:val="restart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sz w:val="32"/>
              </w:rPr>
            </w:pPr>
          </w:p>
          <w:p>
            <w:pPr>
              <w:widowControl w:val="false"/>
              <w:pBdr/>
              <w:bidi w:val="false"/>
              <w:spacing w:line="275" w:lineRule="exact" w:before="0"/>
              <w:ind w:right="73" w:left="72"/>
              <w:jc w:val="center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Лабораторная</w:t>
            </w:r>
          </w:p>
          <w:p>
            <w:pPr>
              <w:widowControl w:val="false"/>
              <w:pBdr/>
              <w:bidi w:val="false"/>
              <w:spacing w:line="275" w:lineRule="exact" w:before="0"/>
              <w:ind w:right="72" w:left="72"/>
              <w:jc w:val="center"/>
              <w:rPr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 xml:space="preserve">работа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1</w:t>
            </w: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Выполнили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Абдулрахман А.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Нагоди М.З.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Магомедов М.О.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Шеху А.У.</w:t>
            </w: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Группа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3"/>
              <w:rPr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ПрИн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-366/367</w:t>
            </w: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Преподаватель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color w:val="000000"/>
                <w:sz w:val="24"/>
              </w:rPr>
            </w:pP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Дата сдачи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color w:val="000000"/>
                <w:sz w:val="24"/>
              </w:rPr>
            </w:pPr>
          </w:p>
        </w:tc>
      </w:tr>
    </w:tbl>
    <w:p>
      <w:pPr>
        <w:pStyle w:val="Normal"/>
        <w:bidi w:val="false"/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1. Введение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Этот документ представляет собой план тестирования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приложения чата в реальном времени. Описывает функциональность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тестируемого приложения и функциональность, которая не будет тестироваться. В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документе описываются потребности группы в успешном тестировании,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критерии приемлемости, методы тестирования и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используемый подход. Документ содержит описание рисков на пути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реализации проекта и разделение зон ответственности.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2. Тестируемая функциональность: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Проверьте, может ли пользователь отправлять и получать почту.</w:t>
      </w:r>
    </w:p>
    <w:p>
      <w:pPr>
        <w:pStyle w:val="Normal"/>
        <w:bidi w:val="false"/>
        <w:spacing w:line="216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-Убедитесь, что время доставки сообщения и любая другая ожидаемая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информация о сообщении отображаются правильно для пользователя.</w:t>
      </w:r>
    </w:p>
    <w:p>
      <w:pPr>
        <w:pStyle w:val="Normal"/>
        <w:bidi w:val="false"/>
        <w:spacing w:line="216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spacing w:line="216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-Пользователь должен иметь возможность видеть статус “ввод", когда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получатель сообщения вводит ответ.</w:t>
      </w:r>
    </w:p>
    <w:p>
      <w:pPr>
        <w:pStyle w:val="Normal"/>
        <w:bidi w:val="false"/>
        <w:spacing w:line="216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spacing w:line="240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Проверьте, может ли пользователь копировать и вставлять сообщения и их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части.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пользователь может видеть, когда была опубликована работа (время, дата)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, соответствующее уведомление должно быть отображено всем кандидатам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-Убедитесь, что push-уведомления приложения работают правильно.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Срок поставки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Проверьте, может ли пользователь изменять настройки уведомлений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(включать и выключать звук уведомлений, выбирать тип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отображаемых уведомлений и т.д.).</w:t>
      </w:r>
    </w:p>
    <w:p>
      <w:pPr>
        <w:pStyle w:val="Normal"/>
        <w:bidi w:val="false"/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3. Тестовые сценарии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После того как вы определились с приложением, которое хотите протестировать,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рекомендуется провести быстрый мозговой штурм его функций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, чтобы придумать идеи для ваших тестовых примеров.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Многое должно прийти на ум, когда вы начинаете думать о том, какую функциональность тестировать, вот мой список: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-Главная страница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Кнопки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Пользователи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Безопасность учетной записи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Войдите в систему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Выход из системы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Отправка писем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Просмотр онлайн-рекрутеров</w:t>
      </w:r>
    </w:p>
    <w:p>
      <w:pPr>
        <w:numPr>
          <w:ilvl w:val="0"/>
          <w:numId w:val="2"/>
        </w:numPr>
        <w:spacing w:after="0"/>
        <w:ind w:left="720" w:hanging="360"/>
        <w:rPr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Уведомления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1. Присоединяйтесь к платформе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Symbol Regular" w:eastAsia="Symbol Regular" w:hAnsi="Symbol Regular" w:cs="Symbol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•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Посетите домашнюю страницу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2.Получать уведомления, когда пользователь вводит</w:t>
      </w:r>
    </w:p>
    <w:p>
      <w:pPr>
        <w:pStyle w:val="Normal"/>
        <w:bidi w:val="false"/>
        <w:rPr>
          <w:rFonts w:ascii="Symbol Regular" w:eastAsia="Symbol Regular" w:hAnsi="Symbol Regular" w:cs="Symbol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3. Уведомлять о присоединении или уходе пользователя.</w:t>
      </w:r>
    </w:p>
    <w:p>
      <w:pPr>
        <w:rPr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4. Все кнопки функциональны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Symbol Regular" w:eastAsia="Symbol Regular" w:hAnsi="Symbol Regular" w:cs="Symbol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•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Если пользователь нажимает на кнопку "Присоединиться к чату”, он должен перейти на страницу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чата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Symbol Regular" w:eastAsia="Symbol Regular" w:hAnsi="Symbol Regular" w:cs="Symbol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•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Если пользователь нажмет кнопку "Отправить", введенное сообщение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должно быть отправлено.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Symbol Regular" w:eastAsia="Symbol Regular" w:hAnsi="Symbol Regular" w:cs="Symbol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•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Если пользователь нажмет на значок настроек, он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сможет настроить чат и внести изменения.</w:t>
      </w:r>
    </w:p>
    <w:p>
      <w:pPr>
        <w:pStyle w:val="Normal"/>
        <w:bidi w:val="false"/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4. Подход к тестированию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Интерфейс приложения, видимая функциональность и удобство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использования Приложение будет протестировано вручную с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привлечением целевой аудитории (юзабилити-тестирование).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Тестовые сценарии представлены выше. Выпуск новых версий приложения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будет сопровождаться тестированием дыма. Внутренняя структура приложения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будет протестирована с помощью модульных тестов с использованием методологий “черного ящика” и “белого ящика".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5. Критерии успеха/неудачи тестирования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Критерии успеха: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-Успешно завершенные дымовые испытания;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Модульные тесты успешно завершены;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-Хорошие отзывы от юзабилити-тестирования;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 приложение не вылетает и работает нормально (никаких негативных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отзывов на эту тему во время юзабилити-тестирования и тестирования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командой разработчиков /тестировщиков);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-логика интерфейса удобна и интуитивно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понятна (отрицательных отзывов на эту тему во время юзабилити-тестирования и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тестирования командой разработчиков/тестировщиков нет).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Критериями отказа будут являться неудачное дымовое тестирование, а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также наличие неудачных тестов структуры программы и неоднократные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негативные отзывы о той или иной функциональности или удобстве использования программы.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6. Критерии продолжения / прекращения тестирования</w:t>
      </w:r>
    </w:p>
    <w:p>
      <w:pPr>
        <w:pStyle w:val="Normal"/>
        <w:bidi w:val="false"/>
        <w:spacing w:line="432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Тестирование полностью прекращается, если внутренние тесты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функций чата терпят неудачу. В противном случае пользовательское тестирование не выполняется для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модулей, внутренние тесты которых не были пройдены.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7. Обязанности тестировщиков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-Выявлять и анализировать ошибки и проблемы, возникающие при работе с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программными продуктами.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-Разработка алгоритмов тестирования сценариев.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-Разработка автотестов.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-Документирование выявленных дефектов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8. Требования к методам испытаний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Мы рекомендуем использовать следующие инструменты:</w:t>
      </w:r>
    </w:p>
    <w:p>
      <w:pPr>
        <w:rPr>
          <w:sz w:val="20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2"/>
          <w:u w:val="none"/>
          <w:shd w:fill="auto" w:color="auto" w:val="clear"/>
        </w:rPr>
        <w:t>-Django Rest Framework (DRF)</w:t>
      </w:r>
    </w:p>
    <w:sectPr>
      <w:headerReference r:id="rId6" w:type="default"/>
      <w:footerReference r:id="rId7" w:type="default"/>
      <w:type w:val="nextPage"/>
      <w:pgSz w:w="12240" w:orient="portrait" w:h="15840"/>
      <w:pgMar w:left="1440" w:header="720" w:bottom="1440" w:right="1440" w:footer="720" w:top="1440"/>
      <w:cols w:space="720" w:equalWidth="on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9fcd9a9-4fbb-47e3-aa33-96964758225b" w:fontKey="{00000000-0000-0000-0000-000000000000}" w:subsetted="0"/>
  </w:font>
  <w:font w:name="Liberation Serif Regular">
    <w:embedRegular r:id="rIdfab1ec2c-55d4-437f-9189-7cae52b7a65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557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344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num w:numId="1">
    <w:abstractNumId w:val="655794"/>
  </w:num>
  <w:num w:numId="2">
    <w:abstractNumId w:val="97344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58834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9fcd9a9-4fbb-47e3-aa33-96964758225b" Target="fonts/robotoregular.ttf" Type="http://schemas.openxmlformats.org/officeDocument/2006/relationships/font"/>
<Relationship Id="rIdfab1ec2c-55d4-437f-9189-7cae52b7a659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5339221129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2022-05-24T11:36:51Z</dcterms:created>
  <dc:creator>Yandex.Translate</dc:creator>
  <dc:description>Translated with Yandex.Translate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