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86.png" ContentType="image/png"/>
  <Override PartName="/word/media/rId60.png" ContentType="image/png"/>
  <Override PartName="/word/media/rId45.png" ContentType="image/png"/>
  <Override PartName="/word/media/rId91.png" ContentType="image/png"/>
  <Override PartName="/word/media/rId95.png" ContentType="image/png"/>
  <Override PartName="/word/media/rId82.png" ContentType="image/png"/>
  <Override PartName="/word/media/rId65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51.png" ContentType="image/png"/>
  <Override PartName="/word/media/rId56.png" ContentType="image/png"/>
  <Override PartName="/word/media/rId78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№6.</w:t>
      </w:r>
      <w:r>
        <w:t xml:space="preserve"> </w:t>
      </w:r>
      <w:r>
        <w:t xml:space="preserve">Реализация</w:t>
      </w:r>
      <w:r>
        <w:t xml:space="preserve"> </w:t>
      </w:r>
      <w:r>
        <w:t xml:space="preserve">модели</w:t>
      </w:r>
      <w:r>
        <w:t xml:space="preserve"> </w:t>
      </w:r>
      <w:r>
        <w:t xml:space="preserve">SIR</w:t>
      </w:r>
      <w:r>
        <w:t xml:space="preserve"> </w:t>
      </w:r>
      <w:r>
        <w:t xml:space="preserve">в</w:t>
      </w:r>
      <w:r>
        <w:t xml:space="preserve"> </w:t>
      </w:r>
      <w:r>
        <w:t xml:space="preserve">подходе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модели SIR в аппарате сетей Петри, построить модуль модели</w:t>
      </w:r>
      <w:r>
        <w:t xml:space="preserve"> </w:t>
      </w:r>
      <w:r>
        <w:t xml:space="preserve">и набор вычислительных сценариев на Julia, выполнить детерминированные и</w:t>
      </w:r>
      <w:r>
        <w:t xml:space="preserve"> </w:t>
      </w:r>
      <w:r>
        <w:t xml:space="preserve">стохастические эксперименты, подготовить графики и CSV-таблицы результатов,</w:t>
      </w:r>
      <w:r>
        <w:t xml:space="preserve"> </w:t>
      </w:r>
      <w:r>
        <w:t xml:space="preserve">а также сформировать literate-версии скриптов и производные форматы clean,</w:t>
      </w:r>
      <w:r>
        <w:t xml:space="preserve"> </w:t>
      </w:r>
      <w:r>
        <w:rPr>
          <w:rStyle w:val="VerbatimChar"/>
        </w:rPr>
        <w:t xml:space="preserve">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создать рабочий каталог проекта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установить зависимости для моделирования, визуализации и документирования;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модуль</w:t>
      </w:r>
      <w:r>
        <w:t xml:space="preserve"> </w:t>
      </w:r>
      <w:r>
        <w:rPr>
          <w:rStyle w:val="VerbatimChar"/>
        </w:rPr>
        <w:t xml:space="preserve">SIRPetri</w:t>
      </w:r>
      <w:r>
        <w:t xml:space="preserve"> </w:t>
      </w:r>
      <w:r>
        <w:t xml:space="preserve">с описанием сети Петри и функциями</w:t>
      </w:r>
      <w:r>
        <w:t xml:space="preserve"> </w:t>
      </w:r>
      <w:r>
        <w:t xml:space="preserve">симуляции;</w:t>
      </w:r>
    </w:p>
    <w:p>
      <w:pPr>
        <w:numPr>
          <w:ilvl w:val="0"/>
          <w:numId w:val="1001"/>
        </w:numPr>
        <w:pStyle w:val="Compact"/>
      </w:pPr>
      <w:r>
        <w:t xml:space="preserve">выполнить базовый прогон модели и сохранить результаты в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PNG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провести параметрическое исследование по коэффициенту заражения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построить GIF-анимацию детерминированной динамики;</w:t>
      </w:r>
    </w:p>
    <w:p>
      <w:pPr>
        <w:numPr>
          <w:ilvl w:val="0"/>
          <w:numId w:val="1001"/>
        </w:numPr>
        <w:pStyle w:val="Compact"/>
      </w:pPr>
      <w:r>
        <w:t xml:space="preserve">подготовить итоговый сравнительный отчёт по ранее сохранённым данным;</w:t>
      </w:r>
    </w:p>
    <w:p>
      <w:pPr>
        <w:numPr>
          <w:ilvl w:val="0"/>
          <w:numId w:val="1001"/>
        </w:numPr>
        <w:pStyle w:val="Compact"/>
      </w:pPr>
      <w:r>
        <w:t xml:space="preserve">для каждого сценария получить 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-представления;</w:t>
      </w:r>
    </w:p>
    <w:p>
      <w:pPr>
        <w:numPr>
          <w:ilvl w:val="0"/>
          <w:numId w:val="1001"/>
        </w:numPr>
        <w:pStyle w:val="Compact"/>
      </w:pPr>
      <w:r>
        <w:t xml:space="preserve">интегрировать полученные материалы в итоговый отчёт и презентацию.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ети-петри-и-модель-sir"/>
    <w:p>
      <w:pPr>
        <w:pStyle w:val="Heading2"/>
      </w:pPr>
      <w:r>
        <w:t xml:space="preserve">3.1 Сети Петри и модель SIR</w:t>
      </w:r>
    </w:p>
    <w:p>
      <w:pPr>
        <w:pStyle w:val="FirstParagraph"/>
      </w:pPr>
      <w:r>
        <w:t xml:space="preserve">Сеть Петри представляет собой ориентированный двудольный граф, в котором</w:t>
      </w:r>
      <w:r>
        <w:t xml:space="preserve"> </w:t>
      </w:r>
      <w:r>
        <w:t xml:space="preserve">позиции задают состояния системы, переходы описывают события, дуги определяют</w:t>
      </w:r>
      <w:r>
        <w:t xml:space="preserve"> </w:t>
      </w:r>
      <w:r>
        <w:t xml:space="preserve">разрешённые связи, а маркировка показывает текущее распределение фишек по</w:t>
      </w:r>
      <w:r>
        <w:t xml:space="preserve"> </w:t>
      </w:r>
      <w:r>
        <w:t xml:space="preserve">позициям</w:t>
      </w:r>
      <w:r>
        <w:t xml:space="preserve"> </w:t>
      </w:r>
      <w:r>
        <w:t xml:space="preserve">[1,2]</w:t>
      </w:r>
      <w:r>
        <w:t xml:space="preserve">. Такой аппарат удобен для моделирования</w:t>
      </w:r>
      <w:r>
        <w:t xml:space="preserve"> </w:t>
      </w:r>
      <w:r>
        <w:t xml:space="preserve">дискретных событий, конкуренции процессов и смены состояний.</w:t>
      </w:r>
    </w:p>
    <w:p>
      <w:pPr>
        <w:pStyle w:val="BodyText"/>
      </w:pPr>
      <w:r>
        <w:t xml:space="preserve">В данной лабораторной работе рассматривается эпидемическая модель SIR с тремя</w:t>
      </w:r>
      <w:r>
        <w:t xml:space="preserve"> </w:t>
      </w:r>
      <w:r>
        <w:t xml:space="preserve">состояниями: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Используются два перехода: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infection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 + I -&gt; I + I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recovery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I -&gt; R</w:t>
      </w:r>
      <w:r>
        <w:t xml:space="preserve">.</w:t>
      </w:r>
    </w:p>
    <w:p>
      <w:pPr>
        <w:pStyle w:val="FirstParagraph"/>
      </w:pPr>
      <w:r>
        <w:t xml:space="preserve">Тем самым заражение интерпретируется как совместное наличие восприимчивого и</w:t>
      </w:r>
      <w:r>
        <w:t xml:space="preserve"> </w:t>
      </w:r>
      <w:r>
        <w:t xml:space="preserve">инфицированного, а выздоровление — как перевод токена из состояния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</w:t>
      </w:r>
      <w:r>
        <w:t xml:space="preserve"> </w:t>
      </w:r>
      <w:r>
        <w:t xml:space="preserve">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2"/>
    <w:bookmarkStart w:id="23" w:name="Xab2fe69641daf13a712725691d7e9391e12bb1d"/>
    <w:p>
      <w:pPr>
        <w:pStyle w:val="Heading2"/>
      </w:pPr>
      <w:r>
        <w:t xml:space="preserve">3.2 Детерминированная и стохастическая формы модели</w:t>
      </w:r>
    </w:p>
    <w:p>
      <w:pPr>
        <w:pStyle w:val="FirstParagraph"/>
      </w:pPr>
      <w:r>
        <w:t xml:space="preserve">Для непрерывной аппроксимации динамики используется система обыкновенных</w:t>
      </w:r>
      <w:r>
        <w:t xml:space="preserve"> </w:t>
      </w:r>
      <w:r>
        <w:t xml:space="preserve">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отличие от варианта без нормировки, здесь интенсивность заражения</w:t>
      </w:r>
      <w:r>
        <w:t xml:space="preserve"> </w:t>
      </w:r>
      <w:r>
        <w:t xml:space="preserve">масштабируется на размер популяции</w:t>
      </w:r>
      <w:r>
        <w:t xml:space="preserve"> </w:t>
      </w:r>
      <w:r>
        <w:rPr>
          <w:rStyle w:val="VerbatimChar"/>
        </w:rPr>
        <w:t xml:space="preserve">N = S + I + R</w:t>
      </w:r>
      <w:r>
        <w:t xml:space="preserve">, поэтому параметры</w:t>
      </w:r>
      <w:r>
        <w:t xml:space="preserve"> </w:t>
      </w:r>
      <w:r>
        <w:t xml:space="preserve">сохраняют привычную интерпретацию классической SIR-модели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Это делает динамику физически более правдоподобной: вспышка развивается не</w:t>
      </w:r>
      <w:r>
        <w:t xml:space="preserve"> </w:t>
      </w:r>
      <w:r>
        <w:t xml:space="preserve">мгновенно, а на конечном временном интервале.</w:t>
      </w:r>
    </w:p>
    <w:p>
      <w:pPr>
        <w:pStyle w:val="BodyText"/>
      </w:pPr>
      <w:r>
        <w:t xml:space="preserve">Стохастическая форма строится по алгоритму Гиллеспи</w:t>
      </w:r>
      <w:r>
        <w:t xml:space="preserve"> </w:t>
      </w:r>
      <w:r>
        <w:t xml:space="preserve">[4]</w:t>
      </w:r>
      <w:r>
        <w:t xml:space="preserve">, где на</w:t>
      </w:r>
      <w:r>
        <w:t xml:space="preserve"> </w:t>
      </w:r>
      <w:r>
        <w:t xml:space="preserve">каждом шаге вычисляются интенсивности событий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,</w:t>
      </w:r>
      <w:r>
        <w:t xml:space="preserve"> </w:t>
      </w:r>
      <w:r>
        <w:t xml:space="preserve">после чего случайным образом определяются тип следующего перехода и время до</w:t>
      </w:r>
      <w:r>
        <w:t xml:space="preserve"> </w:t>
      </w:r>
      <w:r>
        <w:t xml:space="preserve">его срабатывания. Такая постановка даёт событийную ступенчатую траекторию и</w:t>
      </w:r>
      <w:r>
        <w:t xml:space="preserve"> </w:t>
      </w:r>
      <w:r>
        <w:t xml:space="preserve">позволяет увидеть влияние случайности на ход эпидемии.</w:t>
      </w:r>
    </w:p>
    <w:bookmarkEnd w:id="23"/>
    <w:bookmarkStart w:id="24" w:name="инструменты-работы"/>
    <w:p>
      <w:pPr>
        <w:pStyle w:val="Heading2"/>
      </w:pPr>
      <w:r>
        <w:t xml:space="preserve">3.3 Инструменты работы</w:t>
      </w:r>
    </w:p>
    <w:p>
      <w:pPr>
        <w:pStyle w:val="FirstParagraph"/>
      </w:pPr>
      <w:r>
        <w:t xml:space="preserve">В работе использовались: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Julia</w:t>
      </w:r>
      <w:r>
        <w:t xml:space="preserve"> </w:t>
      </w:r>
      <w:r>
        <w:t xml:space="preserve">как язык реализации вычислительных сценариев;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DrWatson</w:t>
      </w:r>
      <w:r>
        <w:t xml:space="preserve"> </w:t>
      </w:r>
      <w:r>
        <w:t xml:space="preserve">для организации воспроизводимой структуры проекта;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Plots</w:t>
      </w:r>
      <w:r>
        <w:t xml:space="preserve"> </w:t>
      </w:r>
      <w:r>
        <w:t xml:space="preserve">для построения графиков и анимации;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для сохранения и анализа таблиц результатов;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Literate</w:t>
      </w:r>
      <w:r>
        <w:t xml:space="preserve"> </w:t>
      </w:r>
      <w:r>
        <w:t xml:space="preserve">для генерации 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-представлений.</w:t>
      </w:r>
    </w:p>
    <w:bookmarkEnd w:id="24"/>
    <w:bookmarkStart w:id="25" w:name="литературное-программирование"/>
    <w:p>
      <w:pPr>
        <w:pStyle w:val="Heading2"/>
      </w:pPr>
      <w:r>
        <w:t xml:space="preserve">3.4 Литературное программирование</w:t>
      </w:r>
    </w:p>
    <w:p>
      <w:pPr>
        <w:pStyle w:val="FirstParagraph"/>
      </w:pPr>
      <w:r>
        <w:t xml:space="preserve">Литературное программирование рассматривает программу как связный документ, в</w:t>
      </w:r>
      <w:r>
        <w:t xml:space="preserve"> </w:t>
      </w:r>
      <w:r>
        <w:t xml:space="preserve">котором код и объяснение образуют единое целое</w:t>
      </w:r>
      <w:r>
        <w:t xml:space="preserve"> </w:t>
      </w:r>
      <w:r>
        <w:t xml:space="preserve">[5]</w:t>
      </w:r>
      <w:r>
        <w:t xml:space="preserve">. Такой подход</w:t>
      </w:r>
      <w:r>
        <w:t xml:space="preserve"> </w:t>
      </w:r>
      <w:r>
        <w:t xml:space="preserve">удобен в учебной лабораторной работе, поскольку позволяет из одного исходного</w:t>
      </w:r>
      <w:r>
        <w:t xml:space="preserve"> </w:t>
      </w:r>
      <w:r>
        <w:t xml:space="preserve">скрипта получить:</w:t>
      </w:r>
    </w:p>
    <w:p>
      <w:pPr>
        <w:numPr>
          <w:ilvl w:val="0"/>
          <w:numId w:val="1005"/>
        </w:numPr>
        <w:pStyle w:val="Compact"/>
      </w:pPr>
      <w:r>
        <w:t xml:space="preserve">исполняемую clean-версию;</w:t>
      </w:r>
    </w:p>
    <w:p>
      <w:pPr>
        <w:numPr>
          <w:ilvl w:val="0"/>
          <w:numId w:val="1005"/>
        </w:numPr>
        <w:pStyle w:val="Compact"/>
      </w:pPr>
      <w:r>
        <w:t xml:space="preserve">Quarto-документацию;</w:t>
      </w:r>
    </w:p>
    <w:p>
      <w:pPr>
        <w:numPr>
          <w:ilvl w:val="0"/>
          <w:numId w:val="1005"/>
        </w:numPr>
        <w:pStyle w:val="Compact"/>
      </w:pPr>
      <w:r>
        <w:t xml:space="preserve">Jupyter notebook.</w:t>
      </w:r>
    </w:p>
    <w:p>
      <w:pPr>
        <w:pStyle w:val="FirstParagraph"/>
      </w:pPr>
      <w:r>
        <w:t xml:space="preserve">В результате вычислительный эксперимент, отчётность и интерактивное</w:t>
      </w:r>
      <w:r>
        <w:t xml:space="preserve"> </w:t>
      </w:r>
      <w:r>
        <w:t xml:space="preserve">воспроизведение оказываются синхронизированы и не требуют поддержки нескольких</w:t>
      </w:r>
      <w:r>
        <w:t xml:space="preserve"> </w:t>
      </w:r>
      <w:r>
        <w:t xml:space="preserve">независимых версий одного и того же сценария.</w:t>
      </w:r>
    </w:p>
    <w:bookmarkEnd w:id="25"/>
    <w:bookmarkEnd w:id="26"/>
    <w:bookmarkStart w:id="11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2" w:name="подготовка-окружения"/>
    <w:p>
      <w:pPr>
        <w:pStyle w:val="Heading2"/>
      </w:pPr>
      <w:r>
        <w:t xml:space="preserve">4.1 Подготовка окружения</w:t>
      </w:r>
    </w:p>
    <w:bookmarkStart w:id="31" w:name="создание-структуры-проекта"/>
    <w:p>
      <w:pPr>
        <w:pStyle w:val="Heading3"/>
      </w:pPr>
      <w:r>
        <w:t xml:space="preserve">4.1.1 Создание структуры проекта</w:t>
      </w:r>
    </w:p>
    <w:p>
      <w:pPr>
        <w:pStyle w:val="FirstParagraph"/>
      </w:pPr>
      <w:r>
        <w:t xml:space="preserve">Сначала был создан рабочий каталог проекта</w:t>
      </w:r>
      <w:r>
        <w:t xml:space="preserve"> </w:t>
      </w:r>
      <w:r>
        <w:rPr>
          <w:rStyle w:val="VerbatimChar"/>
        </w:rPr>
        <w:t xml:space="preserve">lab_06_models</w:t>
      </w:r>
      <w:r>
        <w:t xml:space="preserve"> </w:t>
      </w:r>
      <w:r>
        <w:t xml:space="preserve">со стандартными</w:t>
      </w:r>
      <w:r>
        <w:t xml:space="preserve"> </w:t>
      </w:r>
      <w:r>
        <w:t xml:space="preserve">подкаталогами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mkdir"/>
          <w:p>
            <w:pPr>
              <w:pStyle w:val="Compact"/>
              <w:jc w:val="center"/>
            </w:pPr>
            <w:r>
              <w:drawing>
                <wp:inline>
                  <wp:extent cx="4800600" cy="118999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6-59-5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89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структуры 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lab_06_models</w:t>
            </w:r>
          </w:p>
          <w:bookmarkEnd w:id="30"/>
        </w:tc>
      </w:tr>
    </w:tbl>
    <w:p>
      <w:pPr>
        <w:pStyle w:val="BodyText"/>
      </w:pPr>
      <w:r>
        <w:t xml:space="preserve">На этом шаге была подготовлена базовая файловая организация, в которой код</w:t>
      </w:r>
      <w:r>
        <w:t xml:space="preserve"> </w:t>
      </w:r>
      <w:r>
        <w:t xml:space="preserve">модели, вычислительные сценарии, документация и результаты изначально</w:t>
      </w:r>
      <w:r>
        <w:t xml:space="preserve"> </w:t>
      </w:r>
      <w:r>
        <w:t xml:space="preserve">разделены по назначению.</w:t>
      </w:r>
    </w:p>
    <w:bookmarkEnd w:id="31"/>
    <w:bookmarkStart w:id="36" w:name="установка-зависимостей"/>
    <w:p>
      <w:pPr>
        <w:pStyle w:val="Heading3"/>
      </w:pPr>
      <w:r>
        <w:t xml:space="preserve">4.1.2 Установка зависимостей</w:t>
      </w:r>
    </w:p>
    <w:p>
      <w:pPr>
        <w:pStyle w:val="FirstParagraph"/>
      </w:pPr>
      <w:r>
        <w:t xml:space="preserve">После создания каталогов было инициализировано окружение Julia и установлены</w:t>
      </w:r>
      <w:r>
        <w:t xml:space="preserve"> </w:t>
      </w:r>
      <w:r>
        <w:t xml:space="preserve">пакеты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pkg-add"/>
          <w:p>
            <w:pPr>
              <w:pStyle w:val="Compact"/>
              <w:jc w:val="center"/>
            </w:pPr>
            <w:r>
              <w:drawing>
                <wp:inline>
                  <wp:extent cx="4800600" cy="271312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0-0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13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зависимостей для</w:t>
            </w:r>
            <w:r>
              <w:t xml:space="preserve"> </w:t>
            </w:r>
            <w:r>
              <w:rPr>
                <w:rStyle w:val="VerbatimChar"/>
              </w:rPr>
              <w:t xml:space="preserve">lab_06_models</w:t>
            </w:r>
          </w:p>
          <w:bookmarkEnd w:id="35"/>
        </w:tc>
      </w:tr>
    </w:tbl>
    <w:p>
      <w:pPr>
        <w:pStyle w:val="BodyText"/>
      </w:pPr>
      <w:r>
        <w:t xml:space="preserve">По итогам этого шага в каталоге проекта появились файлы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фиксирующие точный состав зависимостей и тем самым</w:t>
      </w:r>
      <w:r>
        <w:t xml:space="preserve"> </w:t>
      </w:r>
      <w:r>
        <w:t xml:space="preserve">обеспечивающие воспроизводимость вычислительной среды.</w:t>
      </w:r>
    </w:p>
    <w:bookmarkEnd w:id="36"/>
    <w:bookmarkStart w:id="41" w:name="проверка-тестами"/>
    <w:p>
      <w:pPr>
        <w:pStyle w:val="Heading3"/>
      </w:pPr>
      <w:r>
        <w:t xml:space="preserve">4.1.3 Проверка тестами</w:t>
      </w:r>
    </w:p>
    <w:p>
      <w:pPr>
        <w:pStyle w:val="FirstParagraph"/>
      </w:pPr>
      <w:r>
        <w:t xml:space="preserve">Перед запуском основных сценариев модуль был проверен набором автоматических</w:t>
      </w:r>
      <w:r>
        <w:t xml:space="preserve"> </w:t>
      </w:r>
      <w:r>
        <w:t xml:space="preserve">тестов.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tests"/>
          <w:p>
            <w:pPr>
              <w:pStyle w:val="Compact"/>
              <w:jc w:val="center"/>
            </w:pPr>
            <w:r>
              <w:drawing>
                <wp:inline>
                  <wp:extent cx="4373880" cy="82110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3-02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821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Успешный запуск</w:t>
            </w:r>
            <w:r>
              <w:t xml:space="preserve"> </w:t>
            </w:r>
            <w:r>
              <w:rPr>
                <w:rStyle w:val="VerbatimChar"/>
              </w:rPr>
              <w:t xml:space="preserve">runtests.jl</w:t>
            </w:r>
          </w:p>
          <w:bookmarkEnd w:id="40"/>
        </w:tc>
      </w:tr>
    </w:tbl>
    <w:p>
      <w:pPr>
        <w:pStyle w:val="BodyText"/>
      </w:pPr>
      <w:r>
        <w:t xml:space="preserve">Тесты проверяют корректность построения сети, сохранение численности</w:t>
      </w:r>
      <w:r>
        <w:t xml:space="preserve"> </w:t>
      </w:r>
      <w:r>
        <w:t xml:space="preserve">популяции, работу детерминированного и стохастического симуляторов, а также</w:t>
      </w:r>
      <w:r>
        <w:t xml:space="preserve"> </w:t>
      </w:r>
      <w:r>
        <w:t xml:space="preserve">функции параметрического анализа. Успешное завершение всех тестов подтвердило,</w:t>
      </w:r>
      <w:r>
        <w:t xml:space="preserve"> </w:t>
      </w:r>
      <w:r>
        <w:t xml:space="preserve">что базовая логика модуля работает корректно до запуска длительных</w:t>
      </w:r>
      <w:r>
        <w:t xml:space="preserve"> </w:t>
      </w:r>
      <w:r>
        <w:t xml:space="preserve">вычислительных сценариев.</w:t>
      </w:r>
    </w:p>
    <w:bookmarkEnd w:id="41"/>
    <w:bookmarkEnd w:id="42"/>
    <w:bookmarkStart w:id="43" w:name="структура-файлов-лабораторной-работы"/>
    <w:p>
      <w:pPr>
        <w:pStyle w:val="Heading2"/>
      </w:pPr>
      <w:r>
        <w:t xml:space="preserve">4.2 Структура файлов лабораторной работы</w:t>
      </w:r>
    </w:p>
    <w:p>
      <w:pPr>
        <w:pStyle w:val="FirstParagraph"/>
      </w:pPr>
      <w:r>
        <w:t xml:space="preserve">По итогам выполнения работы были подготовлены следующие основные файлы:</w:t>
      </w:r>
    </w:p>
    <w:p>
      <w:pPr>
        <w:numPr>
          <w:ilvl w:val="0"/>
          <w:numId w:val="1006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 </w:t>
      </w:r>
      <w:r>
        <w:t xml:space="preserve">— модуль модели;</w:t>
      </w:r>
    </w:p>
    <w:p>
      <w:pPr>
        <w:numPr>
          <w:ilvl w:val="0"/>
          <w:numId w:val="1006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scripts/generate.jl</w:t>
      </w:r>
      <w:r>
        <w:t xml:space="preserve"> </w:t>
      </w:r>
      <w:r>
        <w:t xml:space="preserve">— генерация производных форматов;</w:t>
      </w:r>
    </w:p>
    <w:p>
      <w:pPr>
        <w:numPr>
          <w:ilvl w:val="0"/>
          <w:numId w:val="1006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scripts/sirpetri_literate.jl</w:t>
      </w:r>
      <w:r>
        <w:t xml:space="preserve"> </w:t>
      </w:r>
      <w:r>
        <w:t xml:space="preserve">— базовый сценарий;</w:t>
      </w:r>
    </w:p>
    <w:p>
      <w:pPr>
        <w:numPr>
          <w:ilvl w:val="0"/>
          <w:numId w:val="1006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scripts/sirpetri_param_literate.jl</w:t>
      </w:r>
      <w:r>
        <w:t xml:space="preserve"> </w:t>
      </w:r>
      <w:r>
        <w:t xml:space="preserve">— параметрическое исследование;</w:t>
      </w:r>
    </w:p>
    <w:p>
      <w:pPr>
        <w:numPr>
          <w:ilvl w:val="0"/>
          <w:numId w:val="1006"/>
        </w:numPr>
        <w:pStyle w:val="Compact"/>
      </w:pPr>
      <w:r>
        <w:t xml:space="preserve">clean-версия базового сценария;</w:t>
      </w:r>
    </w:p>
    <w:p>
      <w:pPr>
        <w:numPr>
          <w:ilvl w:val="0"/>
          <w:numId w:val="1006"/>
        </w:numPr>
        <w:pStyle w:val="Compact"/>
      </w:pPr>
      <w:r>
        <w:t xml:space="preserve">clean-версия параметрического сценария;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docs/sirpetri.qmd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docs/sirpetri_param.qmd</w:t>
      </w:r>
      <w:r>
        <w:t xml:space="preserve"> </w:t>
      </w:r>
      <w:r>
        <w:t xml:space="preserve">— документация;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notebooks/sirpetri.ipynb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notebooks/sirpetri_param.ipynb</w:t>
      </w:r>
      <w:r>
        <w:t xml:space="preserve"> </w:t>
      </w:r>
      <w:r>
        <w:t xml:space="preserve">—</w:t>
      </w:r>
      <w:r>
        <w:t xml:space="preserve"> </w:t>
      </w:r>
      <w:r>
        <w:t xml:space="preserve">notebook-представления;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data/*.csv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plots/*.png/*.gif</w:t>
      </w:r>
      <w:r>
        <w:t xml:space="preserve"> </w:t>
      </w:r>
      <w:r>
        <w:t xml:space="preserve">— результаты вычислений.</w:t>
      </w:r>
    </w:p>
    <w:p>
      <w:pPr>
        <w:pStyle w:val="FirstParagraph"/>
      </w:pPr>
      <w:r>
        <w:t xml:space="preserve">Такая структура позволяет рассматривать лабораторную не как один отдельный</w:t>
      </w:r>
      <w:r>
        <w:t xml:space="preserve"> </w:t>
      </w:r>
      <w:r>
        <w:t xml:space="preserve">скрипт, а как полный вычислительный проект с воспроизводимой организацией</w:t>
      </w:r>
      <w:r>
        <w:t xml:space="preserve"> </w:t>
      </w:r>
      <w:r>
        <w:t xml:space="preserve">артефактов.</w:t>
      </w:r>
    </w:p>
    <w:bookmarkEnd w:id="43"/>
    <w:bookmarkStart w:id="50" w:name="модуль-srcsirpetri.jl"/>
    <w:p>
      <w:pPr>
        <w:pStyle w:val="Heading2"/>
      </w:pPr>
      <w:r>
        <w:t xml:space="preserve">4.3 Модуль</w:t>
      </w:r>
      <w:r>
        <w:t xml:space="preserve"> </w:t>
      </w:r>
      <w:r>
        <w:rPr>
          <w:rStyle w:val="VerbatimChar"/>
        </w:rPr>
        <w:t xml:space="preserve">src/SIRPetri.jl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SIRPetri</w:t>
      </w:r>
      <w:r>
        <w:t xml:space="preserve"> </w:t>
      </w:r>
      <w:r>
        <w:t xml:space="preserve">содержит:</w:t>
      </w:r>
    </w:p>
    <w:p>
      <w:pPr>
        <w:numPr>
          <w:ilvl w:val="0"/>
          <w:numId w:val="1007"/>
        </w:numPr>
        <w:pStyle w:val="Compact"/>
      </w:pPr>
      <w:r>
        <w:t xml:space="preserve">построение размеченной сети Петри;</w:t>
      </w:r>
    </w:p>
    <w:p>
      <w:pPr>
        <w:numPr>
          <w:ilvl w:val="0"/>
          <w:numId w:val="1007"/>
        </w:numPr>
        <w:pStyle w:val="Compact"/>
      </w:pPr>
      <w:r>
        <w:t xml:space="preserve">функцию правой части ОДУ;</w:t>
      </w:r>
    </w:p>
    <w:p>
      <w:pPr>
        <w:numPr>
          <w:ilvl w:val="0"/>
          <w:numId w:val="1007"/>
        </w:numPr>
        <w:pStyle w:val="Compact"/>
      </w:pPr>
      <w:r>
        <w:t xml:space="preserve">детерминированную симуляцию;</w:t>
      </w:r>
    </w:p>
    <w:p>
      <w:pPr>
        <w:numPr>
          <w:ilvl w:val="0"/>
          <w:numId w:val="1007"/>
        </w:numPr>
        <w:pStyle w:val="Compact"/>
      </w:pPr>
      <w:r>
        <w:t xml:space="preserve">стохастическую симуляцию по алгоритму Гиллеспи;</w:t>
      </w:r>
    </w:p>
    <w:p>
      <w:pPr>
        <w:numPr>
          <w:ilvl w:val="0"/>
          <w:numId w:val="1007"/>
        </w:numPr>
        <w:pStyle w:val="Compact"/>
      </w:pPr>
      <w:r>
        <w:t xml:space="preserve">построение графиков;</w:t>
      </w:r>
    </w:p>
    <w:p>
      <w:pPr>
        <w:numPr>
          <w:ilvl w:val="0"/>
          <w:numId w:val="1007"/>
        </w:numPr>
        <w:pStyle w:val="Compact"/>
      </w:pPr>
      <w:r>
        <w:t xml:space="preserve">вывод схемы сети и создание анимации.</w:t>
      </w:r>
    </w:p>
    <w:bookmarkStart w:id="44" w:name="ключевые-фрагменты-кода-модуля"/>
    <w:p>
      <w:pPr>
        <w:pStyle w:val="Heading3"/>
      </w:pPr>
      <w:r>
        <w:t xml:space="preserve">4.3.1 Ключевые фрагменты кода модуля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LabelledPetriNet</w:t>
      </w:r>
      <w:r>
        <w:br/>
      </w:r>
      <w:r>
        <w:rPr>
          <w:rStyle w:val="NormalTok"/>
        </w:rPr>
        <w:t xml:space="preserve">    states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inputs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Vector{Vector{Int}}</w:t>
      </w:r>
      <w:r>
        <w:br/>
      </w:r>
      <w:r>
        <w:rPr>
          <w:rStyle w:val="NormalTok"/>
        </w:rPr>
        <w:t xml:space="preserve">    outputs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Vector{Vector{Int}}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Dict{Symbol, Float64}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Этот фрагмент задаёт компактное представление сети Петри. В отличие от</w:t>
      </w:r>
      <w:r>
        <w:t xml:space="preserve"> </w:t>
      </w:r>
      <w:r>
        <w:t xml:space="preserve">низкоуровневого хранения через полные матрицы инцидентности, здесь</w:t>
      </w:r>
      <w:r>
        <w:t xml:space="preserve"> </w:t>
      </w:r>
      <w:r>
        <w:t xml:space="preserve">достаточно явно перечислить позиции, переходы и их связи.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beta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recovery]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Здесь задаётся структура сети с тремя состояниями и двумя переходами.</w:t>
      </w:r>
      <w:r>
        <w:t xml:space="preserve"> </w:t>
      </w:r>
      <w:r>
        <w:t xml:space="preserve">Начальная маркировка фиксирует популяцию</w:t>
      </w:r>
      <w:r>
        <w:t xml:space="preserve"> </w:t>
      </w:r>
      <w:r>
        <w:rPr>
          <w:rStyle w:val="VerbatimChar"/>
        </w:rPr>
        <w:t xml:space="preserve">990 + 10 + 0 = 1000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</w:t>
      </w:r>
      <w:r>
        <w:br/>
      </w:r>
      <w:r>
        <w:rPr>
          <w:rStyle w:val="NormalTok"/>
        </w:rPr>
        <w:t xml:space="preserve">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</w:p>
    <w:p>
      <w:pPr>
        <w:pStyle w:val="FirstParagraph"/>
      </w:pPr>
      <w:r>
        <w:t xml:space="preserve">Этот фрагмент определяет пропускные способности заражения и выздоровления.</w:t>
      </w:r>
      <w:r>
        <w:t xml:space="preserve"> </w:t>
      </w:r>
      <w:r>
        <w:t xml:space="preserve">Наличие деления на размер популяции — принципиальный момент текущей</w:t>
      </w:r>
      <w:r>
        <w:t xml:space="preserve"> </w:t>
      </w:r>
      <w:r>
        <w:t xml:space="preserve">реализации. Именно он обеспечивает более плавную и реалистичную динамику по</w:t>
      </w:r>
      <w:r>
        <w:t xml:space="preserve"> </w:t>
      </w:r>
      <w:r>
        <w:t xml:space="preserve">сравнению с вариантом без нормировки.</w:t>
      </w:r>
    </w:p>
    <w:bookmarkEnd w:id="44"/>
    <w:bookmarkStart w:id="49" w:name="схема-сети-петри"/>
    <w:p>
      <w:pPr>
        <w:pStyle w:val="Heading3"/>
      </w:pPr>
      <w:r>
        <w:t xml:space="preserve">4.3.2 Схема сети Петри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network"/>
          <w:p>
            <w:pPr>
              <w:pStyle w:val="Compact"/>
              <w:jc w:val="center"/>
            </w:pPr>
            <w:r>
              <w:drawing>
                <wp:inline>
                  <wp:extent cx="4533900" cy="25908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ir_network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Сеть Петри для SIR-модели</w:t>
            </w:r>
          </w:p>
          <w:bookmarkEnd w:id="48"/>
        </w:tc>
      </w:tr>
    </w:tbl>
    <w:p>
      <w:pPr>
        <w:pStyle w:val="BodyText"/>
      </w:pPr>
      <w:r>
        <w:t xml:space="preserve">На схеме видно, что переход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использует позиции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как</w:t>
      </w:r>
      <w:r>
        <w:t xml:space="preserve"> </w:t>
      </w:r>
      <w:r>
        <w:t xml:space="preserve">входы, а в результате увеличивает число токенов в</w:t>
      </w:r>
      <w:r>
        <w:t xml:space="preserve"> </w:t>
      </w:r>
      <w:r>
        <w:rPr>
          <w:rStyle w:val="VerbatimChar"/>
        </w:rPr>
        <w:t xml:space="preserve">I</w:t>
      </w:r>
      <w:r>
        <w:t xml:space="preserve">. Переход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перемещает токен из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</w:t>
      </w:r>
      <w:r>
        <w:t xml:space="preserve">. Такая схема напрямую отражает логику</w:t>
      </w:r>
      <w:r>
        <w:t xml:space="preserve"> </w:t>
      </w:r>
      <w:r>
        <w:t xml:space="preserve">компартментной модели SIR.</w:t>
      </w:r>
    </w:p>
    <w:bookmarkEnd w:id="49"/>
    <w:bookmarkEnd w:id="50"/>
    <w:bookmarkStart w:id="55" w:name="генерация-literate-представлений"/>
    <w:p>
      <w:pPr>
        <w:pStyle w:val="Heading2"/>
      </w:pPr>
      <w:r>
        <w:t xml:space="preserve">4.4 Генерация literate-представлений</w:t>
      </w:r>
    </w:p>
    <w:p>
      <w:pPr>
        <w:pStyle w:val="FirstParagraph"/>
      </w:pPr>
      <w:r>
        <w:t xml:space="preserve">После подготовки исходных literate-скриптов был выполнен генератор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scripts/generate.jl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generate"/>
          <w:p>
            <w:pPr>
              <w:pStyle w:val="Compact"/>
              <w:jc w:val="center"/>
            </w:pPr>
            <w:r>
              <w:drawing>
                <wp:inline>
                  <wp:extent cx="4907280" cy="291784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4-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917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</w:t>
            </w:r>
            <w:r>
              <w:t xml:space="preserve"> </w:t>
            </w:r>
            <w:r>
              <w:rPr>
                <w:rStyle w:val="VerbatimChar"/>
              </w:rPr>
              <w:t xml:space="preserve">generate.jl</w:t>
            </w:r>
          </w:p>
          <w:bookmarkEnd w:id="54"/>
        </w:tc>
      </w:tr>
    </w:tbl>
    <w:p>
      <w:pPr>
        <w:pStyle w:val="BodyText"/>
      </w:pPr>
      <w:r>
        <w:t xml:space="preserve">Скрипт формирует:</w:t>
      </w:r>
    </w:p>
    <w:p>
      <w:pPr>
        <w:numPr>
          <w:ilvl w:val="0"/>
          <w:numId w:val="1008"/>
        </w:numPr>
        <w:pStyle w:val="Compact"/>
      </w:pPr>
      <w:r>
        <w:t xml:space="preserve">clean-скрипты для прямого запуска;</w:t>
      </w:r>
    </w:p>
    <w:p>
      <w:pPr>
        <w:numPr>
          <w:ilvl w:val="0"/>
          <w:numId w:val="1008"/>
        </w:numPr>
        <w:pStyle w:val="Compact"/>
      </w:pPr>
      <w:r>
        <w:t xml:space="preserve">notebook-версии для интерактивного воспроизведения;</w:t>
      </w:r>
    </w:p>
    <w:p>
      <w:pPr>
        <w:numPr>
          <w:ilvl w:val="0"/>
          <w:numId w:val="1008"/>
        </w:numPr>
        <w:pStyle w:val="Compact"/>
      </w:pPr>
      <w:r>
        <w:t xml:space="preserve">Quarto-документацию для последующей интеграции в отчёт.</w:t>
      </w:r>
    </w:p>
    <w:p>
      <w:pPr>
        <w:pStyle w:val="FirstParagraph"/>
      </w:pPr>
      <w:r>
        <w:t xml:space="preserve">Таким образом один и тот же источник кода обслуживает сразу три формата</w:t>
      </w:r>
      <w:r>
        <w:t xml:space="preserve"> </w:t>
      </w:r>
      <w:r>
        <w:t xml:space="preserve">представления вычислительного сценария. Это уменьшает дублирование и снижает</w:t>
      </w:r>
      <w:r>
        <w:t xml:space="preserve"> </w:t>
      </w:r>
      <w:r>
        <w:t xml:space="preserve">риск расхождения между кодом и документацией.</w:t>
      </w:r>
    </w:p>
    <w:bookmarkEnd w:id="55"/>
    <w:bookmarkStart w:id="77" w:name="базовый-прогон-модели"/>
    <w:p>
      <w:pPr>
        <w:pStyle w:val="Heading2"/>
      </w:pPr>
      <w:r>
        <w:t xml:space="preserve">4.5 Базовый прогон модели</w:t>
      </w:r>
    </w:p>
    <w:p>
      <w:pPr>
        <w:pStyle w:val="FirstParagraph"/>
      </w:pPr>
      <w:r>
        <w:t xml:space="preserve">Основной сценарий был выполнен из clean-версии базового</w:t>
      </w:r>
      <w:r>
        <w:t xml:space="preserve"> </w:t>
      </w:r>
      <w:r>
        <w:t xml:space="preserve">literate-файла. В проекте он сохранён как файл</w:t>
      </w:r>
      <w:r>
        <w:t xml:space="preserve"> </w:t>
      </w:r>
      <w:r>
        <w:rPr>
          <w:rStyle w:val="VerbatimChar"/>
        </w:rPr>
        <w:t xml:space="preserve">sirpetri_clean.jl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clean-main"/>
          <w:p>
            <w:pPr>
              <w:pStyle w:val="Compact"/>
              <w:jc w:val="center"/>
            </w:pPr>
            <w:r>
              <w:drawing>
                <wp:inline>
                  <wp:extent cx="4800600" cy="93770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4-4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7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</w:t>
            </w:r>
            <w:r>
              <w:t xml:space="preserve"> </w:t>
            </w:r>
            <w:r>
              <w:rPr>
                <w:rStyle w:val="VerbatimChar"/>
              </w:rPr>
              <w:t xml:space="preserve">sirpetri_clean.jl</w:t>
            </w:r>
          </w:p>
          <w:bookmarkEnd w:id="59"/>
        </w:tc>
      </w:tr>
    </w:tbl>
    <w:p>
      <w:pPr>
        <w:pStyle w:val="BodyText"/>
      </w:pPr>
      <w:r>
        <w:t xml:space="preserve">В базовом эксперименте использовались параметры: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beta = 0.3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gamma = 0.1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tmax = 100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S0 = 990</w:t>
      </w:r>
      <w:r>
        <w:t xml:space="preserve">,</w:t>
      </w:r>
      <w:r>
        <w:t xml:space="preserve"> </w:t>
      </w:r>
      <w:r>
        <w:rPr>
          <w:rStyle w:val="VerbatimChar"/>
        </w:rPr>
        <w:t xml:space="preserve">I0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R0 = 0</w:t>
      </w:r>
      <w:r>
        <w:t xml:space="preserve">.</w:t>
      </w:r>
    </w:p>
    <w:p>
      <w:pPr>
        <w:pStyle w:val="FirstParagraph"/>
      </w:pPr>
      <w:r>
        <w:t xml:space="preserve">Сценарий выполняет:</w:t>
      </w:r>
    </w:p>
    <w:p>
      <w:pPr>
        <w:numPr>
          <w:ilvl w:val="0"/>
          <w:numId w:val="1010"/>
        </w:numPr>
        <w:pStyle w:val="Compact"/>
      </w:pPr>
      <w:r>
        <w:t xml:space="preserve">построение сети Петри;</w:t>
      </w:r>
    </w:p>
    <w:p>
      <w:pPr>
        <w:numPr>
          <w:ilvl w:val="0"/>
          <w:numId w:val="1010"/>
        </w:numPr>
        <w:pStyle w:val="Compact"/>
      </w:pPr>
      <w:r>
        <w:t xml:space="preserve">детерминированную симуляцию;</w:t>
      </w:r>
    </w:p>
    <w:p>
      <w:pPr>
        <w:numPr>
          <w:ilvl w:val="0"/>
          <w:numId w:val="1010"/>
        </w:numPr>
        <w:pStyle w:val="Compact"/>
      </w:pPr>
      <w:r>
        <w:t xml:space="preserve">стохастическую симуляцию;</w:t>
      </w:r>
    </w:p>
    <w:p>
      <w:pPr>
        <w:numPr>
          <w:ilvl w:val="0"/>
          <w:numId w:val="1010"/>
        </w:numPr>
        <w:pStyle w:val="Compact"/>
      </w:pPr>
      <w:r>
        <w:t xml:space="preserve">сохранение результатов в</w:t>
      </w:r>
      <w:r>
        <w:t xml:space="preserve"> </w:t>
      </w:r>
      <w:r>
        <w:rPr>
          <w:rStyle w:val="VerbatimChar"/>
        </w:rPr>
        <w:t xml:space="preserve">CSV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построение графиков динамики и сравнения;</w:t>
      </w:r>
    </w:p>
    <w:p>
      <w:pPr>
        <w:numPr>
          <w:ilvl w:val="0"/>
          <w:numId w:val="1010"/>
        </w:numPr>
        <w:pStyle w:val="Compact"/>
      </w:pPr>
      <w:r>
        <w:t xml:space="preserve">создание GIF-анимации.</w:t>
      </w:r>
    </w:p>
    <w:bookmarkStart w:id="64" w:name="детерминированная-динамика"/>
    <w:p>
      <w:pPr>
        <w:pStyle w:val="Heading3"/>
      </w:pPr>
      <w:r>
        <w:t xml:space="preserve">4.5.1 Детерминированная динамика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det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ir_det_dynamics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Детерминированная динамика SIR</w:t>
            </w:r>
          </w:p>
          <w:bookmarkEnd w:id="63"/>
        </w:tc>
      </w:tr>
    </w:tbl>
    <w:p>
      <w:pPr>
        <w:pStyle w:val="BodyText"/>
      </w:pPr>
      <w:r>
        <w:t xml:space="preserve">На детерминированном графике видно классическое поведение SIR-модели. Число</w:t>
      </w:r>
      <w:r>
        <w:t xml:space="preserve"> </w:t>
      </w:r>
      <w:r>
        <w:t xml:space="preserve">восприимчивых постепенно уменьшается, число инфицированных сначала растёт,</w:t>
      </w:r>
      <w:r>
        <w:t xml:space="preserve"> </w:t>
      </w:r>
      <w:r>
        <w:t xml:space="preserve">достигает пика, а затем убывает, в то время как число выздоровевших</w:t>
      </w:r>
      <w:r>
        <w:t xml:space="preserve"> </w:t>
      </w:r>
      <w:r>
        <w:t xml:space="preserve">монотонно возрастает и выходит на плато.</w:t>
      </w:r>
    </w:p>
    <w:p>
      <w:pPr>
        <w:pStyle w:val="BodyText"/>
      </w:pPr>
      <w:r>
        <w:t xml:space="preserve">Для данного прогона были получены значения:</w:t>
      </w:r>
    </w:p>
    <w:p>
      <w:pPr>
        <w:numPr>
          <w:ilvl w:val="0"/>
          <w:numId w:val="1011"/>
        </w:numPr>
        <w:pStyle w:val="Compact"/>
      </w:pPr>
      <w:r>
        <w:t xml:space="preserve">максимум инфицированных</w:t>
      </w:r>
      <w:r>
        <w:t xml:space="preserve"> </w:t>
      </w:r>
      <w:r>
        <w:rPr>
          <w:rStyle w:val="VerbatimChar"/>
        </w:rPr>
        <w:t xml:space="preserve">I_max = 303.79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время достижения пика</w:t>
      </w:r>
      <w:r>
        <w:t xml:space="preserve"> </w:t>
      </w:r>
      <w:r>
        <w:rPr>
          <w:rStyle w:val="VerbatimChar"/>
        </w:rPr>
        <w:t xml:space="preserve">t = 26.5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конечное число выздоровевших</w:t>
      </w:r>
      <w:r>
        <w:t xml:space="preserve"> </w:t>
      </w:r>
      <w:r>
        <w:rPr>
          <w:rStyle w:val="VerbatimChar"/>
        </w:rPr>
        <w:t xml:space="preserve">R(100) = 939.32</w:t>
      </w:r>
      <w:r>
        <w:t xml:space="preserve">.</w:t>
      </w:r>
    </w:p>
    <w:p>
      <w:pPr>
        <w:pStyle w:val="FirstParagraph"/>
      </w:pPr>
      <w:r>
        <w:t xml:space="preserve">В отличие от слишком жёсткой вспышки, наблюдаемой в варианте без нормировки,</w:t>
      </w:r>
      <w:r>
        <w:t xml:space="preserve"> </w:t>
      </w:r>
      <w:r>
        <w:t xml:space="preserve">здесь эпидемическая волна развивается в течение значимого интервала времени,</w:t>
      </w:r>
      <w:r>
        <w:t xml:space="preserve"> </w:t>
      </w:r>
      <w:r>
        <w:t xml:space="preserve">что делает график более интерпретируемым.</w:t>
      </w:r>
    </w:p>
    <w:bookmarkEnd w:id="64"/>
    <w:bookmarkStart w:id="69" w:name="стохастическая-динамика"/>
    <w:p>
      <w:pPr>
        <w:pStyle w:val="Heading3"/>
      </w:pPr>
      <w:r>
        <w:t xml:space="preserve">4.5.2 Стохастическая динамика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stoch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ir_stoch_dynamic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Стохастическая динамика SIR</w:t>
            </w:r>
          </w:p>
          <w:bookmarkEnd w:id="68"/>
        </w:tc>
      </w:tr>
    </w:tbl>
    <w:p>
      <w:pPr>
        <w:pStyle w:val="BodyText"/>
      </w:pPr>
      <w:r>
        <w:t xml:space="preserve">Стохастическая траектория имеет ступенчатый характер. В начале моделирования</w:t>
      </w:r>
      <w:r>
        <w:t xml:space="preserve"> </w:t>
      </w:r>
      <w:r>
        <w:t xml:space="preserve">наблюдается серия актов заражения, затем система проходит через максимум</w:t>
      </w:r>
      <w:r>
        <w:t xml:space="preserve"> </w:t>
      </w:r>
      <w:r>
        <w:t xml:space="preserve">заболеваемости и постепенно переходит к выздоровлению большей части популяции.</w:t>
      </w:r>
    </w:p>
    <w:p>
      <w:pPr>
        <w:pStyle w:val="BodyText"/>
      </w:pPr>
      <w:r>
        <w:t xml:space="preserve">Для выбранного зерна генератора случайных чисел были получены:</w:t>
      </w:r>
    </w:p>
    <w:p>
      <w:pPr>
        <w:numPr>
          <w:ilvl w:val="0"/>
          <w:numId w:val="1012"/>
        </w:numPr>
        <w:pStyle w:val="Compact"/>
      </w:pPr>
      <w:r>
        <w:t xml:space="preserve">максимум инфицированных</w:t>
      </w:r>
      <w:r>
        <w:t xml:space="preserve"> </w:t>
      </w:r>
      <w:r>
        <w:rPr>
          <w:rStyle w:val="VerbatimChar"/>
        </w:rPr>
        <w:t xml:space="preserve">I_max = 349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время достижения пика</w:t>
      </w:r>
      <w:r>
        <w:t xml:space="preserve"> </w:t>
      </w:r>
      <w:r>
        <w:rPr>
          <w:rStyle w:val="VerbatimChar"/>
        </w:rPr>
        <w:t xml:space="preserve">t = 26.02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конечное число выздоровевших</w:t>
      </w:r>
      <w:r>
        <w:t xml:space="preserve"> </w:t>
      </w:r>
      <w:r>
        <w:rPr>
          <w:rStyle w:val="VerbatimChar"/>
        </w:rPr>
        <w:t xml:space="preserve">R = 959</w:t>
      </w:r>
      <w:r>
        <w:t xml:space="preserve">.</w:t>
      </w:r>
    </w:p>
    <w:p>
      <w:pPr>
        <w:pStyle w:val="FirstParagraph"/>
      </w:pPr>
      <w:r>
        <w:t xml:space="preserve">Стохастическая траектория отличается от детерминированной не только шумом, но</w:t>
      </w:r>
      <w:r>
        <w:t xml:space="preserve"> </w:t>
      </w:r>
      <w:r>
        <w:t xml:space="preserve">и немного более высоким пиком эпидемии, что естественно для одиночной</w:t>
      </w:r>
      <w:r>
        <w:t xml:space="preserve"> </w:t>
      </w:r>
      <w:r>
        <w:t xml:space="preserve">реализации случайного процесса.</w:t>
      </w:r>
    </w:p>
    <w:bookmarkEnd w:id="69"/>
    <w:bookmarkStart w:id="74" w:name="сравнение-траекторий"/>
    <w:p>
      <w:pPr>
        <w:pStyle w:val="Heading3"/>
      </w:pPr>
      <w:r>
        <w:t xml:space="preserve">4.5.3 Сравнение траекторий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fig-comparison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comparison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Сравнение детерминированной и стохастической траекторий</w:t>
            </w:r>
          </w:p>
          <w:bookmarkEnd w:id="73"/>
        </w:tc>
      </w:tr>
    </w:tbl>
    <w:p>
      <w:pPr>
        <w:pStyle w:val="BodyText"/>
      </w:pPr>
      <w:r>
        <w:t xml:space="preserve">На этом графике совместно показаны кривые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для двух режимов</w:t>
      </w:r>
      <w:r>
        <w:t xml:space="preserve"> </w:t>
      </w:r>
      <w:r>
        <w:t xml:space="preserve">моделирования. Стохастическая траектория стартует неровно, тогда как</w:t>
      </w:r>
      <w:r>
        <w:t xml:space="preserve"> </w:t>
      </w:r>
      <w:r>
        <w:t xml:space="preserve">детерминированная остаётся гладкой. Тем не менее обе кривые отражают одну и</w:t>
      </w:r>
      <w:r>
        <w:t xml:space="preserve"> </w:t>
      </w:r>
      <w:r>
        <w:t xml:space="preserve">ту же общую картину: рост числа инфицированных, прохождение через максимум и</w:t>
      </w:r>
      <w:r>
        <w:t xml:space="preserve"> </w:t>
      </w:r>
      <w:r>
        <w:t xml:space="preserve">последующее затухание эпидемии.</w:t>
      </w:r>
    </w:p>
    <w:bookmarkEnd w:id="74"/>
    <w:bookmarkStart w:id="76" w:name="сводка-базового-прогона"/>
    <w:p>
      <w:pPr>
        <w:pStyle w:val="Heading3"/>
      </w:pPr>
      <w:r>
        <w:t xml:space="preserve">4.5.4 Сводка базового прогона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tbl-bas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Сводка базового прогона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Режим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Пик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Конечное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Конечное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Детерминированный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303.79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26.50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939.32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59.13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Стохастический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349.00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26.02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959.00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39.00</w:t>
                  </w:r>
                </w:p>
              </w:tc>
            </w:tr>
          </w:tbl>
          <w:bookmarkEnd w:id="75"/>
          <w:p/>
        </w:tc>
      </w:tr>
    </w:tbl>
    <w:bookmarkEnd w:id="76"/>
    <w:bookmarkEnd w:id="77"/>
    <w:bookmarkStart w:id="100" w:name="параметрическое-исследование"/>
    <w:p>
      <w:pPr>
        <w:pStyle w:val="Heading2"/>
      </w:pPr>
      <w:r>
        <w:t xml:space="preserve">4.6 Параметрическое исследование</w:t>
      </w:r>
    </w:p>
    <w:p>
      <w:pPr>
        <w:pStyle w:val="FirstParagraph"/>
      </w:pPr>
      <w:r>
        <w:t xml:space="preserve">Дополнительный параметрический сценарий выполняет расчёт для набора</w:t>
      </w:r>
      <w:r>
        <w:t xml:space="preserve"> </w:t>
      </w:r>
      <w:r>
        <w:t xml:space="preserve">пар</w:t>
      </w:r>
      <w:r>
        <w:t xml:space="preserve"> </w:t>
      </w:r>
      <w:r>
        <w:rPr>
          <w:rStyle w:val="VerbatimChar"/>
        </w:rPr>
        <w:t xml:space="preserve">(beta, gamma)</w:t>
      </w:r>
      <w:r>
        <w:t xml:space="preserve"> </w:t>
      </w:r>
      <w:r>
        <w:t xml:space="preserve">и строит тепловые карты и ранжированный график.</w:t>
      </w:r>
      <w:r>
        <w:t xml:space="preserve"> </w:t>
      </w:r>
      <w:r>
        <w:t xml:space="preserve">В проекте этот сценарий сохранён как файл</w:t>
      </w:r>
      <w:r>
        <w:t xml:space="preserve"> </w:t>
      </w:r>
      <w:r>
        <w:rPr>
          <w:rStyle w:val="VerbatimChar"/>
        </w:rPr>
        <w:t xml:space="preserve">sirpetri_param_clean.jl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fig-clean-param"/>
          <w:p>
            <w:pPr>
              <w:pStyle w:val="Compact"/>
              <w:jc w:val="center"/>
            </w:pPr>
            <w:r>
              <w:drawing>
                <wp:inline>
                  <wp:extent cx="4800600" cy="55934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5-3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59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</w:t>
            </w:r>
            <w:r>
              <w:t xml:space="preserve"> </w:t>
            </w:r>
            <w:r>
              <w:rPr>
                <w:rStyle w:val="VerbatimChar"/>
              </w:rPr>
              <w:t xml:space="preserve">sirpetri_param_clean.jl</w:t>
            </w:r>
          </w:p>
          <w:bookmarkEnd w:id="81"/>
        </w:tc>
      </w:tr>
    </w:tbl>
    <w:p>
      <w:pPr>
        <w:pStyle w:val="BodyText"/>
      </w:pPr>
      <w:r>
        <w:t xml:space="preserve">Это исследование позволяет проверить, как изменение параметров влияет на</w:t>
      </w:r>
      <w:r>
        <w:t xml:space="preserve"> </w:t>
      </w:r>
      <w:r>
        <w:t xml:space="preserve">высоту эпидемического пика и на итоговую долю переболевших.</w:t>
      </w:r>
    </w:p>
    <w:bookmarkStart w:id="90" w:name="исследование-чувствительности-по-beta"/>
    <w:p>
      <w:pPr>
        <w:pStyle w:val="Heading3"/>
      </w:pPr>
      <w:r>
        <w:t xml:space="preserve">4.6.1 Исследование чувствительности по</w:t>
      </w:r>
      <w:r>
        <w:t xml:space="preserve"> </w:t>
      </w:r>
      <w:r>
        <w:rPr>
          <w:rStyle w:val="VerbatimChar"/>
        </w:rPr>
        <w:t xml:space="preserve">beta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scan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ir_scan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Зависимость</w:t>
            </w:r>
            <w:r>
              <w:t xml:space="preserve"> </w:t>
            </w:r>
            <w:r>
              <w:rPr>
                <w:rStyle w:val="VerbatimChar"/>
              </w:rPr>
              <w:t xml:space="preserve">peak_I(beta)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final_R(beta)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sensitivity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ensitivity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Зависимость пика инфицированных от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89"/>
        </w:tc>
      </w:tr>
    </w:tbl>
    <w:p>
      <w:pPr>
        <w:pStyle w:val="BodyText"/>
      </w:pPr>
      <w:r>
        <w:t xml:space="preserve">Для диапазона</w:t>
      </w:r>
      <w:r>
        <w:t xml:space="preserve"> </w:t>
      </w:r>
      <w:r>
        <w:rPr>
          <w:rStyle w:val="VerbatimChar"/>
        </w:rPr>
        <w:t xml:space="preserve">beta = 0.10:0.05:0.80</w:t>
      </w:r>
      <w:r>
        <w:t xml:space="preserve"> </w:t>
      </w:r>
      <w:r>
        <w:t xml:space="preserve">при фиксированном</w:t>
      </w:r>
      <w:r>
        <w:t xml:space="preserve"> </w:t>
      </w:r>
      <w:r>
        <w:rPr>
          <w:rStyle w:val="VerbatimChar"/>
        </w:rPr>
        <w:t xml:space="preserve">gamma = 0.10</w:t>
      </w:r>
      <w:r>
        <w:t xml:space="preserve"> </w:t>
      </w:r>
      <w:r>
        <w:t xml:space="preserve">были выполнены детерминированные прогоны. Полученные данные показывают:</w:t>
      </w:r>
    </w:p>
    <w:p>
      <w:pPr>
        <w:numPr>
          <w:ilvl w:val="0"/>
          <w:numId w:val="1013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beta = 0.10</w:t>
      </w:r>
      <w:r>
        <w:t xml:space="preserve"> </w:t>
      </w:r>
      <w:r>
        <w:t xml:space="preserve">эпидемия почти не развивается,</w:t>
      </w:r>
      <w:r>
        <w:t xml:space="preserve"> </w:t>
      </w:r>
      <w:r>
        <w:rPr>
          <w:rStyle w:val="VerbatimChar"/>
        </w:rPr>
        <w:t xml:space="preserve">peak_I = 10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при росте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пик эпидемии монотонно увеличивается;</w:t>
      </w:r>
    </w:p>
    <w:p>
      <w:pPr>
        <w:numPr>
          <w:ilvl w:val="0"/>
          <w:numId w:val="1013"/>
        </w:numPr>
        <w:pStyle w:val="Compact"/>
      </w:pPr>
      <w:r>
        <w:t xml:space="preserve">конечное число выздоровевших стремится к полной численности популяции.</w:t>
      </w:r>
    </w:p>
    <w:p>
      <w:pPr>
        <w:pStyle w:val="FirstParagraph"/>
      </w:pPr>
      <w:r>
        <w:t xml:space="preserve">Максимальное значение на исследованном диапазоне составило</w:t>
      </w:r>
      <w:r>
        <w:t xml:space="preserve"> </w:t>
      </w:r>
      <w:r>
        <w:rPr>
          <w:rStyle w:val="VerbatimChar"/>
        </w:rPr>
        <w:t xml:space="preserve">peak_I = 616.16</w:t>
      </w:r>
      <w:r>
        <w:t xml:space="preserve">, а конечное число выздоровевших достигло</w:t>
      </w:r>
      <w:r>
        <w:t xml:space="preserve"> </w:t>
      </w:r>
      <w:r>
        <w:rPr>
          <w:rStyle w:val="VerbatimChar"/>
        </w:rPr>
        <w:t xml:space="preserve">999.57</w:t>
      </w:r>
      <w:r>
        <w:t xml:space="preserve">.</w:t>
      </w:r>
      <w:r>
        <w:t xml:space="preserve"> </w:t>
      </w:r>
      <w:r>
        <w:t xml:space="preserve">Это соответствует типичной пороговой картине SIR-модели: рост заразности</w:t>
      </w:r>
      <w:r>
        <w:t xml:space="preserve"> </w:t>
      </w:r>
      <w:r>
        <w:t xml:space="preserve">делает вспышку значительно тяжелее.</w:t>
      </w:r>
    </w:p>
    <w:bookmarkEnd w:id="90"/>
    <w:bookmarkStart w:id="99" w:name="сетка-параметров-beta-gamma"/>
    <w:p>
      <w:pPr>
        <w:pStyle w:val="Heading3"/>
      </w:pPr>
      <w:r>
        <w:t xml:space="preserve">4.6.2 Сетка параметров</w:t>
      </w:r>
      <w:r>
        <w:t xml:space="preserve"> </w:t>
      </w:r>
      <w:r>
        <w:rPr>
          <w:rStyle w:val="VerbatimChar"/>
        </w:rPr>
        <w:t xml:space="preserve">(beta, gamma)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4" w:name="fig-heatmap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ir_parameter_heatma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Тепловая карта максимума инфицированных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8" w:name="fig-rank"/>
          <w:p>
            <w:pPr>
              <w:pStyle w:val="Compact"/>
              <w:jc w:val="center"/>
            </w:pPr>
            <w:r>
              <w:drawing>
                <wp:inline>
                  <wp:extent cx="4907280" cy="272626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./lab_06_models/plots/sir_parameter_rank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26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Ранжирование параметрических пар по</w:t>
            </w:r>
            <w:r>
              <w:t xml:space="preserve"> </w:t>
            </w:r>
            <w:r>
              <w:rPr>
                <w:rStyle w:val="VerbatimChar"/>
              </w:rPr>
              <w:t xml:space="preserve">peak_I</w:t>
            </w:r>
          </w:p>
          <w:bookmarkEnd w:id="98"/>
        </w:tc>
      </w:tr>
    </w:tbl>
    <w:p>
      <w:pPr>
        <w:pStyle w:val="BodyText"/>
      </w:pPr>
      <w:r>
        <w:t xml:space="preserve">Сетка параметров позволяет сравнивать не только изменение одного коэффициента,</w:t>
      </w:r>
      <w:r>
        <w:t xml:space="preserve"> </w:t>
      </w:r>
      <w:r>
        <w:t xml:space="preserve">но и совместное влияние заражения и выздоровления. Наиболее тяжёлый сценарий</w:t>
      </w:r>
      <w:r>
        <w:t xml:space="preserve"> </w:t>
      </w:r>
      <w:r>
        <w:t xml:space="preserve">среди рассмотренных конфигураций соответствует паре</w:t>
      </w:r>
      <w:r>
        <w:t xml:space="preserve"> </w:t>
      </w:r>
      <w:r>
        <w:rPr>
          <w:rStyle w:val="VerbatimChar"/>
        </w:rPr>
        <w:t xml:space="preserve">beta = 0.45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 = 0.08</w:t>
      </w:r>
      <w:r>
        <w:t xml:space="preserve">, где: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peak_I = 516.95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final_R = 995.19</w:t>
      </w:r>
      <w:r>
        <w:t xml:space="preserve">.</w:t>
      </w:r>
    </w:p>
    <w:p>
      <w:pPr>
        <w:pStyle w:val="FirstParagraph"/>
      </w:pPr>
      <w:r>
        <w:t xml:space="preserve">Наиболее мягкий режим получен при</w:t>
      </w:r>
      <w:r>
        <w:t xml:space="preserve"> </w:t>
      </w:r>
      <w:r>
        <w:rPr>
          <w:rStyle w:val="VerbatimChar"/>
        </w:rPr>
        <w:t xml:space="preserve">beta = 0.15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 = 0.15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peak_I = 10.00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final_R = 106.12</w:t>
      </w:r>
      <w:r>
        <w:t xml:space="preserve">.</w:t>
      </w:r>
    </w:p>
    <w:p>
      <w:pPr>
        <w:pStyle w:val="FirstParagraph"/>
      </w:pPr>
      <w:r>
        <w:t xml:space="preserve">Таким образом, отношение интенсивности заражения к скорости выздоровления</w:t>
      </w:r>
      <w:r>
        <w:t xml:space="preserve"> </w:t>
      </w:r>
      <w:r>
        <w:t xml:space="preserve">определяет масштаб эпидемической вспышки.</w:t>
      </w:r>
    </w:p>
    <w:bookmarkEnd w:id="99"/>
    <w:bookmarkEnd w:id="100"/>
    <w:bookmarkStart w:id="101" w:name="анимация-детерминированной-динамики"/>
    <w:p>
      <w:pPr>
        <w:pStyle w:val="Heading2"/>
      </w:pPr>
      <w:r>
        <w:t xml:space="preserve">4.7 Анимация детерминированной динамики</w:t>
      </w:r>
    </w:p>
    <w:p>
      <w:pPr>
        <w:pStyle w:val="FirstParagraph"/>
      </w:pPr>
      <w:r>
        <w:t xml:space="preserve">В базовом сценарии дополнительно создаётся GIF-анимация.</w:t>
      </w:r>
      <w:r>
        <w:t xml:space="preserve"> </w:t>
      </w:r>
      <w:r>
        <w:t xml:space="preserve">Итоговый файл анимации называется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.</w:t>
      </w:r>
      <w:r>
        <w:t xml:space="preserve"> </w:t>
      </w:r>
      <w:r>
        <w:t xml:space="preserve">Логика анимации состоит в том, что на первых кадрах</w:t>
      </w:r>
      <w:r>
        <w:t xml:space="preserve"> </w:t>
      </w:r>
      <w:r>
        <w:t xml:space="preserve">постепенно уменьшается число восприимчивых, затем растёт столбец</w:t>
      </w:r>
      <w:r>
        <w:t xml:space="preserve"> </w:t>
      </w:r>
      <w:r>
        <w:t xml:space="preserve">инфицированных, а на поздних кадрах доминирует класс выздоровевших.</w:t>
      </w:r>
    </w:p>
    <w:p>
      <w:pPr>
        <w:pStyle w:val="BodyText"/>
      </w:pPr>
      <w:r>
        <w:t xml:space="preserve">Хотя в наборе скриншотов нет отдельного кадра анимации, сам сценарий</w:t>
      </w:r>
      <w:r>
        <w:t xml:space="preserve"> </w:t>
      </w:r>
      <w:r>
        <w:t xml:space="preserve">успешно завершился и сохранил файл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. Анимация полезна как</w:t>
      </w:r>
      <w:r>
        <w:t xml:space="preserve"> </w:t>
      </w:r>
      <w:r>
        <w:t xml:space="preserve">динамическая визуализация тех же процессов, которые на статических графиках</w:t>
      </w:r>
      <w:r>
        <w:t xml:space="preserve"> </w:t>
      </w:r>
      <w:r>
        <w:t xml:space="preserve">показаны только в виде кривых.</w:t>
      </w:r>
    </w:p>
    <w:bookmarkEnd w:id="101"/>
    <w:bookmarkStart w:id="110" w:name="проверка-воспроизводимости"/>
    <w:p>
      <w:pPr>
        <w:pStyle w:val="Heading2"/>
      </w:pPr>
      <w:r>
        <w:t xml:space="preserve">4.8 Проверка воспроизводимости</w:t>
      </w:r>
    </w:p>
    <w:p>
      <w:pPr>
        <w:pStyle w:val="FirstParagraph"/>
      </w:pPr>
      <w:r>
        <w:t xml:space="preserve">После генерации clean-скриптов были выполнены оба Jupyter notebook.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notebook-main"/>
          <w:p>
            <w:pPr>
              <w:pStyle w:val="Compact"/>
              <w:jc w:val="center"/>
            </w:pPr>
            <w:r>
              <w:drawing>
                <wp:inline>
                  <wp:extent cx="4907280" cy="95966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6-55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959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Выполнение</w:t>
            </w:r>
            <w:r>
              <w:t xml:space="preserve"> </w:t>
            </w:r>
            <w:r>
              <w:rPr>
                <w:rStyle w:val="VerbatimChar"/>
              </w:rPr>
              <w:t xml:space="preserve">sirpetri.ipynb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notebook-param"/>
          <w:p>
            <w:pPr>
              <w:pStyle w:val="Compact"/>
              <w:jc w:val="center"/>
            </w:pPr>
            <w:r>
              <w:drawing>
                <wp:inline>
                  <wp:extent cx="4907280" cy="993879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24%2017-07-33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993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</w:t>
            </w:r>
            <w:r>
              <w:t xml:space="preserve"> </w:t>
            </w:r>
            <w:r>
              <w:rPr>
                <w:rStyle w:val="VerbatimChar"/>
              </w:rPr>
              <w:t xml:space="preserve">sirpetri_param.ipynb</w:t>
            </w:r>
          </w:p>
          <w:bookmarkEnd w:id="109"/>
        </w:tc>
      </w:tr>
    </w:tbl>
    <w:p>
      <w:pPr>
        <w:pStyle w:val="BodyText"/>
      </w:pPr>
      <w:r>
        <w:t xml:space="preserve">Эти скриншоты подтверждают, что сгенерированные notebook полностью</w:t>
      </w:r>
      <w:r>
        <w:t xml:space="preserve"> </w:t>
      </w:r>
      <w:r>
        <w:t xml:space="preserve">воспроизводят вычислительные сценарии из literate-источников и не требуют</w:t>
      </w:r>
      <w:r>
        <w:t xml:space="preserve"> </w:t>
      </w:r>
      <w:r>
        <w:t xml:space="preserve">дополнительной ручной правки после генерации. Таким образом, одна и та же</w:t>
      </w:r>
      <w:r>
        <w:t xml:space="preserve"> </w:t>
      </w:r>
      <w:r>
        <w:t xml:space="preserve">логика эксперимента доступна в виде:</w:t>
      </w:r>
    </w:p>
    <w:p>
      <w:pPr>
        <w:numPr>
          <w:ilvl w:val="0"/>
          <w:numId w:val="1016"/>
        </w:numPr>
        <w:pStyle w:val="Compact"/>
      </w:pPr>
      <w:r>
        <w:t xml:space="preserve">исполняемого clean-скрипта;</w:t>
      </w:r>
    </w:p>
    <w:p>
      <w:pPr>
        <w:numPr>
          <w:ilvl w:val="0"/>
          <w:numId w:val="1016"/>
        </w:numPr>
        <w:pStyle w:val="Compact"/>
      </w:pPr>
      <w:r>
        <w:t xml:space="preserve">Quarto-документа;</w:t>
      </w:r>
    </w:p>
    <w:p>
      <w:pPr>
        <w:numPr>
          <w:ilvl w:val="0"/>
          <w:numId w:val="1016"/>
        </w:numPr>
        <w:pStyle w:val="Compact"/>
      </w:pPr>
      <w:r>
        <w:t xml:space="preserve">интерактивного notebook.</w:t>
      </w:r>
    </w:p>
    <w:bookmarkEnd w:id="110"/>
    <w:bookmarkStart w:id="111" w:name="итоговые-артефакты"/>
    <w:p>
      <w:pPr>
        <w:pStyle w:val="Heading2"/>
      </w:pPr>
      <w:r>
        <w:t xml:space="preserve">4.9 Итоговые артефакты</w:t>
      </w:r>
    </w:p>
    <w:p>
      <w:pPr>
        <w:pStyle w:val="FirstParagraph"/>
      </w:pPr>
      <w:r>
        <w:t xml:space="preserve">В результате выполнения лабораторной работы были получены:</w:t>
      </w:r>
    </w:p>
    <w:p>
      <w:pPr>
        <w:numPr>
          <w:ilvl w:val="0"/>
          <w:numId w:val="1017"/>
        </w:numPr>
        <w:pStyle w:val="Compact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SIRPetri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базовый clean-скрипт;</w:t>
      </w:r>
    </w:p>
    <w:p>
      <w:pPr>
        <w:numPr>
          <w:ilvl w:val="0"/>
          <w:numId w:val="1017"/>
        </w:numPr>
        <w:pStyle w:val="Compact"/>
      </w:pPr>
      <w:r>
        <w:t xml:space="preserve">параметрический clean-скрипт;</w:t>
      </w:r>
    </w:p>
    <w:p>
      <w:pPr>
        <w:numPr>
          <w:ilvl w:val="0"/>
          <w:numId w:val="1017"/>
        </w:numPr>
        <w:pStyle w:val="Compact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sirpetri.qmd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sirpetri_param.qmd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notebook</w:t>
      </w:r>
      <w:r>
        <w:t xml:space="preserve"> </w:t>
      </w:r>
      <w:r>
        <w:rPr>
          <w:rStyle w:val="VerbatimChar"/>
        </w:rPr>
        <w:t xml:space="preserve">sirpetri.ipynb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notebook</w:t>
      </w:r>
      <w:r>
        <w:t xml:space="preserve"> </w:t>
      </w:r>
      <w:r>
        <w:rPr>
          <w:rStyle w:val="VerbatimChar"/>
        </w:rPr>
        <w:t xml:space="preserve">sirpetri_param.ipynb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sir_parameter_grid.csv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sir_network.png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comparison.png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sir_scan.png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sir_parameter_heatmap.png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sir_parameter_rank.png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анимация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.</w:t>
      </w:r>
    </w:p>
    <w:bookmarkEnd w:id="111"/>
    <w:bookmarkEnd w:id="112"/>
    <w:bookmarkStart w:id="11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была реализована модель SIR в аппарате</w:t>
      </w:r>
      <w:r>
        <w:t xml:space="preserve"> </w:t>
      </w:r>
      <w:r>
        <w:t xml:space="preserve">сетей Петри, подготовлен модуль</w:t>
      </w:r>
      <w:r>
        <w:t xml:space="preserve"> </w:t>
      </w:r>
      <w:r>
        <w:rPr>
          <w:rStyle w:val="VerbatimChar"/>
        </w:rPr>
        <w:t xml:space="preserve">SIRPetri</w:t>
      </w:r>
      <w:r>
        <w:t xml:space="preserve"> </w:t>
      </w:r>
      <w:r>
        <w:t xml:space="preserve">и набор сценариев для базового</w:t>
      </w:r>
      <w:r>
        <w:t xml:space="preserve"> </w:t>
      </w:r>
      <w:r>
        <w:t xml:space="preserve">прогона, параметрического исследования, анимации и итогового анализа.</w:t>
      </w:r>
    </w:p>
    <w:p>
      <w:pPr>
        <w:pStyle w:val="BodyText"/>
      </w:pPr>
      <w:r>
        <w:t xml:space="preserve">Для базового эксперимента были получены две траектории.</w:t>
      </w:r>
      <w:r>
        <w:t xml:space="preserve"> </w:t>
      </w:r>
      <w:r>
        <w:t xml:space="preserve">Первая траектория — детерминированная.</w:t>
      </w:r>
      <w:r>
        <w:t xml:space="preserve"> </w:t>
      </w:r>
      <w:r>
        <w:t xml:space="preserve">Вторая траектория — стохастическая.</w:t>
      </w:r>
    </w:p>
    <w:p>
      <w:pPr>
        <w:pStyle w:val="BodyText"/>
      </w:pPr>
      <w:r>
        <w:t xml:space="preserve">Детерминированная модель дала пик</w:t>
      </w:r>
      <w:r>
        <w:t xml:space="preserve"> </w:t>
      </w:r>
      <w:r>
        <w:rPr>
          <w:rStyle w:val="VerbatimChar"/>
        </w:rPr>
        <w:t xml:space="preserve">I = 303.79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t = 26.5</w:t>
      </w:r>
      <w:r>
        <w:t xml:space="preserve">.</w:t>
      </w:r>
      <w:r>
        <w:t xml:space="preserve"> </w:t>
      </w:r>
      <w:r>
        <w:t xml:space="preserve">Стохастическая модель достигла</w:t>
      </w:r>
      <w:r>
        <w:t xml:space="preserve"> </w:t>
      </w:r>
      <w:r>
        <w:rPr>
          <w:rStyle w:val="VerbatimChar"/>
        </w:rPr>
        <w:t xml:space="preserve">I = 349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t = 26.02</w:t>
      </w:r>
      <w:r>
        <w:t xml:space="preserve">.</w:t>
      </w:r>
      <w:r>
        <w:t xml:space="preserve"> </w:t>
      </w:r>
      <w:r>
        <w:t xml:space="preserve">Параметрическое исследование показало сильную зависимость масштаба вспышки</w:t>
      </w:r>
      <w:r>
        <w:t xml:space="preserve"> </w:t>
      </w:r>
      <w:r>
        <w:t xml:space="preserve">от параметров заражения и выздоровления в нормированной постановке модели.</w:t>
      </w:r>
    </w:p>
    <w:p>
      <w:pPr>
        <w:pStyle w:val="BodyText"/>
      </w:pPr>
      <w:r>
        <w:t xml:space="preserve">Для каждого сценария были успешно подготовлены 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</w:t>
      </w:r>
      <w:r>
        <w:t xml:space="preserve"> </w:t>
      </w:r>
      <w:r>
        <w:t xml:space="preserve">представления, после чего материалы интегрированы в отчёт и презентацию.</w:t>
      </w:r>
      <w:r>
        <w:t xml:space="preserve"> </w:t>
      </w:r>
      <w:r>
        <w:t xml:space="preserve">Все ключевые этапы выполнения работы зафиксированы скриншотами, а результаты</w:t>
      </w:r>
      <w:r>
        <w:t xml:space="preserve"> </w:t>
      </w:r>
      <w:r>
        <w:t xml:space="preserve">собраны в таблицы, графики и анимацию.</w:t>
      </w:r>
    </w:p>
    <w:bookmarkEnd w:id="113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Start w:id="114" w:name="ref-petri196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Automaten: phdthesis. Universit</w:t>
      </w:r>
      <w:r>
        <w:t xml:space="preserve">ä</w:t>
      </w:r>
      <w:r>
        <w:t xml:space="preserve">t Hamburg, 1962.</w:t>
      </w:r>
    </w:p>
    <w:bookmarkEnd w:id="114"/>
    <w:bookmarkStart w:id="116" w:name="ref-murata1989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115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116"/>
    <w:bookmarkStart w:id="118" w:name="ref-kermack192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117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118"/>
    <w:bookmarkStart w:id="120" w:name="ref-gillespie197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19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20"/>
    <w:bookmarkStart w:id="122" w:name="ref-knuth198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21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22"/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0" Target="media/rId70.png" /><Relationship Type="http://schemas.openxmlformats.org/officeDocument/2006/relationships/image" Id="rId86" Target="media/rId86.png" /><Relationship Type="http://schemas.openxmlformats.org/officeDocument/2006/relationships/image" Id="rId60" Target="media/rId60.png" /><Relationship Type="http://schemas.openxmlformats.org/officeDocument/2006/relationships/image" Id="rId45" Target="media/rId45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82" Target="media/rId82.png" /><Relationship Type="http://schemas.openxmlformats.org/officeDocument/2006/relationships/image" Id="rId65" Target="media/rId65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78" Target="media/rId7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hyperlink" Id="rId119" Target="https://doi.org/10.1021/j100540a008" TargetMode="External" /><Relationship Type="http://schemas.openxmlformats.org/officeDocument/2006/relationships/hyperlink" Id="rId121" Target="https://doi.org/10.1093/comjnl/27.2.97" TargetMode="External" /><Relationship Type="http://schemas.openxmlformats.org/officeDocument/2006/relationships/hyperlink" Id="rId117" Target="https://doi.org/10.1098/rspa.1927.0118" TargetMode="External" /><Relationship Type="http://schemas.openxmlformats.org/officeDocument/2006/relationships/hyperlink" Id="rId115" Target="https://doi.org/10.1109/5.241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doi.org/10.1021/j100540a008" TargetMode="External" /><Relationship Type="http://schemas.openxmlformats.org/officeDocument/2006/relationships/hyperlink" Id="rId121" Target="https://doi.org/10.1093/comjnl/27.2.97" TargetMode="External" /><Relationship Type="http://schemas.openxmlformats.org/officeDocument/2006/relationships/hyperlink" Id="rId117" Target="https://doi.org/10.1098/rspa.1927.0118" TargetMode="External" /><Relationship Type="http://schemas.openxmlformats.org/officeDocument/2006/relationships/hyperlink" Id="rId115" Target="https://doi.org/10.1109/5.241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Ведьмина Александра Сергеевна</dc:creator>
  <dc:language>ru-RU</dc:language>
  <cp:keywords/>
  <dcterms:created xsi:type="dcterms:W3CDTF">2026-04-24T22:48:55Z</dcterms:created>
  <dcterms:modified xsi:type="dcterms:W3CDTF">2026-04-24T22:48:55Z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№6. Реализация модели SIR в подходе сетей Петри</vt:lpwstr>
  </property>
  <property fmtid="{D5CDD505-2E9C-101B-9397-08002B2CF9AE}" pid="16" name="toc-title">
    <vt:lpwstr>Содержание</vt:lpwstr>
  </property>
</Properties>
</file>