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кибербезопасности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задания второй части курса по кибербезопасности.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Конечно, можно. Шифрование переводит данные на диске в нераспознаваемый набор символов.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Screenshot%20from%202025-05-13%2019-22-1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Используется симметричное шифрование.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Screenshot%20from%202025-05-13%2019-22-1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Bitlocker, vercrypt, есть и много иных.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Screenshot%20from%202025-05-13%2019-22-3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Пароль должен состоять из разнородных символов и быть сложным для подбора.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Screenshot%20from%202025-05-13%2019-22-5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В прочих перечисленных вариантах пароль легко украсть.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Screenshot%20from%202025-05-13%2019-23-0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Капча смотрит подозрительные действия и спрашивает, робот вы или нет.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Screenshot%20from%202025-05-13%2019-23-4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Для их безопасности. хэш сложно взломать.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Screenshot%20from%202025-05-13%2019-24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Не поможет.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Screenshot%20from%202025-05-13%2019-24-5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Все перечисленные варианты весьма эфеективны.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Screenshot%20from%202025-05-13%2019-25-2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Есть отличия от оригинальных ссылок у сбера и яндекса.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Screenshot%20from%202025-05-13%2019-26-2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Да, знакомый адрес могут взломать.</w:t>
      </w:r>
    </w:p>
    <w:p>
      <w:pPr>
        <w:pStyle w:val="CaptionedFigure"/>
      </w:pPr>
      <w:r>
        <w:drawing>
          <wp:inline>
            <wp:extent cx="5334000" cy="2906827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Screenshot%20from%202025-05-13%2019-26-3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От английского spoof — обман, подделка.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Screenshot%20from%202025-05-13%2019-27-4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На то он и троян, что маскируется и сразу не поймёшь, что это вирус.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Screenshot%20from%202025-05-13%2019-28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Сразу же при первом сообщении.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Screenshot%20from%202025-05-13%2019-29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Данные в зашифрованном виде передаются по узлам.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Screenshot%20from%202025-05-13%2019-29-2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Все задания выполнены.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кибербезопасности</dc:title>
  <dc:creator>Ведьмина Александра Сергеевна</dc:creator>
  <dc:language>ru-RU</dc:language>
  <cp:keywords/>
  <dcterms:created xsi:type="dcterms:W3CDTF">2025-05-15T14:53:30Z</dcterms:created>
  <dcterms:modified xsi:type="dcterms:W3CDTF">2025-05-15T14:53:30Z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