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48.png" ContentType="image/png"/>
  <Override PartName="/word/media/rId53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Subtitle"/>
      </w:pPr>
      <w:r>
        <w:t xml:space="preserve">Доклад.</w:t>
      </w:r>
      <w:r>
        <w:t xml:space="preserve"> </w:t>
      </w:r>
      <w:r>
        <w:t xml:space="preserve">Модель</w:t>
      </w:r>
      <w:r>
        <w:t xml:space="preserve"> </w:t>
      </w:r>
      <w:r>
        <w:t xml:space="preserve">«Умение</w:t>
      </w:r>
      <w:r>
        <w:t xml:space="preserve"> </w:t>
      </w:r>
      <w:r>
        <w:t xml:space="preserve">и</w:t>
      </w:r>
      <w:r>
        <w:t xml:space="preserve"> </w:t>
      </w:r>
      <w:r>
        <w:t xml:space="preserve">удача»</w:t>
      </w:r>
    </w:p>
    <w:p>
      <w:pPr>
        <w:pStyle w:val="Author"/>
      </w:pPr>
      <w:r>
        <w:t xml:space="preserve">Ведьмина</w:t>
      </w:r>
      <w:r>
        <w:t xml:space="preserve"> </w:t>
      </w:r>
      <w:r>
        <w:t xml:space="preserve">Александра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Показать, как математическая модель разделяет наблюдаемый результат на</w:t>
      </w:r>
      <w:r>
        <w:t xml:space="preserve"> </w:t>
      </w:r>
      <w:r>
        <w:t xml:space="preserve">устойчивую составляющую умения и случайную составляющую удачи, и почему при</w:t>
      </w:r>
      <w:r>
        <w:t xml:space="preserve"> </w:t>
      </w:r>
      <w:r>
        <w:t xml:space="preserve">высоком уровне шума единичное наблюдение плохо отражает реальный уровень</w:t>
      </w:r>
      <w:r>
        <w:t xml:space="preserve"> </w:t>
      </w:r>
      <w:r>
        <w:t xml:space="preserve">объекта.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доклада требовалось:</w:t>
      </w:r>
    </w:p>
    <w:p>
      <w:pPr>
        <w:numPr>
          <w:ilvl w:val="0"/>
          <w:numId w:val="1001"/>
        </w:numPr>
        <w:pStyle w:val="Compact"/>
      </w:pPr>
      <w:r>
        <w:t xml:space="preserve">формализовать модель</w:t>
      </w:r>
      <w:r>
        <w:t xml:space="preserve"> </w:t>
      </w:r>
      <w:r>
        <w:rPr>
          <w:rStyle w:val="VerbatimChar"/>
        </w:rPr>
        <w:t xml:space="preserve">Skill/Luck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вывести среднее значение и дисперсию результата;</w:t>
      </w:r>
    </w:p>
    <w:p>
      <w:pPr>
        <w:numPr>
          <w:ilvl w:val="0"/>
          <w:numId w:val="1001"/>
        </w:numPr>
        <w:pStyle w:val="Compact"/>
      </w:pPr>
      <w:r>
        <w:t xml:space="preserve">выполнить компьютерную симуляцию для нескольких уровней случайности;</w:t>
      </w:r>
    </w:p>
    <w:p>
      <w:pPr>
        <w:numPr>
          <w:ilvl w:val="0"/>
          <w:numId w:val="1001"/>
        </w:numPr>
        <w:pStyle w:val="Compact"/>
      </w:pPr>
      <w:r>
        <w:t xml:space="preserve">показать влияние длины серии наблюдений на надежность оценки;</w:t>
      </w:r>
    </w:p>
    <w:p>
      <w:pPr>
        <w:numPr>
          <w:ilvl w:val="0"/>
          <w:numId w:val="1001"/>
        </w:numPr>
        <w:pStyle w:val="Compact"/>
      </w:pPr>
      <w:r>
        <w:t xml:space="preserve">оформить материал в виде стандартного отчета и презентации Quarto.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разделение-результата-на-умение-и-удачу"/>
    <w:p>
      <w:pPr>
        <w:pStyle w:val="Heading2"/>
      </w:pPr>
      <w:r>
        <w:t xml:space="preserve">3.1 Разделение результата на умение и удачу</w:t>
      </w:r>
    </w:p>
    <w:p>
      <w:pPr>
        <w:pStyle w:val="FirstParagraph"/>
      </w:pPr>
      <w:r>
        <w:t xml:space="preserve">Во многих прикладных задачах итоговый результат определяется не только</w:t>
      </w:r>
      <w:r>
        <w:t xml:space="preserve"> </w:t>
      </w:r>
      <w:r>
        <w:t xml:space="preserve">качеством подготовки, но и случайными обстоятельствами. Это относится к</w:t>
      </w:r>
      <w:r>
        <w:t xml:space="preserve"> </w:t>
      </w:r>
      <w:r>
        <w:t xml:space="preserve">спорту, финансовым стратегиям, экзаменам, бизнес-метрикам и машинному</w:t>
      </w:r>
      <w:r>
        <w:t xml:space="preserve"> </w:t>
      </w:r>
      <w:r>
        <w:t xml:space="preserve">обучению. Для описания такой ситуации удобно рассматривать наблюдаемый</w:t>
      </w:r>
      <w:r>
        <w:t xml:space="preserve"> </w:t>
      </w:r>
      <w:r>
        <w:t xml:space="preserve">результат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как смесь двух компонент: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Skill</w:t>
      </w:r>
      <w:r>
        <w:t xml:space="preserve"> </w:t>
      </w:r>
      <w:r>
        <w:t xml:space="preserve">— устойчивая часть, которая воспроизводится от попытки к попытке;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Luck</w:t>
      </w:r>
      <w:r>
        <w:t xml:space="preserve"> </w:t>
      </w:r>
      <w:r>
        <w:t xml:space="preserve">— случайная часть, отражающая шум, внешние условия и отклонения.</w:t>
      </w:r>
    </w:p>
    <w:p>
      <w:pPr>
        <w:pStyle w:val="FirstParagraph"/>
      </w:pPr>
      <w:r>
        <w:t xml:space="preserve">Такая постановка соответствует распространенному в прикладной литературе</w:t>
      </w:r>
      <w:r>
        <w:t xml:space="preserve"> </w:t>
      </w:r>
      <w:r>
        <w:t xml:space="preserve">подходу к разделению наблюдаемого результата на устойчивую и случайную</w:t>
      </w:r>
      <w:r>
        <w:t xml:space="preserve"> </w:t>
      </w:r>
      <w:r>
        <w:t xml:space="preserve">составляющие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Простейшая форма модели записывается так: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L</m:t>
          </m:r>
          <m:r>
            <m:t>u</m:t>
          </m:r>
          <m:r>
            <m:t>c</m:t>
          </m:r>
          <m:r>
            <m:t>k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⋅</m:t>
          </m:r>
          <m:r>
            <m:t>S</m:t>
          </m:r>
          <m:r>
            <m:t>k</m:t>
          </m:r>
          <m:r>
            <m:t>i</m:t>
          </m:r>
          <m:r>
            <m:t>l</m:t>
          </m:r>
          <m:r>
            <m:t>l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a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определяет долю случайности:</w:t>
      </w:r>
    </w:p>
    <w:p>
      <w:pPr>
        <w:numPr>
          <w:ilvl w:val="0"/>
          <w:numId w:val="1003"/>
        </w:numPr>
        <w:pStyle w:val="Compact"/>
      </w:pPr>
      <w:r>
        <w:t xml:space="preserve">при малом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результат почти полностью объясняется умением;</w:t>
      </w:r>
    </w:p>
    <w:p>
      <w:pPr>
        <w:numPr>
          <w:ilvl w:val="0"/>
          <w:numId w:val="1003"/>
        </w:numPr>
        <w:pStyle w:val="Compact"/>
      </w:pPr>
      <w:r>
        <w:t xml:space="preserve">при большом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наблюдения становятся шумными и труднее интерпретируются.</w:t>
      </w:r>
    </w:p>
    <w:bookmarkEnd w:id="22"/>
    <w:bookmarkStart w:id="23" w:name="математические-свойства-модели"/>
    <w:p>
      <w:pPr>
        <w:pStyle w:val="Heading2"/>
      </w:pPr>
      <w:r>
        <w:t xml:space="preserve">3.2 Математические свойства модели</w:t>
      </w:r>
    </w:p>
    <w:p>
      <w:pPr>
        <w:pStyle w:val="FirstParagraph"/>
      </w:pPr>
      <w:r>
        <w:t xml:space="preserve">Пусть случайная величина</w:t>
      </w:r>
      <w:r>
        <w:t xml:space="preserve"> </w:t>
      </w:r>
      <w:r>
        <w:rPr>
          <w:rStyle w:val="VerbatimChar"/>
        </w:rPr>
        <w:t xml:space="preserve">Luck</w:t>
      </w:r>
      <w:r>
        <w:t xml:space="preserve"> </w:t>
      </w:r>
      <w:r>
        <w:t xml:space="preserve">имеет нулевое среднее и дисперсию</w:t>
      </w:r>
      <w:r>
        <w:t xml:space="preserve"> </w:t>
      </w:r>
      <w:r>
        <w:rPr>
          <w:rStyle w:val="VerbatimChar"/>
        </w:rPr>
        <w:t xml:space="preserve">Var(Luck) = \sigma_L^2</w:t>
      </w:r>
      <w:r>
        <w:t xml:space="preserve">. Тогда: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⋅</m:t>
          </m:r>
          <m:r>
            <m:t>S</m:t>
          </m:r>
          <m:r>
            <m:t>k</m:t>
          </m:r>
          <m:r>
            <m:t>i</m:t>
          </m:r>
          <m:r>
            <m:t>l</m:t>
          </m:r>
          <m:r>
            <m:t>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bSup>
            <m:e>
              <m:r>
                <m:t>σ</m:t>
              </m:r>
            </m:e>
            <m:sub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 в симуляции положить</w:t>
      </w:r>
      <w:r>
        <w:t xml:space="preserve"> </w:t>
      </w:r>
      <w:r>
        <w:rPr>
          <w:rStyle w:val="VerbatimChar"/>
        </w:rPr>
        <w:t xml:space="preserve">Luck ~ N(0,1)</w:t>
      </w:r>
      <w:r>
        <w:t xml:space="preserve">, формулы упрощаются до: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⋅</m:t>
          </m:r>
          <m:r>
            <m:t>S</m:t>
          </m:r>
          <m:r>
            <m:t>k</m:t>
          </m:r>
          <m:r>
            <m:t>i</m:t>
          </m:r>
          <m:r>
            <m:t>l</m:t>
          </m:r>
          <m:r>
            <m:t>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образом:</w:t>
      </w:r>
    </w:p>
    <w:p>
      <w:pPr>
        <w:numPr>
          <w:ilvl w:val="0"/>
          <w:numId w:val="1004"/>
        </w:numPr>
        <w:pStyle w:val="Compact"/>
      </w:pPr>
      <w:r>
        <w:t xml:space="preserve">среднее значение определяется стабильной частью;</w:t>
      </w:r>
    </w:p>
    <w:p>
      <w:pPr>
        <w:numPr>
          <w:ilvl w:val="0"/>
          <w:numId w:val="1004"/>
        </w:numPr>
        <w:pStyle w:val="Compact"/>
      </w:pPr>
      <w:r>
        <w:t xml:space="preserve">разброс растет квадратично по</w:t>
      </w:r>
      <w:r>
        <w:t xml:space="preserve"> </w:t>
      </w:r>
      <w:r>
        <w:rPr>
          <w:rStyle w:val="VerbatimChar"/>
        </w:rPr>
        <w:t xml:space="preserve">a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при высокой случайности отдельные наблюдения малоинформативны.</w:t>
      </w:r>
    </w:p>
    <w:bookmarkEnd w:id="23"/>
    <w:bookmarkStart w:id="24" w:name="среднее-по-серии-наблюдений"/>
    <w:p>
      <w:pPr>
        <w:pStyle w:val="Heading2"/>
      </w:pPr>
      <w:r>
        <w:t xml:space="preserve">3.3 Среднее по серии наблюдений</w:t>
      </w:r>
    </w:p>
    <w:p>
      <w:pPr>
        <w:pStyle w:val="FirstParagraph"/>
      </w:pPr>
      <w:r>
        <w:t xml:space="preserve">Если рассматривать не один результат, а среднее по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независимым попыткам,</w:t>
      </w:r>
      <w:r>
        <w:t xml:space="preserve"> </w:t>
      </w:r>
      <w:r>
        <w:t xml:space="preserve">то дисперсия оценки уменьшается: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σ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d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σ</m:t>
                  </m:r>
                </m:e>
                <m:sub>
                  <m:r>
                    <m:t>L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и есть практический смысл закона больших чисел: чем длиннее серия</w:t>
      </w:r>
      <w:r>
        <w:t xml:space="preserve"> </w:t>
      </w:r>
      <w:r>
        <w:t xml:space="preserve">наблюдений, тем слабее влияние случайности на итоговую оценку</w:t>
      </w:r>
      <w:r>
        <w:t xml:space="preserve"> </w:t>
      </w:r>
      <w:r>
        <w:t xml:space="preserve">[2,3]</w:t>
      </w:r>
      <w:r>
        <w:t xml:space="preserve">.</w:t>
      </w:r>
    </w:p>
    <w:bookmarkEnd w:id="24"/>
    <w:bookmarkEnd w:id="25"/>
    <w:bookmarkStart w:id="66" w:name="выполнение-работы"/>
    <w:p>
      <w:pPr>
        <w:pStyle w:val="Heading1"/>
      </w:pPr>
      <w:r>
        <w:t xml:space="preserve">4. Выполнение работы</w:t>
      </w:r>
    </w:p>
    <w:bookmarkStart w:id="27" w:name="X0b1311181706dd968d7da06d8ee7f5ca1e7bdfc"/>
    <w:p>
      <w:pPr>
        <w:pStyle w:val="Heading2"/>
      </w:pPr>
      <w:r>
        <w:t xml:space="preserve">4.1 Исходный материал и воспроизводимая организация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labs/doclad-mat</w:t>
      </w:r>
      <w:r>
        <w:t xml:space="preserve"> </w:t>
      </w:r>
      <w:r>
        <w:t xml:space="preserve">исходный текст был предоставлен в исходном</w:t>
      </w:r>
      <w:r>
        <w:t xml:space="preserve"> </w:t>
      </w:r>
      <w:r>
        <w:rPr>
          <w:rStyle w:val="VerbatimChar"/>
        </w:rPr>
        <w:t xml:space="preserve">docx</w:t>
      </w:r>
      <w:r>
        <w:t xml:space="preserve">-файле. Для перевода материала в обычный для репозитория формат были</w:t>
      </w:r>
      <w:r>
        <w:t xml:space="preserve"> </w:t>
      </w:r>
      <w:r>
        <w:t xml:space="preserve">подготовлены:</w:t>
      </w:r>
    </w:p>
    <w:p>
      <w:pPr>
        <w:numPr>
          <w:ilvl w:val="0"/>
          <w:numId w:val="1005"/>
        </w:numPr>
        <w:pStyle w:val="Compact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report/</w:t>
      </w:r>
      <w:r>
        <w:t xml:space="preserve"> </w:t>
      </w:r>
      <w:r>
        <w:t xml:space="preserve">с Quarto-отчетом;</w:t>
      </w:r>
    </w:p>
    <w:p>
      <w:pPr>
        <w:numPr>
          <w:ilvl w:val="0"/>
          <w:numId w:val="1005"/>
        </w:numPr>
        <w:pStyle w:val="Compact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presentation/</w:t>
      </w:r>
      <w:r>
        <w:t xml:space="preserve"> </w:t>
      </w:r>
      <w:r>
        <w:t xml:space="preserve">с Quarto-презентацией;</w:t>
      </w:r>
    </w:p>
    <w:p>
      <w:pPr>
        <w:numPr>
          <w:ilvl w:val="0"/>
          <w:numId w:val="1005"/>
        </w:numPr>
        <w:pStyle w:val="Compact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со сценарием генерации графиков;</w:t>
      </w:r>
    </w:p>
    <w:p>
      <w:pPr>
        <w:numPr>
          <w:ilvl w:val="0"/>
          <w:numId w:val="1005"/>
        </w:numPr>
        <w:pStyle w:val="Compact"/>
      </w:pPr>
      <w:r>
        <w:t xml:space="preserve">каталоги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с результатами симуляции.</w:t>
      </w:r>
    </w:p>
    <w:p>
      <w:pPr>
        <w:pStyle w:val="FirstParagraph"/>
      </w:pPr>
      <w:r>
        <w:t xml:space="preserve">Основной вычислительный сценарий сохранен в Python-скрипте генерации</w:t>
      </w:r>
      <w:r>
        <w:t xml:space="preserve"> </w:t>
      </w:r>
      <w:r>
        <w:t xml:space="preserve">графиков. Он:</w:t>
      </w:r>
    </w:p>
    <w:p>
      <w:pPr>
        <w:numPr>
          <w:ilvl w:val="0"/>
          <w:numId w:val="1006"/>
        </w:numPr>
        <w:pStyle w:val="Compact"/>
      </w:pPr>
      <w:r>
        <w:t xml:space="preserve">генерирует серии наблюдений для нескольких значений</w:t>
      </w:r>
      <w:r>
        <w:t xml:space="preserve"> </w:t>
      </w:r>
      <w:r>
        <w:rPr>
          <w:rStyle w:val="VerbatimChar"/>
        </w:rPr>
        <w:t xml:space="preserve">a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вычисляет накопленные средние;</w:t>
      </w:r>
    </w:p>
    <w:p>
      <w:pPr>
        <w:numPr>
          <w:ilvl w:val="0"/>
          <w:numId w:val="1006"/>
        </w:numPr>
        <w:pStyle w:val="Compact"/>
      </w:pPr>
      <w:r>
        <w:t xml:space="preserve">строит распределения результатов;</w:t>
      </w:r>
    </w:p>
    <w:p>
      <w:pPr>
        <w:numPr>
          <w:ilvl w:val="0"/>
          <w:numId w:val="1006"/>
        </w:numPr>
        <w:pStyle w:val="Compact"/>
      </w:pPr>
      <w:r>
        <w:t xml:space="preserve">оценивает надежность среднего по мере роста длины серии;</w:t>
      </w:r>
    </w:p>
    <w:p>
      <w:pPr>
        <w:numPr>
          <w:ilvl w:val="0"/>
          <w:numId w:val="1006"/>
        </w:numPr>
        <w:pStyle w:val="Compact"/>
      </w:pPr>
      <w:r>
        <w:t xml:space="preserve">сравнивает двух участников по одной попытке и по среднему из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попыток.</w:t>
      </w:r>
    </w:p>
    <w:bookmarkStart w:id="26" w:name="X115ab0db46e97fb2e7216c9b97422b741e9ee53"/>
    <w:p>
      <w:pPr>
        <w:pStyle w:val="Heading3"/>
      </w:pPr>
      <w:r>
        <w:t xml:space="preserve">4.1.1 Ключевой фрагмент вычислительного сценария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rng.normal(size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n_attempts)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skill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running_mean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np.cumsum(result)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np.arange(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n_attempts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stderr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br/>
      </w:r>
      <w:r>
        <w:rPr>
          <w:rStyle w:val="NormalTok"/>
        </w:rPr>
        <w:t xml:space="preserve">   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n_attempts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Здесь последовательно реализуются три ключевые идеи модели: генерация</w:t>
      </w:r>
      <w:r>
        <w:t xml:space="preserve"> </w:t>
      </w:r>
      <w:r>
        <w:t xml:space="preserve">наблюдаемого результата, накопленное среднее и убывание стандартной ошибки</w:t>
      </w:r>
      <w:r>
        <w:t xml:space="preserve"> </w:t>
      </w:r>
      <w:r>
        <w:t xml:space="preserve">оценки по закону</w:t>
      </w:r>
      <w:r>
        <w:t xml:space="preserve"> </w:t>
      </w:r>
      <w:r>
        <w:rPr>
          <w:rStyle w:val="VerbatimChar"/>
        </w:rPr>
        <w:t xml:space="preserve">1 / \sqrt{n}</w:t>
      </w:r>
      <w:r>
        <w:t xml:space="preserve">.</w:t>
      </w:r>
    </w:p>
    <w:bookmarkEnd w:id="26"/>
    <w:bookmarkEnd w:id="27"/>
    <w:bookmarkStart w:id="29" w:name="параметры-симуляции"/>
    <w:p>
      <w:pPr>
        <w:pStyle w:val="Heading2"/>
      </w:pPr>
      <w:r>
        <w:t xml:space="preserve">4.2 Параметры симуляции</w:t>
      </w:r>
    </w:p>
    <w:p>
      <w:pPr>
        <w:pStyle w:val="FirstParagraph"/>
      </w:pPr>
      <w:r>
        <w:t xml:space="preserve">Для численного эксперимента были выбраны параметры из исходного текста</w:t>
      </w:r>
      <w:r>
        <w:t xml:space="preserve"> </w:t>
      </w:r>
      <w:r>
        <w:t xml:space="preserve">доклада.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8" w:name="tbl-param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Параметры симуляции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2376"/>
              <w:gridCol w:w="3168"/>
              <w:gridCol w:w="2376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Значение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Смысл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условный устойчивый уровень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Luck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N(0,1)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случайные отклонения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0.2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0.5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малая, средняя и высокая доля удачи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длина одной серии наблюдений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Skill_A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Skill_B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0.82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0.58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параметры сравнения двух участников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a_compare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доля случайности в задаче сравнения</w:t>
                  </w:r>
                </w:p>
              </w:tc>
            </w:tr>
          </w:tbl>
          <w:bookmarkEnd w:id="28"/>
          <w:p/>
        </w:tc>
      </w:tr>
    </w:tbl>
    <w:bookmarkEnd w:id="29"/>
    <w:bookmarkStart w:id="42" w:name="X43395927501c0e230b263c213606de8dbbea345"/>
    <w:p>
      <w:pPr>
        <w:pStyle w:val="Heading2"/>
      </w:pPr>
      <w:r>
        <w:t xml:space="preserve">4.3 Отдельные результаты при разных уровнях случайности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3" w:name="fig-a02"/>
          <w:p>
            <w:pPr>
              <w:pStyle w:val="Compact"/>
              <w:jc w:val="center"/>
            </w:pPr>
            <w:r>
              <w:drawing>
                <wp:inline>
                  <wp:extent cx="4907280" cy="225462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plots/results_a_0_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254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Серия наблюдений при</w:t>
            </w:r>
            <w:r>
              <w:t xml:space="preserve"> </w:t>
            </w:r>
            <w:r>
              <w:rPr>
                <w:rStyle w:val="VerbatimChar"/>
              </w:rPr>
              <w:t xml:space="preserve">a = 0.2</w:t>
            </w:r>
          </w:p>
          <w:bookmarkEnd w:id="33"/>
        </w:tc>
      </w:tr>
    </w:tbl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a = 0.2</w:t>
      </w:r>
      <w:r>
        <w:t xml:space="preserve"> </w:t>
      </w:r>
      <w:r>
        <w:t xml:space="preserve">случайная составляющая невелика. Значения колеблются около</w:t>
      </w:r>
      <w:r>
        <w:t xml:space="preserve"> </w:t>
      </w:r>
      <w:r>
        <w:t xml:space="preserve">теоретического среднего</w:t>
      </w:r>
      <w:r>
        <w:t xml:space="preserve"> </w:t>
      </w:r>
      <w:r>
        <w:rPr>
          <w:rStyle w:val="VerbatimChar"/>
        </w:rPr>
        <w:t xml:space="preserve">0.56</w:t>
      </w:r>
      <w:r>
        <w:t xml:space="preserve">, поэтому уже короткая серия дает адекватное</w:t>
      </w:r>
      <w:r>
        <w:t xml:space="preserve"> </w:t>
      </w:r>
      <w:r>
        <w:t xml:space="preserve">представление об устойчивом уровне.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7" w:name="fig-a05"/>
          <w:p>
            <w:pPr>
              <w:pStyle w:val="Compact"/>
              <w:jc w:val="center"/>
            </w:pPr>
            <w:r>
              <w:drawing>
                <wp:inline>
                  <wp:extent cx="4907280" cy="225462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./plots/results_a_0_5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254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Серия наблюдений при</w:t>
            </w:r>
            <w:r>
              <w:t xml:space="preserve"> </w:t>
            </w:r>
            <w:r>
              <w:rPr>
                <w:rStyle w:val="VerbatimChar"/>
              </w:rPr>
              <w:t xml:space="preserve">a = 0.5</w:t>
            </w:r>
          </w:p>
          <w:bookmarkEnd w:id="37"/>
        </w:tc>
      </w:tr>
    </w:tbl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a = 0.5</w:t>
      </w:r>
      <w:r>
        <w:t xml:space="preserve"> </w:t>
      </w:r>
      <w:r>
        <w:t xml:space="preserve">разброс заметно увеличивается. Отдельные попытки уже могут</w:t>
      </w:r>
      <w:r>
        <w:t xml:space="preserve"> </w:t>
      </w:r>
      <w:r>
        <w:t xml:space="preserve">существенно отклоняться от средней линии, и по одной реализации трудно судить</w:t>
      </w:r>
      <w:r>
        <w:t xml:space="preserve"> </w:t>
      </w:r>
      <w:r>
        <w:t xml:space="preserve">о реальном качестве объекта.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1" w:name="fig-a08"/>
          <w:p>
            <w:pPr>
              <w:pStyle w:val="Compact"/>
              <w:jc w:val="center"/>
            </w:pPr>
            <w:r>
              <w:drawing>
                <wp:inline>
                  <wp:extent cx="4907280" cy="225462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./plots/results_a_0_8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254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Серия наблюдений при</w:t>
            </w:r>
            <w:r>
              <w:t xml:space="preserve"> </w:t>
            </w:r>
            <w:r>
              <w:rPr>
                <w:rStyle w:val="VerbatimChar"/>
              </w:rPr>
              <w:t xml:space="preserve">a = 0.8</w:t>
            </w:r>
          </w:p>
          <w:bookmarkEnd w:id="41"/>
        </w:tc>
      </w:tr>
    </w:tbl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a = 0.8</w:t>
      </w:r>
      <w:r>
        <w:t xml:space="preserve"> </w:t>
      </w:r>
      <w:r>
        <w:t xml:space="preserve">случайность доминирует. Траектория выглядит хаотичной, а</w:t>
      </w:r>
      <w:r>
        <w:t xml:space="preserve"> </w:t>
      </w:r>
      <w:r>
        <w:t xml:space="preserve">единичное наблюдение почти не несет достоверной информации об умении.</w:t>
      </w:r>
    </w:p>
    <w:bookmarkEnd w:id="42"/>
    <w:bookmarkStart w:id="47" w:name="сходимость-накопленного-среднего"/>
    <w:p>
      <w:pPr>
        <w:pStyle w:val="Heading2"/>
      </w:pPr>
      <w:r>
        <w:t xml:space="preserve">4.4 Сходимость накопленного среднего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6" w:name="fig-running-mean"/>
          <w:p>
            <w:pPr>
              <w:pStyle w:val="Compact"/>
              <w:jc w:val="center"/>
            </w:pPr>
            <w:r>
              <w:drawing>
                <wp:inline>
                  <wp:extent cx="4907280" cy="255178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../plots/running_mean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551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Накопленное среднее результата</w:t>
            </w:r>
          </w:p>
          <w:bookmarkEnd w:id="46"/>
        </w:tc>
      </w:tr>
    </w:tbl>
    <w:p>
      <w:pPr>
        <w:pStyle w:val="BodyText"/>
      </w:pPr>
      <w:r>
        <w:t xml:space="preserve">На этом графике видно, что при увеличении числа наблюдений все траектории</w:t>
      </w:r>
      <w:r>
        <w:t xml:space="preserve"> </w:t>
      </w:r>
      <w:r>
        <w:t xml:space="preserve">постепенно стабилизируются. Однако скорость стабилизации зависит от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a = 0.2</w:t>
      </w:r>
      <w:r>
        <w:t xml:space="preserve"> </w:t>
      </w:r>
      <w:r>
        <w:t xml:space="preserve">среднее быстро выходит к стационарному уровню;</w:t>
      </w:r>
    </w:p>
    <w:p>
      <w:pPr>
        <w:numPr>
          <w:ilvl w:val="0"/>
          <w:numId w:val="1007"/>
        </w:numPr>
        <w:pStyle w:val="Compac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a = 0.5</w:t>
      </w:r>
      <w:r>
        <w:t xml:space="preserve"> </w:t>
      </w:r>
      <w:r>
        <w:t xml:space="preserve">колебания затухают заметно медленнее;</w:t>
      </w:r>
    </w:p>
    <w:p>
      <w:pPr>
        <w:numPr>
          <w:ilvl w:val="0"/>
          <w:numId w:val="1007"/>
        </w:numPr>
        <w:pStyle w:val="Compac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a = 0.8</w:t>
      </w:r>
      <w:r>
        <w:t xml:space="preserve"> </w:t>
      </w:r>
      <w:r>
        <w:t xml:space="preserve">даже после десятков попыток остается значимый шум.</w:t>
      </w:r>
    </w:p>
    <w:p>
      <w:pPr>
        <w:pStyle w:val="FirstParagraph"/>
      </w:pPr>
      <w:r>
        <w:t xml:space="preserve">В выполненной симуляции после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попыток накопленные средние составили</w:t>
      </w:r>
      <w:r>
        <w:t xml:space="preserve"> </w:t>
      </w:r>
      <w:r>
        <w:rPr>
          <w:rStyle w:val="VerbatimChar"/>
        </w:rPr>
        <w:t xml:space="preserve">0.556</w:t>
      </w:r>
      <w:r>
        <w:t xml:space="preserve">,</w:t>
      </w:r>
      <w:r>
        <w:t xml:space="preserve"> </w:t>
      </w:r>
      <w:r>
        <w:rPr>
          <w:rStyle w:val="VerbatimChar"/>
        </w:rPr>
        <w:t xml:space="preserve">0.332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0.123</w:t>
      </w:r>
      <w:r>
        <w:t xml:space="preserve"> </w:t>
      </w:r>
      <w:r>
        <w:t xml:space="preserve">соответственно. Эти значения близки к теоретическим</w:t>
      </w:r>
      <w:r>
        <w:t xml:space="preserve"> </w:t>
      </w:r>
      <w:r>
        <w:t xml:space="preserve">уровням</w:t>
      </w:r>
      <w:r>
        <w:t xml:space="preserve"> </w:t>
      </w:r>
      <w:r>
        <w:rPr>
          <w:rStyle w:val="VerbatimChar"/>
        </w:rPr>
        <w:t xml:space="preserve">0.56</w:t>
      </w:r>
      <w:r>
        <w:t xml:space="preserve">,</w:t>
      </w:r>
      <w:r>
        <w:t xml:space="preserve"> </w:t>
      </w:r>
      <w:r>
        <w:rPr>
          <w:rStyle w:val="VerbatimChar"/>
        </w:rPr>
        <w:t xml:space="preserve">0.35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0.14</w:t>
      </w:r>
      <w:r>
        <w:t xml:space="preserve">, но отклонение при большом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заметно сильнее.</w:t>
      </w:r>
    </w:p>
    <w:p>
      <w:pPr>
        <w:pStyle w:val="BodyText"/>
      </w:pPr>
      <w:r>
        <w:t xml:space="preserve">Именно поэтому короткие рейтинги и разовые победы часто вводят в заблуждение.</w:t>
      </w:r>
    </w:p>
    <w:bookmarkEnd w:id="47"/>
    <w:bookmarkStart w:id="52" w:name="распределение-результатов"/>
    <w:p>
      <w:pPr>
        <w:pStyle w:val="Heading2"/>
      </w:pPr>
      <w:r>
        <w:t xml:space="preserve">4.5 Распределение результатов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1" w:name="fig-distribution"/>
          <w:p>
            <w:pPr>
              <w:pStyle w:val="Compact"/>
              <w:jc w:val="center"/>
            </w:pPr>
            <w:r>
              <w:drawing>
                <wp:inline>
                  <wp:extent cx="4907280" cy="255178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../plots/distribution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551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Распределение результатов для разных значений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  <w:bookmarkEnd w:id="51"/>
        </w:tc>
      </w:tr>
    </w:tbl>
    <w:p>
      <w:pPr>
        <w:pStyle w:val="BodyText"/>
      </w:pPr>
      <w:r>
        <w:t xml:space="preserve">Распределения наглядно показывают рост разброса при увеличении случайной доли.</w:t>
      </w:r>
      <w:r>
        <w:t xml:space="preserve"> </w:t>
      </w:r>
      <w:r>
        <w:t xml:space="preserve">Узкое распределение соответствует режиму, где преобладает умение, а широкое</w:t>
      </w:r>
      <w:r>
        <w:t xml:space="preserve"> </w:t>
      </w:r>
      <w:r>
        <w:t xml:space="preserve">распределение означает высокую вероятность как очень удачных, так и очень</w:t>
      </w:r>
      <w:r>
        <w:t xml:space="preserve"> </w:t>
      </w:r>
      <w:r>
        <w:t xml:space="preserve">неудачных исходов.</w:t>
      </w:r>
    </w:p>
    <w:bookmarkEnd w:id="52"/>
    <w:bookmarkStart w:id="57" w:name="Xe61c8909765f0bba02d1a9e976244b288c609b6"/>
    <w:p>
      <w:pPr>
        <w:pStyle w:val="Heading2"/>
      </w:pPr>
      <w:r>
        <w:t xml:space="preserve">4.6 Надежность оценки при увеличении числа попыток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fig-reliability"/>
          <w:p>
            <w:pPr>
              <w:pStyle w:val="Compact"/>
              <w:jc w:val="center"/>
            </w:pPr>
            <w:r>
              <w:drawing>
                <wp:inline>
                  <wp:extent cx="4907280" cy="255178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plots/reliability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551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Стандартное отклонение среднего результата</w:t>
            </w:r>
          </w:p>
          <w:bookmarkEnd w:id="56"/>
        </w:tc>
      </w:tr>
    </w:tbl>
    <w:p>
      <w:pPr>
        <w:pStyle w:val="BodyText"/>
      </w:pPr>
      <w:r>
        <w:t xml:space="preserve">График подтверждает формулу</w:t>
      </w:r>
      <w:r>
        <w:t xml:space="preserve"> </w:t>
      </w:r>
      <w:r>
        <w:rPr>
          <w:rStyle w:val="VerbatimChar"/>
        </w:rPr>
        <w:t xml:space="preserve">\mathrm{Std}(\overline{X}_n) = a / \sqrt{n}</w:t>
      </w:r>
      <w:r>
        <w:t xml:space="preserve"> </w:t>
      </w:r>
      <w:r>
        <w:t xml:space="preserve">для случая</w:t>
      </w:r>
      <w:r>
        <w:t xml:space="preserve"> </w:t>
      </w:r>
      <w:r>
        <w:rPr>
          <w:rStyle w:val="VerbatimChar"/>
        </w:rPr>
        <w:t xml:space="preserve">Var(Luck) = 1</w:t>
      </w:r>
      <w:r>
        <w:t xml:space="preserve">.</w:t>
      </w:r>
      <w:r>
        <w:t xml:space="preserve"> </w:t>
      </w:r>
      <w:r>
        <w:t xml:space="preserve">Во всех режимах точность растет с числом наблюдений, однако в шумной среде</w:t>
      </w:r>
      <w:r>
        <w:t xml:space="preserve"> </w:t>
      </w:r>
      <w:r>
        <w:t xml:space="preserve">для той же надежности требуется существенно более длинная серия.</w:t>
      </w:r>
    </w:p>
    <w:bookmarkEnd w:id="57"/>
    <w:bookmarkStart w:id="62" w:name="сравнение-двух-участников"/>
    <w:p>
      <w:pPr>
        <w:pStyle w:val="Heading2"/>
      </w:pPr>
      <w:r>
        <w:t xml:space="preserve">4.7 Сравнение двух участников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1" w:name="fig-comparison"/>
          <w:p>
            <w:pPr>
              <w:pStyle w:val="Compact"/>
              <w:jc w:val="center"/>
            </w:pPr>
            <w:r>
              <w:drawing>
                <wp:inline>
                  <wp:extent cx="4907280" cy="196291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plots/comparison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962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Сравнение разности результатов участников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  <w:bookmarkEnd w:id="61"/>
        </w:tc>
      </w:tr>
    </w:tbl>
    <w:p>
      <w:pPr>
        <w:pStyle w:val="BodyText"/>
      </w:pPr>
      <w:r>
        <w:t xml:space="preserve">В эксперименте участник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имеет более высокий уровень умения, чем участник</w:t>
      </w:r>
      <w:r>
        <w:t xml:space="preserve"> </w:t>
      </w:r>
      <w:r>
        <w:rPr>
          <w:rStyle w:val="VerbatimChar"/>
        </w:rPr>
        <w:t xml:space="preserve">B</w:t>
      </w:r>
      <w:r>
        <w:t xml:space="preserve">, но сравнение по одной попытке остается ненадежным из-за большой доли</w:t>
      </w:r>
      <w:r>
        <w:t xml:space="preserve"> </w:t>
      </w:r>
      <w:r>
        <w:t xml:space="preserve">случайности. Когда же сравнивается среднее по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попыткам, распределение</w:t>
      </w:r>
      <w:r>
        <w:t xml:space="preserve"> </w:t>
      </w:r>
      <w:r>
        <w:t xml:space="preserve">разности сужается, и истинное преимущество сильнейшего участника проявляется</w:t>
      </w:r>
      <w:r>
        <w:t xml:space="preserve"> </w:t>
      </w:r>
      <w:r>
        <w:t xml:space="preserve">значительно яснее. В данном прогоне вероятность того, что участник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окажется лучше участника</w:t>
      </w:r>
      <w:r>
        <w:t xml:space="preserve"> </w:t>
      </w:r>
      <w:r>
        <w:rPr>
          <w:rStyle w:val="VerbatimChar"/>
        </w:rPr>
        <w:t xml:space="preserve">B</w:t>
      </w:r>
      <w:r>
        <w:t xml:space="preserve">, выросла с</w:t>
      </w:r>
      <w:r>
        <w:t xml:space="preserve"> </w:t>
      </w:r>
      <w:r>
        <w:rPr>
          <w:rStyle w:val="VerbatimChar"/>
        </w:rPr>
        <w:t xml:space="preserve">54.3%</w:t>
      </w:r>
      <w:r>
        <w:t xml:space="preserve"> </w:t>
      </w:r>
      <w:r>
        <w:t xml:space="preserve">для одной попытки до</w:t>
      </w:r>
      <w:r>
        <w:t xml:space="preserve"> </w:t>
      </w:r>
      <w:r>
        <w:rPr>
          <w:rStyle w:val="VerbatimChar"/>
        </w:rPr>
        <w:t xml:space="preserve">79.0%</w:t>
      </w:r>
      <w:r>
        <w:t xml:space="preserve"> </w:t>
      </w:r>
      <w:r>
        <w:t xml:space="preserve">для среднего по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попыткам. При этом стандартное отклонение разности</w:t>
      </w:r>
      <w:r>
        <w:t xml:space="preserve"> </w:t>
      </w:r>
      <w:r>
        <w:t xml:space="preserve">уменьшилось с</w:t>
      </w:r>
      <w:r>
        <w:t xml:space="preserve"> </w:t>
      </w:r>
      <w:r>
        <w:rPr>
          <w:rStyle w:val="VerbatimChar"/>
        </w:rPr>
        <w:t xml:space="preserve">0.849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0.120</w:t>
      </w:r>
      <w:r>
        <w:t xml:space="preserve">.</w:t>
      </w:r>
    </w:p>
    <w:bookmarkEnd w:id="62"/>
    <w:bookmarkStart w:id="65" w:name="сводка-по-модели"/>
    <w:p>
      <w:pPr>
        <w:pStyle w:val="Heading2"/>
      </w:pPr>
      <w:r>
        <w:t xml:space="preserve">4.8 Сводка по модели</w:t>
      </w:r>
    </w:p>
    <w:p>
      <w:pPr>
        <w:pStyle w:val="FirstParagraph"/>
      </w:pPr>
      <w:r>
        <w:t xml:space="preserve">С теоретической точки зрения ожидаемые значения для выбранных параметров равны: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3" w:name="tbl-the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2: Теоретические характеристики модели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E[X] = (1-a) * Skill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Var(X) = a^2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0.64</w:t>
                  </w:r>
                </w:p>
              </w:tc>
            </w:tr>
          </w:tbl>
          <w:bookmarkEnd w:id="63"/>
          <w:p/>
        </w:tc>
      </w:tr>
    </w:tbl>
    <w:p>
      <w:pPr>
        <w:pStyle w:val="BodyText"/>
      </w:pPr>
      <w:r>
        <w:t xml:space="preserve">Эмпирическая симуляция согласуется с этими оценками: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4" w:name="tbl-empirical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3: Эмпирические характеристики симуляции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Эмпирическое среднее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Эмпирическая дисперсия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Итоговое накопленное среднее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0.556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0.556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0.332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0.267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0.332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0.123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0.686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0.123</w:t>
                  </w:r>
                </w:p>
              </w:tc>
            </w:tr>
          </w:tbl>
          <w:bookmarkEnd w:id="64"/>
          <w:p/>
        </w:tc>
      </w:tr>
    </w:tbl>
    <w:p>
      <w:pPr>
        <w:pStyle w:val="BodyText"/>
      </w:pPr>
      <w:r>
        <w:t xml:space="preserve">Рост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не меняет саму логику усреднения, но резко увеличивает шум каждой</w:t>
      </w:r>
      <w:r>
        <w:t xml:space="preserve"> </w:t>
      </w:r>
      <w:r>
        <w:t xml:space="preserve">отдельной реализации. Это делает главной практической задачей не наблюдение</w:t>
      </w:r>
      <w:r>
        <w:t xml:space="preserve"> </w:t>
      </w:r>
      <w:r>
        <w:t xml:space="preserve">единичного исхода, а сбор достаточно длинной серии.</w:t>
      </w:r>
    </w:p>
    <w:bookmarkEnd w:id="65"/>
    <w:bookmarkEnd w:id="66"/>
    <w:bookmarkStart w:id="71" w:name="практические-интерпретации"/>
    <w:p>
      <w:pPr>
        <w:pStyle w:val="Heading1"/>
      </w:pPr>
      <w:r>
        <w:t xml:space="preserve">5. Практические интерпретации</w:t>
      </w:r>
    </w:p>
    <w:bookmarkStart w:id="67" w:name="спорт"/>
    <w:p>
      <w:pPr>
        <w:pStyle w:val="Heading2"/>
      </w:pPr>
      <w:r>
        <w:t xml:space="preserve">5.1 Спорт</w:t>
      </w:r>
    </w:p>
    <w:p>
      <w:pPr>
        <w:pStyle w:val="FirstParagraph"/>
      </w:pPr>
      <w:r>
        <w:t xml:space="preserve">В спортивных соревнованиях на исход одной игры влияют судейские решения,</w:t>
      </w:r>
      <w:r>
        <w:t xml:space="preserve"> </w:t>
      </w:r>
      <w:r>
        <w:t xml:space="preserve">локальные ошибки, травмы, покрытие, погода и множество единичных событий.</w:t>
      </w:r>
      <w:r>
        <w:t xml:space="preserve"> </w:t>
      </w:r>
      <w:r>
        <w:t xml:space="preserve">Поэтому результат отдельного матча может противоречить реальной силе команд,</w:t>
      </w:r>
      <w:r>
        <w:t xml:space="preserve"> </w:t>
      </w:r>
      <w:r>
        <w:t xml:space="preserve">а длинный турнир обычно отражает ее точнее. Схожие эмпирические попытки</w:t>
      </w:r>
      <w:r>
        <w:t xml:space="preserve"> </w:t>
      </w:r>
      <w:r>
        <w:t xml:space="preserve">разделить вклад мастерства и случайности рассматриваются, например, в</w:t>
      </w:r>
      <w:r>
        <w:t xml:space="preserve"> </w:t>
      </w:r>
      <w:r>
        <w:t xml:space="preserve">работах о покере и сравнении игр с разной долей шанса</w:t>
      </w:r>
      <w:r>
        <w:t xml:space="preserve"> </w:t>
      </w:r>
      <w:r>
        <w:t xml:space="preserve">[4,5]</w:t>
      </w:r>
      <w:r>
        <w:t xml:space="preserve">.</w:t>
      </w:r>
    </w:p>
    <w:bookmarkEnd w:id="67"/>
    <w:bookmarkStart w:id="68" w:name="финансы-и-инвестиции"/>
    <w:p>
      <w:pPr>
        <w:pStyle w:val="Heading2"/>
      </w:pPr>
      <w:r>
        <w:t xml:space="preserve">5.2 Финансы и инвестиции</w:t>
      </w:r>
    </w:p>
    <w:p>
      <w:pPr>
        <w:pStyle w:val="FirstParagraph"/>
      </w:pPr>
      <w:r>
        <w:t xml:space="preserve">Высокая доходность за один месяц или квартал может возникнуть как следствие</w:t>
      </w:r>
      <w:r>
        <w:t xml:space="preserve"> </w:t>
      </w:r>
      <w:r>
        <w:t xml:space="preserve">рыночного шума, а не качества стратегии. Для отделения мастерства от удачи</w:t>
      </w:r>
      <w:r>
        <w:t xml:space="preserve"> </w:t>
      </w:r>
      <w:r>
        <w:t xml:space="preserve">нужны длинные временные ряды, сравнение с бенчмарком и учет риска.</w:t>
      </w:r>
    </w:p>
    <w:bookmarkEnd w:id="68"/>
    <w:bookmarkStart w:id="69" w:name="образование-и-экзамены"/>
    <w:p>
      <w:pPr>
        <w:pStyle w:val="Heading2"/>
      </w:pPr>
      <w:r>
        <w:t xml:space="preserve">5.3 Образование и экзамены</w:t>
      </w:r>
    </w:p>
    <w:p>
      <w:pPr>
        <w:pStyle w:val="FirstParagraph"/>
      </w:pPr>
      <w:r>
        <w:t xml:space="preserve">Один тест не всегда точно измеряет знания: на результат влияют знакомство с</w:t>
      </w:r>
      <w:r>
        <w:t xml:space="preserve"> </w:t>
      </w:r>
      <w:r>
        <w:t xml:space="preserve">конкретными вопросами, волнение и элемент угадывания. Поэтому более надежная</w:t>
      </w:r>
      <w:r>
        <w:t xml:space="preserve"> </w:t>
      </w:r>
      <w:r>
        <w:t xml:space="preserve">оценка строится по серии независимых заданий и нескольким формам контроля.</w:t>
      </w:r>
    </w:p>
    <w:bookmarkEnd w:id="69"/>
    <w:bookmarkStart w:id="70" w:name="машинное-обучение"/>
    <w:p>
      <w:pPr>
        <w:pStyle w:val="Heading2"/>
      </w:pPr>
      <w:r>
        <w:t xml:space="preserve">5.4 Машинное обучение</w:t>
      </w:r>
    </w:p>
    <w:p>
      <w:pPr>
        <w:pStyle w:val="FirstParagraph"/>
      </w:pPr>
      <w:r>
        <w:t xml:space="preserve">В машинном обучении случайность появляется из-за случайной инициализации,</w:t>
      </w:r>
      <w:r>
        <w:t xml:space="preserve"> </w:t>
      </w:r>
      <w:r>
        <w:t xml:space="preserve">разбиения на обучающую и тестовую выборки и шума в данных. Именно поэтому</w:t>
      </w:r>
      <w:r>
        <w:t xml:space="preserve"> </w:t>
      </w:r>
      <w:r>
        <w:t xml:space="preserve">качество модели следует оценивать по нескольким запускам, а не по одному</w:t>
      </w:r>
      <w:r>
        <w:t xml:space="preserve"> </w:t>
      </w:r>
      <w:r>
        <w:t xml:space="preserve">удачному измерению метрики.</w:t>
      </w:r>
    </w:p>
    <w:bookmarkEnd w:id="70"/>
    <w:bookmarkEnd w:id="71"/>
    <w:bookmarkStart w:id="72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работы исходный текст доклада был преобразован в стандартный для</w:t>
      </w:r>
      <w:r>
        <w:t xml:space="preserve"> </w:t>
      </w:r>
      <w:r>
        <w:t xml:space="preserve">репозитория формат отчета и дополнен воспроизводимой симуляцией. Анализ модели</w:t>
      </w:r>
      <w:r>
        <w:t xml:space="preserve"> </w:t>
      </w:r>
      <w:r>
        <w:t xml:space="preserve">показал:</w:t>
      </w:r>
    </w:p>
    <w:p>
      <w:pPr>
        <w:numPr>
          <w:ilvl w:val="0"/>
          <w:numId w:val="1008"/>
        </w:numPr>
        <w:pStyle w:val="Compact"/>
      </w:pPr>
      <w:r>
        <w:t xml:space="preserve">наблюдаемый результат естественно представлять как смесь умения и удачи;</w:t>
      </w:r>
    </w:p>
    <w:p>
      <w:pPr>
        <w:numPr>
          <w:ilvl w:val="0"/>
          <w:numId w:val="1008"/>
        </w:numPr>
        <w:pStyle w:val="Compact"/>
      </w:pPr>
      <w:r>
        <w:t xml:space="preserve">рост параметра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квадратично увеличивает разброс результатов;</w:t>
      </w:r>
    </w:p>
    <w:p>
      <w:pPr>
        <w:numPr>
          <w:ilvl w:val="0"/>
          <w:numId w:val="1008"/>
        </w:numPr>
        <w:pStyle w:val="Compact"/>
      </w:pPr>
      <w:r>
        <w:t xml:space="preserve">единичное наблюдение ненадежно в системах с высокой случайностью;</w:t>
      </w:r>
    </w:p>
    <w:p>
      <w:pPr>
        <w:numPr>
          <w:ilvl w:val="0"/>
          <w:numId w:val="1008"/>
        </w:numPr>
        <w:pStyle w:val="Compact"/>
      </w:pPr>
      <w:r>
        <w:t xml:space="preserve">среднее по длинной серии гораздо лучше отражает устойчивый уровень;</w:t>
      </w:r>
    </w:p>
    <w:p>
      <w:pPr>
        <w:numPr>
          <w:ilvl w:val="0"/>
          <w:numId w:val="1008"/>
        </w:numPr>
        <w:pStyle w:val="Compact"/>
      </w:pPr>
      <w:r>
        <w:t xml:space="preserve">модель полезна для интерпретации результатов в спорте, финансах,</w:t>
      </w:r>
      <w:r>
        <w:t xml:space="preserve"> </w:t>
      </w:r>
      <w:r>
        <w:t xml:space="preserve">образовании и машинном обучении.</w:t>
      </w:r>
    </w:p>
    <w:bookmarkEnd w:id="72"/>
    <w:bookmarkStart w:id="84" w:name="список-источников"/>
    <w:p>
      <w:pPr>
        <w:pStyle w:val="Heading1"/>
      </w:pPr>
      <w:r>
        <w:t xml:space="preserve">7. Список источников</w:t>
      </w:r>
    </w:p>
    <w:bookmarkStart w:id="83" w:name="refs"/>
    <w:bookmarkStart w:id="74" w:name="ref-mauboussin201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Mauboussin M.</w:t>
      </w:r>
      <w:r>
        <w:t xml:space="preserve"> </w:t>
      </w:r>
      <w:hyperlink r:id="rId73">
        <w:r>
          <w:rPr>
            <w:rStyle w:val="Hyperlink"/>
          </w:rPr>
          <w:t xml:space="preserve">The Success Equation: Untangling Skill and Luck in Business, Sports, and Investing</w:t>
        </w:r>
      </w:hyperlink>
      <w:r>
        <w:t xml:space="preserve">. Boston: Harvard Business School Press, 2012.</w:t>
      </w:r>
    </w:p>
    <w:bookmarkEnd w:id="74"/>
    <w:bookmarkStart w:id="76" w:name="ref-ross2019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Ross S. M.</w:t>
      </w:r>
      <w:r>
        <w:t xml:space="preserve"> </w:t>
      </w:r>
      <w:hyperlink r:id="rId75">
        <w:r>
          <w:rPr>
            <w:rStyle w:val="Hyperlink"/>
          </w:rPr>
          <w:t xml:space="preserve">Introduction to Probability Models</w:t>
        </w:r>
      </w:hyperlink>
      <w:r>
        <w:t xml:space="preserve">. 12-е изд. Academic Press, 2019.</w:t>
      </w:r>
    </w:p>
    <w:bookmarkEnd w:id="76"/>
    <w:bookmarkStart w:id="78" w:name="ref-wasserman2004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Wasserman L.</w:t>
      </w:r>
      <w:r>
        <w:t xml:space="preserve"> </w:t>
      </w:r>
      <w:hyperlink r:id="rId77">
        <w:r>
          <w:rPr>
            <w:rStyle w:val="Hyperlink"/>
          </w:rPr>
          <w:t xml:space="preserve">All of Statistics: A Concise Course in Statistical Inference</w:t>
        </w:r>
      </w:hyperlink>
      <w:r>
        <w:t xml:space="preserve">. New York: Springer, 2004.</w:t>
      </w:r>
    </w:p>
    <w:bookmarkEnd w:id="78"/>
    <w:bookmarkStart w:id="80" w:name="ref-levitt2014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Levitt S. D., Miles T. J.</w:t>
      </w:r>
      <w:r>
        <w:t xml:space="preserve"> </w:t>
      </w:r>
      <w:hyperlink r:id="rId79">
        <w:r>
          <w:rPr>
            <w:rStyle w:val="Hyperlink"/>
          </w:rPr>
          <w:t xml:space="preserve">The Role of Skill Versus Luck in Poker: Evidence From the World Series of Poker</w:t>
        </w:r>
      </w:hyperlink>
      <w:r>
        <w:t xml:space="preserve"> </w:t>
      </w:r>
      <w:r>
        <w:t xml:space="preserve">// Journal of Sports Economics. 2014. Т. 15, № 1. С. 31–44.</w:t>
      </w:r>
    </w:p>
    <w:bookmarkEnd w:id="80"/>
    <w:bookmarkStart w:id="82" w:name="ref-duersch2020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Duersch P., Lambrecht M., Oechssler J.</w:t>
      </w:r>
      <w:r>
        <w:t xml:space="preserve"> </w:t>
      </w:r>
      <w:hyperlink r:id="rId81">
        <w:r>
          <w:rPr>
            <w:rStyle w:val="Hyperlink"/>
          </w:rPr>
          <w:t xml:space="preserve">Measuring Skill and Chance in Games</w:t>
        </w:r>
      </w:hyperlink>
      <w:r>
        <w:t xml:space="preserve"> </w:t>
      </w:r>
      <w:r>
        <w:t xml:space="preserve">// European Economic Review. 2020. Т. 127. С. 103472.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hyperlink" Id="rId73" Target="https://business.columbia.edu/faculty/research/success-equation-untangling-skill-and-luck-business-sports-and-investing" TargetMode="External" /><Relationship Type="http://schemas.openxmlformats.org/officeDocument/2006/relationships/hyperlink" Id="rId77" Target="https://doi.org/10.1007/978-0-387-21736-9" TargetMode="External" /><Relationship Type="http://schemas.openxmlformats.org/officeDocument/2006/relationships/hyperlink" Id="rId75" Target="https://doi.org/10.1016/C2017-0-01324-1" TargetMode="External" /><Relationship Type="http://schemas.openxmlformats.org/officeDocument/2006/relationships/hyperlink" Id="rId81" Target="https://doi.org/10.1016/j.euroecorev.2020.103472" TargetMode="External" /><Relationship Type="http://schemas.openxmlformats.org/officeDocument/2006/relationships/hyperlink" Id="rId79" Target="https://doi.org/10.1177/152700251244947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business.columbia.edu/faculty/research/success-equation-untangling-skill-and-luck-business-sports-and-investing" TargetMode="External" /><Relationship Type="http://schemas.openxmlformats.org/officeDocument/2006/relationships/hyperlink" Id="rId77" Target="https://doi.org/10.1007/978-0-387-21736-9" TargetMode="External" /><Relationship Type="http://schemas.openxmlformats.org/officeDocument/2006/relationships/hyperlink" Id="rId75" Target="https://doi.org/10.1016/C2017-0-01324-1" TargetMode="External" /><Relationship Type="http://schemas.openxmlformats.org/officeDocument/2006/relationships/hyperlink" Id="rId81" Target="https://doi.org/10.1016/j.euroecorev.2020.103472" TargetMode="External" /><Relationship Type="http://schemas.openxmlformats.org/officeDocument/2006/relationships/hyperlink" Id="rId79" Target="https://doi.org/10.1177/152700251244947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Ведьмина Александра Сергеевна</dc:creator>
  <dc:language>ru-RU</dc:language>
  <cp:keywords/>
  <dcterms:created xsi:type="dcterms:W3CDTF">2026-04-25T00:56:02Z</dcterms:created>
  <dcterms:modified xsi:type="dcterms:W3CDTF">2026-04-25T00:56:02Z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Доклад. Модель «Умение и удача»</vt:lpwstr>
  </property>
  <property fmtid="{D5CDD505-2E9C-101B-9397-08002B2CF9AE}" pid="16" name="toc-title">
    <vt:lpwstr>Содержание</vt:lpwstr>
  </property>
</Properties>
</file>