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Project Design Phase-II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Technology Stack (Architecture &amp; Stack)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6101"/>
        <w:gridCol w:w="2900"/>
      </w:tblGrid>
      <w:tr>
        <w:trPr>
          <w:trHeight w:val="360" w:hRule="auto"/>
          <w:jc w:val="center"/>
        </w:trPr>
        <w:tc>
          <w:tcPr>
            <w:tcW w:w="61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2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27.03.2026</w:t>
            </w:r>
          </w:p>
        </w:tc>
      </w:tr>
      <w:tr>
        <w:trPr>
          <w:trHeight w:val="1" w:hRule="atLeast"/>
          <w:jc w:val="center"/>
        </w:trPr>
        <w:tc>
          <w:tcPr>
            <w:tcW w:w="61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2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69bf8031c1eab70902258949</w:t>
            </w:r>
          </w:p>
        </w:tc>
      </w:tr>
      <w:tr>
        <w:trPr>
          <w:trHeight w:val="1" w:hRule="atLeast"/>
          <w:jc w:val="center"/>
        </w:trPr>
        <w:tc>
          <w:tcPr>
            <w:tcW w:w="61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2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Enforcing Mandatory Fields Using UI Policies and Migrating Changes with Update Sets</w:t>
            </w:r>
          </w:p>
        </w:tc>
      </w:tr>
      <w:tr>
        <w:trPr>
          <w:trHeight w:val="1" w:hRule="atLeast"/>
          <w:jc w:val="center"/>
        </w:trPr>
        <w:tc>
          <w:tcPr>
            <w:tcW w:w="61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2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1. Technology Stack: UI Policies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UI Policies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are the primary client-side logic layer used to manage form behavior without writing code.</w:t>
      </w:r>
    </w:p>
    <w:p>
      <w:pPr>
        <w:numPr>
          <w:ilvl w:val="0"/>
          <w:numId w:val="1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Execution Level: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Client-side (runs in the browser).</w:t>
      </w:r>
    </w:p>
    <w:p>
      <w:pPr>
        <w:numPr>
          <w:ilvl w:val="0"/>
          <w:numId w:val="1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Trigger: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Executes when a form loads or when a specific field value changes.</w:t>
      </w:r>
    </w:p>
    <w:p>
      <w:pPr>
        <w:numPr>
          <w:ilvl w:val="0"/>
          <w:numId w:val="1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Architecture Components:</w:t>
      </w:r>
    </w:p>
    <w:p>
      <w:pPr>
        <w:numPr>
          <w:ilvl w:val="0"/>
          <w:numId w:val="14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Condition Builder: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 no-code interface used to define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when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 field should be mandatory (e.g.,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State is Resolved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).</w:t>
      </w:r>
    </w:p>
    <w:p>
      <w:pPr>
        <w:numPr>
          <w:ilvl w:val="0"/>
          <w:numId w:val="14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UI Policy Actions: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The specific instructions tied to the policy that set field attributes: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Mandatory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Visible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or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Read-only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4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UI Type: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Can be set to "Desktop," "Mobile/Service Portal," or "All" to ensure cross-platform enforcement.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[!TIP]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Data Integrity Note: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UI Policies only work on forms. To enforce mandatory fields during data imports or "list edits," you should pair them with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Data Policies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which execute on the server side.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2. Technology Stack: Update Sets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Update Sets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act as the "transport container" for moving configurations between ServiceNow instances (e.g., from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Development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Production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).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Architecture Role: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Configuration Management and Deployment.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Tracked Changes: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Update sets automatically capture "metadata" changes, including:</w:t>
      </w:r>
    </w:p>
    <w:p>
      <w:pPr>
        <w:numPr>
          <w:ilvl w:val="0"/>
          <w:numId w:val="20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Table definitions and Dictionary entries.</w:t>
      </w:r>
    </w:p>
    <w:p>
      <w:pPr>
        <w:numPr>
          <w:ilvl w:val="0"/>
          <w:numId w:val="20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UI Policies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and UI Policy Actions.</w:t>
      </w:r>
    </w:p>
    <w:p>
      <w:pPr>
        <w:numPr>
          <w:ilvl w:val="0"/>
          <w:numId w:val="20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Client Scripts and Business Rules.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Non-Tracked Data: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They do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not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capture "transactional data" like specific Incident records, User records, or Tasks.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3. Implementation &amp; Migration Workflow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following table outlines the technical process of enforcing a field and migrating it:</w:t>
      </w:r>
    </w:p>
    <w:tbl>
      <w:tblPr/>
      <w:tblGrid>
        <w:gridCol w:w="1428"/>
        <w:gridCol w:w="1619"/>
        <w:gridCol w:w="6089"/>
      </w:tblGrid>
      <w:tr>
        <w:trPr>
          <w:trHeight w:val="1" w:hRule="atLeast"/>
          <w:jc w:val="left"/>
        </w:trPr>
        <w:tc>
          <w:tcPr>
            <w:tcW w:w="14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Phase</w:t>
            </w:r>
          </w:p>
        </w:tc>
        <w:tc>
          <w:tcPr>
            <w:tcW w:w="16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Tool/Feature</w:t>
            </w:r>
          </w:p>
        </w:tc>
        <w:tc>
          <w:tcPr>
            <w:tcW w:w="60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Action</w:t>
            </w:r>
          </w:p>
        </w:tc>
      </w:tr>
      <w:tr>
        <w:trPr>
          <w:trHeight w:val="1" w:hRule="atLeast"/>
          <w:jc w:val="left"/>
        </w:trPr>
        <w:tc>
          <w:tcPr>
            <w:tcW w:w="14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Preparation</w:t>
            </w:r>
          </w:p>
        </w:tc>
        <w:tc>
          <w:tcPr>
            <w:tcW w:w="16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Update Set</w:t>
            </w:r>
          </w:p>
        </w:tc>
        <w:tc>
          <w:tcPr>
            <w:tcW w:w="60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Create and "Set Selection" to a new Update Set (e.g., "v1.0 - Mandatory Field Logic").</w:t>
            </w:r>
          </w:p>
        </w:tc>
      </w:tr>
      <w:tr>
        <w:trPr>
          <w:trHeight w:val="1" w:hRule="atLeast"/>
          <w:jc w:val="left"/>
        </w:trPr>
        <w:tc>
          <w:tcPr>
            <w:tcW w:w="14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Enforcement</w:t>
            </w:r>
          </w:p>
        </w:tc>
        <w:tc>
          <w:tcPr>
            <w:tcW w:w="16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UI Policy</w:t>
            </w:r>
          </w:p>
        </w:tc>
        <w:tc>
          <w:tcPr>
            <w:tcW w:w="60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Define conditions and add a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UI Policy Action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setting the field to </w:t>
            </w: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shd w:fill="auto" w:val="clear"/>
              </w:rPr>
              <w:t xml:space="preserve">Mandatory = True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</w:tc>
      </w:tr>
      <w:tr>
        <w:trPr>
          <w:trHeight w:val="1" w:hRule="atLeast"/>
          <w:jc w:val="left"/>
        </w:trPr>
        <w:tc>
          <w:tcPr>
            <w:tcW w:w="14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Validation</w:t>
            </w:r>
          </w:p>
        </w:tc>
        <w:tc>
          <w:tcPr>
            <w:tcW w:w="16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Form View</w:t>
            </w:r>
          </w:p>
        </w:tc>
        <w:tc>
          <w:tcPr>
            <w:tcW w:w="60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Test the form in the Dev instance to ensure the red asterisk appears and prevents submission when empty.</w:t>
            </w:r>
          </w:p>
        </w:tc>
      </w:tr>
      <w:tr>
        <w:trPr>
          <w:trHeight w:val="1" w:hRule="atLeast"/>
          <w:jc w:val="left"/>
        </w:trPr>
        <w:tc>
          <w:tcPr>
            <w:tcW w:w="14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Closure</w:t>
            </w:r>
          </w:p>
        </w:tc>
        <w:tc>
          <w:tcPr>
            <w:tcW w:w="16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Update Set</w:t>
            </w:r>
          </w:p>
        </w:tc>
        <w:tc>
          <w:tcPr>
            <w:tcW w:w="60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Change the state of the Update Set from </w:t>
            </w: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shd w:fill="auto" w:val="clear"/>
              </w:rPr>
              <w:t xml:space="preserve">In Progress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to </w:t>
            </w: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shd w:fill="auto" w:val="clear"/>
              </w:rPr>
              <w:t xml:space="preserve">Complete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</w:tc>
      </w:tr>
      <w:tr>
        <w:trPr>
          <w:trHeight w:val="1" w:hRule="atLeast"/>
          <w:jc w:val="left"/>
        </w:trPr>
        <w:tc>
          <w:tcPr>
            <w:tcW w:w="14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Migration</w:t>
            </w:r>
          </w:p>
        </w:tc>
        <w:tc>
          <w:tcPr>
            <w:tcW w:w="16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Remote Instance</w:t>
            </w:r>
          </w:p>
        </w:tc>
        <w:tc>
          <w:tcPr>
            <w:tcW w:w="60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"Preview" the Update Set in the Target instance to check for conflicts, then "Commit" to apply changes.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4. Architecture Summary</w:t>
      </w:r>
    </w:p>
    <w:p>
      <w:pPr>
        <w:numPr>
          <w:ilvl w:val="0"/>
          <w:numId w:val="4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UI Layer: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Managed by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UI Policies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for immediate user feedback.</w:t>
      </w:r>
    </w:p>
    <w:p>
      <w:pPr>
        <w:numPr>
          <w:ilvl w:val="0"/>
          <w:numId w:val="4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Database Layer: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Managed by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Data Policies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or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Dictionary Entries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for permanent enforcement.</w:t>
      </w:r>
    </w:p>
    <w:p>
      <w:pPr>
        <w:numPr>
          <w:ilvl w:val="0"/>
          <w:numId w:val="4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Lifecycle Layer: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Managed by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Update Sets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to ensure environment parity and version control.</w:t>
      </w:r>
    </w:p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REFERENCE LINK:</w:t>
      </w:r>
    </w:p>
    <w:p>
      <w:pPr>
        <w:numPr>
          <w:ilvl w:val="0"/>
          <w:numId w:val="43"/>
        </w:numPr>
        <w:spacing w:before="0" w:after="160" w:line="278"/>
        <w:ind w:right="0" w:left="2208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b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https://www.youtube.com/watch?t=13</w:t>
        </w:r>
        <w:r>
          <w:rPr>
            <w:rFonts w:ascii="Times New Roman" w:hAnsi="Times New Roman" w:cs="Times New Roman" w:eastAsia="Times New Roman"/>
            <w:b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"https://www.youtube.com/watch?t=13&amp;v=jvJaFGXg9X8"</w:t>
        </w:r>
        <w:r>
          <w:rPr>
            <w:rFonts w:ascii="Times New Roman" w:hAnsi="Times New Roman" w:cs="Times New Roman" w:eastAsia="Times New Roman"/>
            <w:b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"https://www.youtube.com/watch?t=13</w:t>
        </w:r>
        <w:r>
          <w:rPr>
            <w:rFonts w:ascii="Times New Roman" w:hAnsi="Times New Roman" w:cs="Times New Roman" w:eastAsia="Times New Roman"/>
            <w:b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"https://www.youtube.com/watch?t=13&amp;v=jvJaFGXg9X8"</w:t>
        </w:r>
        <w:r>
          <w:rPr>
            <w:rFonts w:ascii="Times New Roman" w:hAnsi="Times New Roman" w:cs="Times New Roman" w:eastAsia="Times New Roman"/>
            <w:b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&amp;</w:t>
        </w:r>
        <w:r>
          <w:rPr>
            <w:rFonts w:ascii="Times New Roman" w:hAnsi="Times New Roman" w:cs="Times New Roman" w:eastAsia="Times New Roman"/>
            <w:b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"https://www.youtube.com/watch?t=13&amp;v=jvJaFGXg9X8"</w:t>
        </w:r>
        <w:r>
          <w:rPr>
            <w:rFonts w:ascii="Times New Roman" w:hAnsi="Times New Roman" w:cs="Times New Roman" w:eastAsia="Times New Roman"/>
            <w:b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v=jvJaFGXg9X8"</w:t>
        </w:r>
        <w:r>
          <w:rPr>
            <w:rFonts w:ascii="Times New Roman" w:hAnsi="Times New Roman" w:cs="Times New Roman" w:eastAsia="Times New Roman"/>
            <w:b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"https://www.youtube.com/watch?t=13&amp;v=jvJaFGXg9X8"</w:t>
        </w:r>
        <w:r>
          <w:rPr>
            <w:rFonts w:ascii="Times New Roman" w:hAnsi="Times New Roman" w:cs="Times New Roman" w:eastAsia="Times New Roman"/>
            <w:b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&amp;</w:t>
        </w:r>
        <w:r>
          <w:rPr>
            <w:rFonts w:ascii="Times New Roman" w:hAnsi="Times New Roman" w:cs="Times New Roman" w:eastAsia="Times New Roman"/>
            <w:b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"https://www.youtube.com/watch?t=13&amp;v=jvJaFGXg9X8"</w:t>
        </w:r>
        <w:r>
          <w:rPr>
            <w:rFonts w:ascii="Times New Roman" w:hAnsi="Times New Roman" w:cs="Times New Roman" w:eastAsia="Times New Roman"/>
            <w:b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"https://www.youtube.com/watch?t=13</w:t>
        </w:r>
        <w:r>
          <w:rPr>
            <w:rFonts w:ascii="Times New Roman" w:hAnsi="Times New Roman" w:cs="Times New Roman" w:eastAsia="Times New Roman"/>
            <w:b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"https://www.youtube.com/watch?t=13&amp;v=jvJaFGXg9X8"</w:t>
        </w:r>
        <w:r>
          <w:rPr>
            <w:rFonts w:ascii="Times New Roman" w:hAnsi="Times New Roman" w:cs="Times New Roman" w:eastAsia="Times New Roman"/>
            <w:b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&amp;</w:t>
        </w:r>
        <w:r>
          <w:rPr>
            <w:rFonts w:ascii="Times New Roman" w:hAnsi="Times New Roman" w:cs="Times New Roman" w:eastAsia="Times New Roman"/>
            <w:b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"https://www.youtube.com/watch?t=13&amp;v=jvJaFGXg9X8"</w:t>
        </w:r>
        <w:r>
          <w:rPr>
            <w:rFonts w:ascii="Times New Roman" w:hAnsi="Times New Roman" w:cs="Times New Roman" w:eastAsia="Times New Roman"/>
            <w:b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v=jvJaFGXg9X8"</w:t>
        </w:r>
        <w:r>
          <w:rPr>
            <w:rFonts w:ascii="Times New Roman" w:hAnsi="Times New Roman" w:cs="Times New Roman" w:eastAsia="Times New Roman"/>
            <w:b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"https://www.youtube.com/watch?t=13&amp;v=jvJaFGXg9X8"</w:t>
        </w:r>
        <w:r>
          <w:rPr>
            <w:rFonts w:ascii="Times New Roman" w:hAnsi="Times New Roman" w:cs="Times New Roman" w:eastAsia="Times New Roman"/>
            <w:b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v=jvJaFGXg9X8</w:t>
        </w:r>
      </w:hyperlink>
    </w:p>
    <w:p>
      <w:pPr>
        <w:spacing w:before="0" w:after="160" w:line="278"/>
        <w:ind w:right="0" w:left="2208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2208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2208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6904" w:dyaOrig="4778">
          <v:rect xmlns:o="urn:schemas-microsoft-com:office:office" xmlns:v="urn:schemas-microsoft-com:vml" id="rectole0000000000" style="width:345.200000pt;height:238.90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14">
    <w:abstractNumId w:val="18"/>
  </w:num>
  <w:num w:numId="20">
    <w:abstractNumId w:val="12"/>
  </w:num>
  <w:num w:numId="41">
    <w:abstractNumId w:val="6"/>
  </w:num>
  <w:num w:numId="4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1" Type="http://schemas.openxmlformats.org/officeDocument/2006/relationships/oleObject" /><Relationship Target="numbering.xml" Id="docRId3" Type="http://schemas.openxmlformats.org/officeDocument/2006/relationships/numbering" /><Relationship TargetMode="External" Target="https://www.youtube.com/watch?t=13&amp;v=jvJaFGXg9X8" Id="docRId0" Type="http://schemas.openxmlformats.org/officeDocument/2006/relationships/hyperlink" /><Relationship Target="media/image0.wmf" Id="docRId2" Type="http://schemas.openxmlformats.org/officeDocument/2006/relationships/image" /><Relationship Target="styles.xml" Id="docRId4" Type="http://schemas.openxmlformats.org/officeDocument/2006/relationships/styles" /></Relationships>
</file>