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Горизонтальная линия" id="1" name="image2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Изображение" id="3" name="image1.jpg"/>
            <a:graphic>
              <a:graphicData uri="http://schemas.openxmlformats.org/drawingml/2006/picture">
                <pic:pic>
                  <pic:nvPicPr>
                    <pic:cNvPr descr="Изображе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nigno5znex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14.12.2021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Обзор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данном документе описывается реализация программного решения (далее приложение), создаваемого на основе платформы 1С:Предприятие 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Приложение создается как прототип, на котором можно быстро продумать функциональность и в дальнейшем реализовать ее на других технологиях.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 это - электронная площадка на которой пользователи могут совершать транзакции. Например Покупатель (участник сообщества) приобретает что-то за определенную сумму у другого участника. При этом Покупатель понимает что Х процентов от суммы покупки остается на его счете.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Существует прозрачная система проектов. Пользователь может распределить сумму со своего счета между проектами так как захочет.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7uq0q17hjr9e" w:id="5"/>
      <w:bookmarkEnd w:id="5"/>
      <w:r w:rsidDel="00000000" w:rsidR="00000000" w:rsidRPr="00000000">
        <w:rPr>
          <w:rtl w:val="0"/>
        </w:rPr>
        <w:t xml:space="preserve">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Участник сообщества - пользователь приложения, принявший условия сообщества.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Транзакция -</w:t>
      </w:r>
    </w:p>
    <w:p w:rsidR="00000000" w:rsidDel="00000000" w:rsidP="00000000" w:rsidRDefault="00000000" w:rsidRPr="00000000" w14:paraId="00000013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Общественный фонд - Записи в электронной системе, имеющие под собой реальные денежные средства в рублях или имущественном выражении. Записи хранятся в разрезе участников сообщества. Каждый участник сообщества может направлять свою долю в общественном фонде или ее часть на целевое развитие сообщества.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1. Создать прототип системы позволяющей совершать сделки между членами сообщества.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2. Обеспечить честность и прозрачность совершаемых сделок.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3. Гарантировать, что комиссия удержанная по сделке, будет использована сообществом только в соответствии с выбором участника сделки (Покупателя).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4. Заложить основу для системы учета и контроля по требованиям законодательства.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5. Заложить основу для будущей децентрализованной системы совершения сделок между членами сообщества.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</w:pPr>
      <w:bookmarkStart w:colFirst="0" w:colLast="0" w:name="_7zo411d89j3u" w:id="7"/>
      <w:bookmarkEnd w:id="7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1. Создать прототип  электронной площадки совершения сделок между членами сообщества.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2. Реализовать возможность отмены транзакции по сделке, если нет подтверждения успешности от обоих участников.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3. Реализовать возможность формирования соответствующих отчетов, подтверждающих участнику сообщества использование общественного фонда в соответствии с его выбором.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4. Заложить в механизм сделок алгоритмы формирования хэш-сумм для дальнейшего развития в сторону смарт-контрактов.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5. Обеспечить соблюдение базовых требований ФЗ РФ 3085-1 от 19.06.1992 “О потребительской кооперации”, бухгалтерского и налогового учета и т.д.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jmli2fhn6x0f" w:id="8"/>
      <w:bookmarkEnd w:id="8"/>
      <w:r w:rsidDel="00000000" w:rsidR="00000000" w:rsidRPr="00000000">
        <w:rPr>
          <w:rtl w:val="0"/>
        </w:rPr>
        <w:t xml:space="preserve">Требования к инфраструктуре разработки и тестирования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разработки и первых тестов можно локально (без клиент-серверного подключения) можно использовать бесплатную «учебную версию» платформы «1С:Предприятие 8.3»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https://online.1c.ru/catalog/free/28765768/</w:t>
        </w:r>
      </w:hyperlink>
      <w:r w:rsidDel="00000000" w:rsidR="00000000" w:rsidRPr="00000000">
        <w:rPr>
          <w:rtl w:val="0"/>
        </w:rPr>
        <w:t xml:space="preserve"> (8.3.20.1613 под Windows 64-bit)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https://online.1c.ru/catalog/free/28766016/</w:t>
        </w:r>
      </w:hyperlink>
      <w:r w:rsidDel="00000000" w:rsidR="00000000" w:rsidRPr="00000000">
        <w:rPr>
          <w:rtl w:val="0"/>
        </w:rPr>
        <w:t xml:space="preserve"> (8.3.20.1613 под Linux 64-bit)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совместного тестирования планирую развернуть виртуальный сервер в сети интернет (под Linux) и установить на него Сервер 1С и веб-сервер.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серверу 1С можно будет подключаться через “тонкий клиент 1С” или через браузер к веб-интерфейсу 1С, опубликованному на веб-сервере.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q3xf7n6sc83b" w:id="9"/>
      <w:bookmarkEnd w:id="9"/>
      <w:r w:rsidDel="00000000" w:rsidR="00000000" w:rsidRPr="00000000">
        <w:rPr>
          <w:rtl w:val="0"/>
        </w:rPr>
        <w:t xml:space="preserve">Основа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упрощения реализации базового функционала (учет пользователей, управление доступом и т.д.) необходимо взять за основу типовую библиотеку 1С.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Библиотека стандартных подсистем 2.4.6 - далее БСП.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Ее использование не накладывает ограничений, так как фирма 1С распространяет ее под лицензией </w:t>
      </w:r>
      <w:r w:rsidDel="00000000" w:rsidR="00000000" w:rsidRPr="00000000">
        <w:rPr>
          <w:rtl w:val="0"/>
        </w:rPr>
        <w:t xml:space="preserve">Attribution 4.0 International (CC BY 4.0) и рекомендует использовать при построении новых конфигураций.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 Документация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https://its.1c.ru/db/bsp246doc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Из множества подсистем БСП ниже отобраны те, функционал которых может понадобиться при построении целевой конфигурации.</w:t>
      </w:r>
    </w:p>
    <w:tbl>
      <w:tblPr>
        <w:tblStyle w:val="Table1"/>
        <w:tblW w:w="9360.0" w:type="dxa"/>
        <w:jc w:val="left"/>
        <w:tblInd w:w="8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4500"/>
        <w:gridCol w:w="4140"/>
        <w:tblGridChange w:id="0">
          <w:tblGrid>
            <w:gridCol w:w="720"/>
            <w:gridCol w:w="4500"/>
            <w:gridCol w:w="41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Подсистема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От каких подсистем зависит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Базовая 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Обновление версии ИБ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Пользователи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20" w:before="20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Адресный классификатор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20" w:before="200" w:line="288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Контактная информация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20" w:before="200" w:line="288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Получение файлов из Интернета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20" w:before="200" w:line="288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Библиотека интернет-поддержки (БИП)  Базовая функциональность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Анализ журнала регистрации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Варианты отчетов</w:t>
            </w:r>
          </w:p>
          <w:p w:rsidR="00000000" w:rsidDel="00000000" w:rsidP="00000000" w:rsidRDefault="00000000" w:rsidRPr="00000000" w14:paraId="00000045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Рассылка отчетов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Варианты отчетов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Работа с почтовыми сообщениями</w:t>
            </w:r>
          </w:p>
          <w:p w:rsidR="00000000" w:rsidDel="00000000" w:rsidP="00000000" w:rsidRDefault="00000000" w:rsidRPr="00000000" w14:paraId="00000049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  <w:p w:rsidR="00000000" w:rsidDel="00000000" w:rsidP="00000000" w:rsidRDefault="00000000" w:rsidRPr="00000000" w14:paraId="0000004A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Дополнительные отчеты и обработки</w:t>
            </w:r>
          </w:p>
          <w:p w:rsidR="00000000" w:rsidDel="00000000" w:rsidP="00000000" w:rsidRDefault="00000000" w:rsidRPr="00000000" w14:paraId="0000004B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Рассылка отчетов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Групповое изменение объектов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Даты запрета изменения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Дополнительные отчеты и обработки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Печать</w:t>
            </w:r>
          </w:p>
          <w:p w:rsidR="00000000" w:rsidDel="00000000" w:rsidP="00000000" w:rsidRDefault="00000000" w:rsidRPr="00000000" w14:paraId="00000055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  <w:p w:rsidR="00000000" w:rsidDel="00000000" w:rsidP="00000000" w:rsidRDefault="00000000" w:rsidRPr="00000000" w14:paraId="00000056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Варианты отчетов</w:t>
            </w:r>
          </w:p>
          <w:p w:rsidR="00000000" w:rsidDel="00000000" w:rsidP="00000000" w:rsidRDefault="00000000" w:rsidRPr="00000000" w14:paraId="0000005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Групповое изменение объектов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Завершение работы пользователей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Загрузка данных из файла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Дополнительные отчеты и обработки</w:t>
            </w:r>
          </w:p>
          <w:p w:rsidR="00000000" w:rsidDel="00000000" w:rsidP="00000000" w:rsidRDefault="00000000" w:rsidRPr="00000000" w14:paraId="0000005E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Групповое изменение объектов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Заполнение объектов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Запрет редактирования реквизитов объектов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Защита персональных данных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Печать</w:t>
            </w:r>
          </w:p>
          <w:p w:rsidR="00000000" w:rsidDel="00000000" w:rsidP="00000000" w:rsidRDefault="00000000" w:rsidRPr="00000000" w14:paraId="00000068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Контактная информация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Адресный классификатор</w:t>
            </w:r>
          </w:p>
          <w:p w:rsidR="00000000" w:rsidDel="00000000" w:rsidP="00000000" w:rsidRDefault="00000000" w:rsidRPr="00000000" w14:paraId="0000006C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Настройка порядка элементов</w:t>
            </w:r>
          </w:p>
          <w:p w:rsidR="00000000" w:rsidDel="00000000" w:rsidP="00000000" w:rsidRDefault="00000000" w:rsidRPr="00000000" w14:paraId="0000006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Контроль ведения учета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Варианты отчетов</w:t>
            </w:r>
          </w:p>
          <w:p w:rsidR="00000000" w:rsidDel="00000000" w:rsidP="00000000" w:rsidRDefault="00000000" w:rsidRPr="00000000" w14:paraId="00000071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  <w:p w:rsidR="00000000" w:rsidDel="00000000" w:rsidP="00000000" w:rsidRDefault="00000000" w:rsidRPr="00000000" w14:paraId="00000072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Текущие дела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Настройка порядка элементов</w:t>
            </w:r>
          </w:p>
          <w:p w:rsidR="00000000" w:rsidDel="00000000" w:rsidP="00000000" w:rsidRDefault="00000000" w:rsidRPr="00000000" w14:paraId="00000075">
            <w:pPr>
              <w:spacing w:after="3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Отчет о движении документов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Варианты отчетов</w:t>
            </w:r>
          </w:p>
          <w:p w:rsidR="00000000" w:rsidDel="00000000" w:rsidP="00000000" w:rsidRDefault="00000000" w:rsidRPr="00000000" w14:paraId="0000007A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Печать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  <w:p w:rsidR="00000000" w:rsidDel="00000000" w:rsidP="00000000" w:rsidRDefault="00000000" w:rsidRPr="00000000" w14:paraId="0000007E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Работа с почтовыми сообщениями</w:t>
            </w:r>
          </w:p>
          <w:p w:rsidR="00000000" w:rsidDel="00000000" w:rsidP="00000000" w:rsidRDefault="00000000" w:rsidRPr="00000000" w14:paraId="0000007F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Работа с файлами</w:t>
            </w:r>
          </w:p>
          <w:p w:rsidR="00000000" w:rsidDel="00000000" w:rsidP="00000000" w:rsidRDefault="00000000" w:rsidRPr="00000000" w14:paraId="00000080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Дополнительные отчеты и обработки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Подключаемые команды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Печать</w:t>
            </w:r>
          </w:p>
          <w:p w:rsidR="00000000" w:rsidDel="00000000" w:rsidP="00000000" w:rsidRDefault="00000000" w:rsidRPr="00000000" w14:paraId="0000008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Варианты отчетов</w:t>
            </w:r>
          </w:p>
          <w:p w:rsidR="00000000" w:rsidDel="00000000" w:rsidP="00000000" w:rsidRDefault="00000000" w:rsidRPr="00000000" w14:paraId="00000085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Заполнение объектов</w:t>
            </w:r>
          </w:p>
          <w:p w:rsidR="00000000" w:rsidDel="00000000" w:rsidP="00000000" w:rsidRDefault="00000000" w:rsidRPr="00000000" w14:paraId="00000086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Дополнительные отчеты и обработки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Поиск и удаление дублей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Полнотекстовый поиск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Получение файлов из Интернета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Работа с почтовыми сообщениями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Работа с файлами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Свойства</w:t>
            </w:r>
          </w:p>
          <w:p w:rsidR="00000000" w:rsidDel="00000000" w:rsidP="00000000" w:rsidRDefault="00000000" w:rsidRPr="00000000" w14:paraId="00000096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Управление доступом</w:t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Рассылка отчетов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Варианты отчетов</w:t>
            </w:r>
          </w:p>
          <w:p w:rsidR="00000000" w:rsidDel="00000000" w:rsidP="00000000" w:rsidRDefault="00000000" w:rsidRPr="00000000" w14:paraId="0000009A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Дополнительные отчеты и обработки</w:t>
            </w:r>
          </w:p>
          <w:p w:rsidR="00000000" w:rsidDel="00000000" w:rsidP="00000000" w:rsidRDefault="00000000" w:rsidRPr="00000000" w14:paraId="0000009B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Контактная информация</w:t>
            </w:r>
          </w:p>
          <w:p w:rsidR="00000000" w:rsidDel="00000000" w:rsidP="00000000" w:rsidRDefault="00000000" w:rsidRPr="00000000" w14:paraId="0000009C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Получение файлов из Интернета</w:t>
            </w:r>
          </w:p>
          <w:p w:rsidR="00000000" w:rsidDel="00000000" w:rsidP="00000000" w:rsidRDefault="00000000" w:rsidRPr="00000000" w14:paraId="0000009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Работа с почтовыми сообщениями</w:t>
            </w:r>
          </w:p>
          <w:p w:rsidR="00000000" w:rsidDel="00000000" w:rsidP="00000000" w:rsidRDefault="00000000" w:rsidRPr="00000000" w14:paraId="0000009E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Работа с файлами</w:t>
            </w:r>
          </w:p>
          <w:p w:rsidR="00000000" w:rsidDel="00000000" w:rsidP="00000000" w:rsidRDefault="00000000" w:rsidRPr="00000000" w14:paraId="0000009F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Управление доступом</w:t>
            </w:r>
          </w:p>
          <w:p w:rsidR="00000000" w:rsidDel="00000000" w:rsidP="00000000" w:rsidRDefault="00000000" w:rsidRPr="00000000" w14:paraId="000000A0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Групповое изменение объектов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Регламентные задания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Резервное копирование ИБ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Завершение работы пользователей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Свойства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Запрет редактирования реквизитов объектов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Текущие дела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Удаление помеченных объектов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Управление доступом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20" w:before="20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Управление итогами и агрегатами</w:t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9f9f" w:space="0" w:sz="6" w:val="single"/>
              <w:left w:color="9f9f9f" w:space="0" w:sz="6" w:val="single"/>
              <w:bottom w:color="9f9f9f" w:space="0" w:sz="6" w:val="single"/>
              <w:right w:color="9f9f9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2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vb69m7kl37mo" w:id="10"/>
      <w:bookmarkEnd w:id="10"/>
      <w:r w:rsidDel="00000000" w:rsidR="00000000" w:rsidRPr="00000000">
        <w:rPr>
          <w:rtl w:val="0"/>
        </w:rPr>
        <w:t xml:space="preserve">Описание структуры хранимых данных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Далее, перечислим объекты которые необходимо создать для прототипа (объекты сознательно упрощены в рамках первой итерации):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Перечисление “Вид номенклатуры”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Значения:</w:t>
        <w:tab/>
        <w:t xml:space="preserve">1) Товар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2) Услуга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Справочник  “Единицы измерения”</w:t>
      </w:r>
      <w:r w:rsidDel="00000000" w:rsidR="00000000" w:rsidRPr="00000000">
        <w:rPr>
          <w:rtl w:val="0"/>
        </w:rPr>
        <w:t xml:space="preserve"> (без иерархии)</w:t>
      </w:r>
    </w:p>
    <w:p w:rsidR="00000000" w:rsidDel="00000000" w:rsidP="00000000" w:rsidRDefault="00000000" w:rsidRPr="00000000" w14:paraId="000000C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реквизит “Наименование” (тип данных Строка 250)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Справочник  “Номенклатура”</w:t>
      </w:r>
      <w:r w:rsidDel="00000000" w:rsidR="00000000" w:rsidRPr="00000000">
        <w:rPr>
          <w:rtl w:val="0"/>
        </w:rPr>
        <w:t xml:space="preserve"> (без иерархии)</w:t>
      </w:r>
    </w:p>
    <w:p w:rsidR="00000000" w:rsidDel="00000000" w:rsidP="00000000" w:rsidRDefault="00000000" w:rsidRPr="00000000" w14:paraId="000000C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реквизит “Наименование” (тип данных Строка 250)</w:t>
      </w:r>
    </w:p>
    <w:p w:rsidR="00000000" w:rsidDel="00000000" w:rsidP="00000000" w:rsidRDefault="00000000" w:rsidRPr="00000000" w14:paraId="000000C7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реквизит “Вид номенклатуры” (тип данных ПеречислениеСсылка “Вид номенклатуры”)</w:t>
      </w:r>
    </w:p>
    <w:p w:rsidR="00000000" w:rsidDel="00000000" w:rsidP="00000000" w:rsidRDefault="00000000" w:rsidRPr="00000000" w14:paraId="000000C8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реквизит “Единица измерения” (тип данных СправочникСсылка “Единицы измерения)”</w:t>
      </w:r>
    </w:p>
    <w:p w:rsidR="00000000" w:rsidDel="00000000" w:rsidP="00000000" w:rsidRDefault="00000000" w:rsidRPr="00000000" w14:paraId="000000C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Регистр сведений “Цены номенклатуры”</w:t>
      </w:r>
      <w:r w:rsidDel="00000000" w:rsidR="00000000" w:rsidRPr="00000000">
        <w:rPr>
          <w:rtl w:val="0"/>
        </w:rPr>
        <w:t xml:space="preserve"> независимый периодический (в пределах секунды)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Измерение “Номенклатура” (тип данных СправочникСсылка “Номенклатура”)</w:t>
      </w:r>
    </w:p>
    <w:p w:rsidR="00000000" w:rsidDel="00000000" w:rsidP="00000000" w:rsidRDefault="00000000" w:rsidRPr="00000000" w14:paraId="000000C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Ресурс “Цена” (тип данных Число 9,2)</w:t>
      </w:r>
    </w:p>
    <w:p w:rsidR="00000000" w:rsidDel="00000000" w:rsidP="00000000" w:rsidRDefault="00000000" w:rsidRPr="00000000" w14:paraId="000000C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Справочник  “Физические лица”</w:t>
      </w:r>
      <w:r w:rsidDel="00000000" w:rsidR="00000000" w:rsidRPr="00000000">
        <w:rPr>
          <w:rtl w:val="0"/>
        </w:rPr>
        <w:t xml:space="preserve"> (без иерархии)</w:t>
      </w:r>
    </w:p>
    <w:p w:rsidR="00000000" w:rsidDel="00000000" w:rsidP="00000000" w:rsidRDefault="00000000" w:rsidRPr="00000000" w14:paraId="000000C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реквизит “ФИО” (тип данных Строка 250)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Константа “Процент отчисления в общественный фонд от суммы сделки”</w:t>
      </w:r>
    </w:p>
    <w:p w:rsidR="00000000" w:rsidDel="00000000" w:rsidP="00000000" w:rsidRDefault="00000000" w:rsidRPr="00000000" w14:paraId="000000D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Реквизит “Процент” (тип данных Число 5,2)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 “Сделка между физическими лицами”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реквизит “Продавец” (тип данных СправочникСсылка “</w:t>
      </w:r>
      <w:r w:rsidDel="00000000" w:rsidR="00000000" w:rsidRPr="00000000">
        <w:rPr>
          <w:rtl w:val="0"/>
        </w:rPr>
        <w:t xml:space="preserve">Физические лица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D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реквизит “Покупатель” (тип данных СправочникСсылка “</w:t>
      </w:r>
      <w:r w:rsidDel="00000000" w:rsidR="00000000" w:rsidRPr="00000000">
        <w:rPr>
          <w:rtl w:val="0"/>
        </w:rPr>
        <w:t xml:space="preserve">Физические лица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D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Реквизит “Общая сумма” (тип данных Число 9,2)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ТабличнаяЧасть “Товары и Услуги”</w:t>
      </w:r>
    </w:p>
    <w:p w:rsidR="00000000" w:rsidDel="00000000" w:rsidP="00000000" w:rsidRDefault="00000000" w:rsidRPr="00000000" w14:paraId="000000D9">
      <w:pPr>
        <w:spacing w:after="240" w:befor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реквизит “Номенклатура”  (тип данных СправочникСсылка “Номенклатура”)</w:t>
      </w:r>
    </w:p>
    <w:p w:rsidR="00000000" w:rsidDel="00000000" w:rsidP="00000000" w:rsidRDefault="00000000" w:rsidRPr="00000000" w14:paraId="000000DA">
      <w:pPr>
        <w:spacing w:after="240" w:before="240" w:lineRule="auto"/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реквизит “Вид номенклатуры” (тип данных ПеречислениеСсылка “Вид номенклатуры”)</w:t>
      </w:r>
    </w:p>
    <w:p w:rsidR="00000000" w:rsidDel="00000000" w:rsidP="00000000" w:rsidRDefault="00000000" w:rsidRPr="00000000" w14:paraId="000000DB">
      <w:pPr>
        <w:spacing w:after="240" w:before="240" w:lineRule="auto"/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реквизит “Единица измерения” (тип данных СправочникСсылка “Единицы измерения)”</w:t>
      </w:r>
    </w:p>
    <w:p w:rsidR="00000000" w:rsidDel="00000000" w:rsidP="00000000" w:rsidRDefault="00000000" w:rsidRPr="00000000" w14:paraId="000000DC">
      <w:pPr>
        <w:spacing w:after="240" w:before="240" w:lineRule="auto"/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реквизит “Цена за единицу” (тип данных Число 9,2)</w:t>
      </w:r>
    </w:p>
    <w:p w:rsidR="00000000" w:rsidDel="00000000" w:rsidP="00000000" w:rsidRDefault="00000000" w:rsidRPr="00000000" w14:paraId="000000DD">
      <w:pPr>
        <w:spacing w:after="240" w:before="240" w:lineRule="auto"/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реквизит “Количество”</w:t>
      </w:r>
    </w:p>
    <w:p w:rsidR="00000000" w:rsidDel="00000000" w:rsidP="00000000" w:rsidRDefault="00000000" w:rsidRPr="00000000" w14:paraId="000000D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 “взнос в общественный фонд на целевое использование”</w:t>
      </w:r>
    </w:p>
    <w:p w:rsidR="00000000" w:rsidDel="00000000" w:rsidP="00000000" w:rsidRDefault="00000000" w:rsidRPr="00000000" w14:paraId="000000E0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реквизит “Физическое лицо” (тип данных СправочникСсылка “</w:t>
      </w:r>
      <w:r w:rsidDel="00000000" w:rsidR="00000000" w:rsidRPr="00000000">
        <w:rPr>
          <w:rtl w:val="0"/>
        </w:rPr>
        <w:t xml:space="preserve">Физические лица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E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ресурс “Сумма” (тип данных Число 9,2)</w:t>
      </w:r>
    </w:p>
    <w:p w:rsidR="00000000" w:rsidDel="00000000" w:rsidP="00000000" w:rsidRDefault="00000000" w:rsidRPr="00000000" w14:paraId="000000E2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Регистр накопления “Сделки”</w:t>
      </w:r>
      <w:r w:rsidDel="00000000" w:rsidR="00000000" w:rsidRPr="00000000">
        <w:rPr>
          <w:rtl w:val="0"/>
        </w:rPr>
        <w:t xml:space="preserve"> (обороты)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Измерение “Участник сделки” (тип данных СправочникСсылка “</w:t>
      </w:r>
      <w:r w:rsidDel="00000000" w:rsidR="00000000" w:rsidRPr="00000000">
        <w:rPr>
          <w:rtl w:val="0"/>
        </w:rPr>
        <w:t xml:space="preserve">Физические лица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E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ресурс “Сумма” (тип данных Число 9,2)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ресурс “Сумма в общественный фонд” (тип данных Число 9,2)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реквизит “Номенклатура”  (тип данных СправочникСсылка “Номенклатура”)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Регистр накопления “Общественный фонд”</w:t>
      </w:r>
      <w:r w:rsidDel="00000000" w:rsidR="00000000" w:rsidRPr="00000000">
        <w:rPr>
          <w:rtl w:val="0"/>
        </w:rPr>
        <w:t xml:space="preserve"> (остатки)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Измерение “Участник сделки” (тип данных СправочникСсылка “</w:t>
      </w:r>
      <w:r w:rsidDel="00000000" w:rsidR="00000000" w:rsidRPr="00000000">
        <w:rPr>
          <w:rtl w:val="0"/>
        </w:rPr>
        <w:t xml:space="preserve">Физические лица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E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ресурс “Сумма в общественном фонде” (тип данных Число 9,2)</w:t>
      </w:r>
    </w:p>
    <w:p w:rsidR="00000000" w:rsidDel="00000000" w:rsidP="00000000" w:rsidRDefault="00000000" w:rsidRPr="00000000" w14:paraId="000000E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Описание связей между данными</w:t>
      </w:r>
    </w:p>
    <w:p w:rsidR="00000000" w:rsidDel="00000000" w:rsidP="00000000" w:rsidRDefault="00000000" w:rsidRPr="00000000" w14:paraId="000000F3">
      <w:pPr>
        <w:ind w:left="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720" w:right="0" w:hanging="360"/>
        <w:jc w:val="left"/>
        <w:rPr>
          <w:u w:val="none"/>
        </w:rPr>
      </w:pPr>
      <w:bookmarkStart w:colFirst="0" w:colLast="0" w:name="_643d2fpjntwe" w:id="11"/>
      <w:bookmarkEnd w:id="11"/>
      <w:r w:rsidDel="00000000" w:rsidR="00000000" w:rsidRPr="00000000">
        <w:rPr>
          <w:rtl w:val="0"/>
        </w:rPr>
        <w:t xml:space="preserve">Алгоритмы обработки данных (Совершение транзакции)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Описание процедур и функций вызываемых по событиям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opqovfuu3uj" w:id="12"/>
      <w:bookmarkEnd w:id="12"/>
      <w:r w:rsidDel="00000000" w:rsidR="00000000" w:rsidRPr="00000000">
        <w:rPr>
          <w:rtl w:val="0"/>
        </w:rPr>
        <w:t xml:space="preserve">Ограничения и допущения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Поскольку  данный документ пишется под реализацию на технологии 1С, то децентрализованная система  расчетов не рассматривается из за сложности реализации.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00xqbtm130m" w:id="13"/>
      <w:bookmarkEnd w:id="13"/>
      <w:r w:rsidDel="00000000" w:rsidR="00000000" w:rsidRPr="00000000">
        <w:rPr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pageBreakBefore w:val="0"/>
        <w:ind w:left="0" w:firstLine="0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4haja8pt7xzx" w:id="14"/>
      <w:bookmarkEnd w:id="14"/>
      <w:r w:rsidDel="00000000" w:rsidR="00000000" w:rsidRPr="00000000">
        <w:rPr>
          <w:rtl w:val="0"/>
        </w:rPr>
        <w:t xml:space="preserve">Функциональное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9jsz45ras5z2" w:id="15"/>
      <w:bookmarkEnd w:id="15"/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агрузочное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17dp8vu" w:id="16"/>
    <w:bookmarkEnd w:id="1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ru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its.1c.ru/db/bsp246doc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1c.ru/catalog/free/28766016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s://online.1c.ru/catalog/free/2876576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