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300"/>
        <w:jc w:val="center"/>
      </w:pPr>
      <w:r>
        <w:rPr>
          <w:rFonts w:ascii="Calibri" w:cs="Calibri" w:eastAsia="Calibri" w:hAnsi="Calibri"/>
          <w:color w:val="595959"/>
          <w:sz w:val="24"/>
          <w:szCs w:val="24"/>
        </w:rPr>
        <w:t xml:space="preserve">MBA680 · Behavioural Finance</w:t>
      </w:r>
    </w:p>
    <w:p>
      <w:pPr>
        <w:spacing w:after="60"/>
        <w:jc w:val="center"/>
      </w:pPr>
      <w:r>
        <w:rPr>
          <w:rFonts w:ascii="Calibri" w:cs="Calibri" w:eastAsia="Calibri" w:hAnsi="Calibri"/>
          <w:b/>
          <w:bCs/>
          <w:color w:val="1F4E79"/>
          <w:sz w:val="44"/>
          <w:szCs w:val="44"/>
        </w:rPr>
        <w:t xml:space="preserve">Technical Analysis, Horizon Trading Strategies</w:t>
      </w:r>
    </w:p>
    <w:p>
      <w:pPr>
        <w:spacing w:after="300"/>
        <w:jc w:val="center"/>
      </w:pPr>
      <w:r>
        <w:rPr>
          <w:rFonts w:ascii="Calibri" w:cs="Calibri" w:eastAsia="Calibri" w:hAnsi="Calibri"/>
          <w:b/>
          <w:bCs/>
          <w:color w:val="1F4E79"/>
          <w:sz w:val="44"/>
          <w:szCs w:val="44"/>
        </w:rPr>
        <w:t xml:space="preserve">and Behavioural Biases</w:t>
      </w:r>
    </w:p>
    <w:p>
      <w:pPr>
        <w:spacing w:after="60"/>
        <w:jc w:val="center"/>
      </w:pPr>
      <w:r>
        <w:rPr>
          <w:rFonts w:ascii="Calibri" w:cs="Calibri" w:eastAsia="Calibri" w:hAnsi="Calibri"/>
          <w:i/>
          <w:iCs/>
          <w:sz w:val="24"/>
          <w:szCs w:val="24"/>
        </w:rPr>
        <w:t xml:space="preserve">Twelve indicators, three strategies and eight biases, implemented in TradingView Pine Script v6</w:t>
      </w:r>
    </w:p>
    <w:p>
      <w:pPr>
        <w:spacing w:after="900"/>
        <w:jc w:val="center"/>
      </w:pPr>
      <w:r>
        <w:rPr>
          <w:rFonts w:ascii="Calibri" w:cs="Calibri" w:eastAsia="Calibri" w:hAnsi="Calibri"/>
          <w:i/>
          <w:iCs/>
          <w:sz w:val="24"/>
          <w:szCs w:val="24"/>
        </w:rPr>
        <w:t xml:space="preserve">and tested on seven NSE Top-100 stocks, January 2015 – September 2026</w:t>
      </w:r>
    </w:p>
    <w:p>
      <w:pPr>
        <w:spacing w:after="60"/>
        <w:jc w:val="center"/>
      </w:pPr>
      <w:r>
        <w:rPr>
          <w:rFonts w:ascii="Calibri" w:cs="Calibri" w:eastAsia="Calibri" w:hAnsi="Calibri"/>
          <w:color w:val="595959"/>
          <w:sz w:val="20"/>
          <w:szCs w:val="20"/>
        </w:rPr>
        <w:t xml:space="preserve">Submitted by</w:t>
      </w:r>
    </w:p>
    <w:p>
      <w:pPr>
        <w:spacing w:after="40"/>
        <w:jc w:val="center"/>
      </w:pPr>
      <w:r>
        <w:rPr>
          <w:rFonts w:ascii="Calibri" w:cs="Calibri" w:eastAsia="Calibri" w:hAnsi="Calibri"/>
          <w:b/>
          <w:bCs/>
          <w:sz w:val="26"/>
          <w:szCs w:val="26"/>
        </w:rPr>
        <w:t xml:space="preserve">Adwaaiit Pande (230085)</w:t>
      </w:r>
    </w:p>
    <w:p>
      <w:pPr>
        <w:spacing w:after="700"/>
        <w:jc w:val="center"/>
      </w:pPr>
      <w:r>
        <w:rPr>
          <w:rFonts w:ascii="Calibri" w:cs="Calibri" w:eastAsia="Calibri" w:hAnsi="Calibri"/>
          <w:b/>
          <w:bCs/>
          <w:sz w:val="26"/>
          <w:szCs w:val="26"/>
        </w:rPr>
        <w:t xml:space="preserve">Ayushi Mishra (230275)</w:t>
      </w:r>
    </w:p>
    <w:p>
      <w:pPr>
        <w:spacing w:after="40"/>
        <w:jc w:val="center"/>
      </w:pPr>
      <w:r>
        <w:rPr>
          <w:rFonts w:ascii="Calibri" w:cs="Calibri" w:eastAsia="Calibri" w:hAnsi="Calibri"/>
          <w:color w:val="595959"/>
          <w:sz w:val="19"/>
          <w:szCs w:val="19"/>
        </w:rPr>
        <w:t xml:space="preserve">Sample: RELIANCE · HDFCBANK · INFY · ITC · MARUTI · SUNPHARMA · LT (NSE, daily)</w:t>
      </w:r>
    </w:p>
    <w:p>
      <w:pPr>
        <w:spacing w:after="40"/>
        <w:jc w:val="center"/>
      </w:pPr>
      <w:r>
        <w:rPr>
          <w:rFonts w:ascii="Calibri" w:cs="Calibri" w:eastAsia="Calibri" w:hAnsi="Calibri"/>
          <w:color w:val="595959"/>
          <w:sz w:val="19"/>
          <w:szCs w:val="19"/>
        </w:rPr>
        <w:t xml:space="preserve">Deliverables: this report + 18 Pine Script v6 files (.pine) + Python replication code</w:t>
      </w:r>
    </w:p>
    <w:p>
      <w:pPr>
        <w:spacing w:after="120"/>
        <w:jc w:val="center"/>
      </w:pPr>
      <w:r>
        <w:rPr>
          <w:rFonts w:ascii="Calibri" w:cs="Calibri" w:eastAsia="Calibri" w:hAnsi="Calibri"/>
          <w:color w:val="595959"/>
          <w:sz w:val="20"/>
          <w:szCs w:val="20"/>
        </w:rPr>
        <w:t xml:space="preserve">October 2026</w:t>
      </w:r>
    </w:p>
    <w:p>
      <w:pPr>
        <w:pageBreakBefore/>
        <w:spacing w:after="240"/>
      </w:pPr>
      <w:r>
        <w:rPr>
          <w:rFonts w:ascii="Calibri" w:cs="Calibri" w:eastAsia="Calibri" w:hAnsi="Calibri"/>
          <w:b/>
          <w:bCs/>
          <w:color w:val="1F4E79"/>
          <w:sz w:val="32"/>
          <w:szCs w:val="32"/>
        </w:rPr>
        <w:t xml:space="preserve">Contents</w:t>
      </w:r>
    </w:p>
    <w:p>
      <w:pPr>
        <w:tabs>
          <w:tab w:val="right" w:pos="9020" w:leader="dot"/>
        </w:tabs>
        <w:spacing w:after="70"/>
        <w:ind w:left="0"/>
      </w:pPr>
      <w:r>
        <w:rPr>
          <w:rFonts w:ascii="Calibri" w:cs="Calibri" w:eastAsia="Calibri" w:hAnsi="Calibri"/>
          <w:b/>
          <w:bCs/>
          <w:sz w:val="21"/>
          <w:szCs w:val="21"/>
        </w:rPr>
        <w:t xml:space="preserve">Executive Summary</w:t>
      </w:r>
      <w:r>
        <w:rPr>
          <w:rFonts w:ascii="Calibri" w:cs="Calibri" w:eastAsia="Calibri" w:hAnsi="Calibri"/>
          <w:sz w:val="19"/>
          <w:szCs w:val="19"/>
        </w:rPr>
        <w:tab/>
      </w:r>
      <w:r>
        <w:rPr>
          <w:rFonts w:ascii="Calibri" w:cs="Calibri" w:eastAsia="Calibri" w:hAnsi="Calibri"/>
          <w:b/>
          <w:bCs/>
          <w:sz w:val="21"/>
          <w:szCs w:val="21"/>
        </w:rPr>
        <w:t xml:space="preserve">3</w:t>
      </w:r>
    </w:p>
    <w:p>
      <w:pPr>
        <w:tabs>
          <w:tab w:val="right" w:pos="9020" w:leader="dot"/>
        </w:tabs>
        <w:spacing w:after="70"/>
        <w:ind w:left="0"/>
      </w:pPr>
      <w:r>
        <w:rPr>
          <w:rFonts w:ascii="Calibri" w:cs="Calibri" w:eastAsia="Calibri" w:hAnsi="Calibri"/>
          <w:b/>
          <w:bCs/>
          <w:sz w:val="21"/>
          <w:szCs w:val="21"/>
        </w:rPr>
        <w:t xml:space="preserve">1. Objective, Scope and Requirement Map</w:t>
      </w:r>
      <w:r>
        <w:rPr>
          <w:rFonts w:ascii="Calibri" w:cs="Calibri" w:eastAsia="Calibri" w:hAnsi="Calibri"/>
          <w:sz w:val="19"/>
          <w:szCs w:val="19"/>
        </w:rPr>
        <w:tab/>
      </w:r>
      <w:r>
        <w:rPr>
          <w:rFonts w:ascii="Calibri" w:cs="Calibri" w:eastAsia="Calibri" w:hAnsi="Calibri"/>
          <w:b/>
          <w:bCs/>
          <w:sz w:val="21"/>
          <w:szCs w:val="21"/>
        </w:rPr>
        <w:t xml:space="preserve">5</w:t>
      </w:r>
    </w:p>
    <w:p>
      <w:pPr>
        <w:tabs>
          <w:tab w:val="right" w:pos="9020" w:leader="dot"/>
        </w:tabs>
        <w:spacing w:after="70"/>
        <w:ind w:left="0"/>
      </w:pPr>
      <w:r>
        <w:rPr>
          <w:rFonts w:ascii="Calibri" w:cs="Calibri" w:eastAsia="Calibri" w:hAnsi="Calibri"/>
          <w:b/>
          <w:bCs/>
          <w:sz w:val="21"/>
          <w:szCs w:val="21"/>
        </w:rPr>
        <w:t xml:space="preserve">2. Data, Sample and Methodology</w:t>
      </w:r>
      <w:r>
        <w:rPr>
          <w:rFonts w:ascii="Calibri" w:cs="Calibri" w:eastAsia="Calibri" w:hAnsi="Calibri"/>
          <w:sz w:val="19"/>
          <w:szCs w:val="19"/>
        </w:rPr>
        <w:tab/>
      </w:r>
      <w:r>
        <w:rPr>
          <w:rFonts w:ascii="Calibri" w:cs="Calibri" w:eastAsia="Calibri" w:hAnsi="Calibri"/>
          <w:b/>
          <w:bCs/>
          <w:sz w:val="21"/>
          <w:szCs w:val="21"/>
        </w:rPr>
        <w:t xml:space="preserve">6</w:t>
      </w:r>
    </w:p>
    <w:p>
      <w:pPr>
        <w:tabs>
          <w:tab w:val="right" w:pos="9020" w:leader="dot"/>
        </w:tabs>
        <w:spacing w:after="30"/>
        <w:ind w:left="360"/>
      </w:pPr>
      <w:r>
        <w:rPr>
          <w:rFonts w:ascii="Calibri" w:cs="Calibri" w:eastAsia="Calibri" w:hAnsi="Calibri"/>
          <w:b w:val="false"/>
          <w:bCs w:val="false"/>
          <w:sz w:val="19"/>
          <w:szCs w:val="19"/>
        </w:rPr>
        <w:t xml:space="preserve">2.1 The seven stocks</w:t>
      </w:r>
      <w:r>
        <w:rPr>
          <w:rFonts w:ascii="Calibri" w:cs="Calibri" w:eastAsia="Calibri" w:hAnsi="Calibri"/>
          <w:sz w:val="19"/>
          <w:szCs w:val="19"/>
        </w:rPr>
        <w:tab/>
      </w:r>
      <w:r>
        <w:rPr>
          <w:rFonts w:ascii="Calibri" w:cs="Calibri" w:eastAsia="Calibri" w:hAnsi="Calibri"/>
          <w:b w:val="false"/>
          <w:bCs w:val="false"/>
          <w:sz w:val="19"/>
          <w:szCs w:val="19"/>
        </w:rPr>
        <w:t xml:space="preserve">6</w:t>
      </w:r>
    </w:p>
    <w:p>
      <w:pPr>
        <w:tabs>
          <w:tab w:val="right" w:pos="9020" w:leader="dot"/>
        </w:tabs>
        <w:spacing w:after="30"/>
        <w:ind w:left="360"/>
      </w:pPr>
      <w:r>
        <w:rPr>
          <w:rFonts w:ascii="Calibri" w:cs="Calibri" w:eastAsia="Calibri" w:hAnsi="Calibri"/>
          <w:b w:val="false"/>
          <w:bCs w:val="false"/>
          <w:sz w:val="19"/>
          <w:szCs w:val="19"/>
        </w:rPr>
        <w:t xml:space="preserve">2.2 Data source and quality checks</w:t>
      </w:r>
      <w:r>
        <w:rPr>
          <w:rFonts w:ascii="Calibri" w:cs="Calibri" w:eastAsia="Calibri" w:hAnsi="Calibri"/>
          <w:sz w:val="19"/>
          <w:szCs w:val="19"/>
        </w:rPr>
        <w:tab/>
      </w:r>
      <w:r>
        <w:rPr>
          <w:rFonts w:ascii="Calibri" w:cs="Calibri" w:eastAsia="Calibri" w:hAnsi="Calibri"/>
          <w:b w:val="false"/>
          <w:bCs w:val="false"/>
          <w:sz w:val="19"/>
          <w:szCs w:val="19"/>
        </w:rPr>
        <w:t xml:space="preserve">6</w:t>
      </w:r>
    </w:p>
    <w:p>
      <w:pPr>
        <w:tabs>
          <w:tab w:val="right" w:pos="9020" w:leader="dot"/>
        </w:tabs>
        <w:spacing w:after="30"/>
        <w:ind w:left="360"/>
      </w:pPr>
      <w:r>
        <w:rPr>
          <w:rFonts w:ascii="Calibri" w:cs="Calibri" w:eastAsia="Calibri" w:hAnsi="Calibri"/>
          <w:b w:val="false"/>
          <w:bCs w:val="false"/>
          <w:sz w:val="19"/>
          <w:szCs w:val="19"/>
        </w:rPr>
        <w:t xml:space="preserve">2.3 Pine Script implementation and Python replication</w:t>
      </w:r>
      <w:r>
        <w:rPr>
          <w:rFonts w:ascii="Calibri" w:cs="Calibri" w:eastAsia="Calibri" w:hAnsi="Calibri"/>
          <w:sz w:val="19"/>
          <w:szCs w:val="19"/>
        </w:rPr>
        <w:tab/>
      </w:r>
      <w:r>
        <w:rPr>
          <w:rFonts w:ascii="Calibri" w:cs="Calibri" w:eastAsia="Calibri" w:hAnsi="Calibri"/>
          <w:b w:val="false"/>
          <w:bCs w:val="false"/>
          <w:sz w:val="19"/>
          <w:szCs w:val="19"/>
        </w:rPr>
        <w:t xml:space="preserve">7</w:t>
      </w:r>
    </w:p>
    <w:p>
      <w:pPr>
        <w:tabs>
          <w:tab w:val="right" w:pos="9020" w:leader="dot"/>
        </w:tabs>
        <w:spacing w:after="30"/>
        <w:ind w:left="360"/>
      </w:pPr>
      <w:r>
        <w:rPr>
          <w:rFonts w:ascii="Calibri" w:cs="Calibri" w:eastAsia="Calibri" w:hAnsi="Calibri"/>
          <w:b w:val="false"/>
          <w:bCs w:val="false"/>
          <w:sz w:val="19"/>
          <w:szCs w:val="19"/>
        </w:rPr>
        <w:t xml:space="preserve">2.4 Backtest conventions (identical in Pine and Python)</w:t>
      </w:r>
      <w:r>
        <w:rPr>
          <w:rFonts w:ascii="Calibri" w:cs="Calibri" w:eastAsia="Calibri" w:hAnsi="Calibri"/>
          <w:sz w:val="19"/>
          <w:szCs w:val="19"/>
        </w:rPr>
        <w:tab/>
      </w:r>
      <w:r>
        <w:rPr>
          <w:rFonts w:ascii="Calibri" w:cs="Calibri" w:eastAsia="Calibri" w:hAnsi="Calibri"/>
          <w:b w:val="false"/>
          <w:bCs w:val="false"/>
          <w:sz w:val="19"/>
          <w:szCs w:val="19"/>
        </w:rPr>
        <w:t xml:space="preserve">7</w:t>
      </w:r>
    </w:p>
    <w:p>
      <w:pPr>
        <w:tabs>
          <w:tab w:val="right" w:pos="9020" w:leader="dot"/>
        </w:tabs>
        <w:spacing w:after="70"/>
        <w:ind w:left="0"/>
      </w:pPr>
      <w:r>
        <w:rPr>
          <w:rFonts w:ascii="Calibri" w:cs="Calibri" w:eastAsia="Calibri" w:hAnsi="Calibri"/>
          <w:b/>
          <w:bCs/>
          <w:sz w:val="21"/>
          <w:szCs w:val="21"/>
        </w:rPr>
        <w:t xml:space="preserve">3. Technical Indicators (Requirement 1)</w:t>
      </w:r>
      <w:r>
        <w:rPr>
          <w:rFonts w:ascii="Calibri" w:cs="Calibri" w:eastAsia="Calibri" w:hAnsi="Calibri"/>
          <w:sz w:val="19"/>
          <w:szCs w:val="19"/>
        </w:rPr>
        <w:tab/>
      </w:r>
      <w:r>
        <w:rPr>
          <w:rFonts w:ascii="Calibri" w:cs="Calibri" w:eastAsia="Calibri" w:hAnsi="Calibri"/>
          <w:b/>
          <w:bCs/>
          <w:sz w:val="21"/>
          <w:szCs w:val="21"/>
        </w:rPr>
        <w:t xml:space="preserve">8</w:t>
      </w:r>
    </w:p>
    <w:p>
      <w:pPr>
        <w:tabs>
          <w:tab w:val="right" w:pos="9020" w:leader="dot"/>
        </w:tabs>
        <w:spacing w:after="30"/>
        <w:ind w:left="360"/>
      </w:pPr>
      <w:r>
        <w:rPr>
          <w:rFonts w:ascii="Calibri" w:cs="Calibri" w:eastAsia="Calibri" w:hAnsi="Calibri"/>
          <w:b w:val="false"/>
          <w:bCs w:val="false"/>
          <w:sz w:val="19"/>
          <w:szCs w:val="19"/>
        </w:rPr>
        <w:t xml:space="preserve">3.1–3.12 The twelve indicators</w:t>
      </w:r>
      <w:r>
        <w:rPr>
          <w:rFonts w:ascii="Calibri" w:cs="Calibri" w:eastAsia="Calibri" w:hAnsi="Calibri"/>
          <w:sz w:val="19"/>
          <w:szCs w:val="19"/>
        </w:rPr>
        <w:tab/>
      </w:r>
      <w:r>
        <w:rPr>
          <w:rFonts w:ascii="Calibri" w:cs="Calibri" w:eastAsia="Calibri" w:hAnsi="Calibri"/>
          <w:b w:val="false"/>
          <w:bCs w:val="false"/>
          <w:sz w:val="19"/>
          <w:szCs w:val="19"/>
        </w:rPr>
        <w:t xml:space="preserve">8</w:t>
      </w:r>
    </w:p>
    <w:p>
      <w:pPr>
        <w:tabs>
          <w:tab w:val="right" w:pos="9020" w:leader="dot"/>
        </w:tabs>
        <w:spacing w:after="30"/>
        <w:ind w:left="360"/>
      </w:pPr>
      <w:r>
        <w:rPr>
          <w:rFonts w:ascii="Calibri" w:cs="Calibri" w:eastAsia="Calibri" w:hAnsi="Calibri"/>
          <w:b w:val="false"/>
          <w:bCs w:val="false"/>
          <w:sz w:val="19"/>
          <w:szCs w:val="19"/>
        </w:rPr>
        <w:t xml:space="preserve">3.13 Implementation on all seven stocks</w:t>
      </w:r>
      <w:r>
        <w:rPr>
          <w:rFonts w:ascii="Calibri" w:cs="Calibri" w:eastAsia="Calibri" w:hAnsi="Calibri"/>
          <w:sz w:val="19"/>
          <w:szCs w:val="19"/>
        </w:rPr>
        <w:tab/>
      </w:r>
      <w:r>
        <w:rPr>
          <w:rFonts w:ascii="Calibri" w:cs="Calibri" w:eastAsia="Calibri" w:hAnsi="Calibri"/>
          <w:b w:val="false"/>
          <w:bCs w:val="false"/>
          <w:sz w:val="19"/>
          <w:szCs w:val="19"/>
        </w:rPr>
        <w:t xml:space="preserve">16</w:t>
      </w:r>
    </w:p>
    <w:p>
      <w:pPr>
        <w:tabs>
          <w:tab w:val="right" w:pos="9020" w:leader="dot"/>
        </w:tabs>
        <w:spacing w:after="70"/>
        <w:ind w:left="0"/>
      </w:pPr>
      <w:r>
        <w:rPr>
          <w:rFonts w:ascii="Calibri" w:cs="Calibri" w:eastAsia="Calibri" w:hAnsi="Calibri"/>
          <w:b/>
          <w:bCs/>
          <w:sz w:val="21"/>
          <w:szCs w:val="21"/>
        </w:rPr>
        <w:t xml:space="preserve">4. Horizon Trading Strategies (Requirement 2)</w:t>
      </w:r>
      <w:r>
        <w:rPr>
          <w:rFonts w:ascii="Calibri" w:cs="Calibri" w:eastAsia="Calibri" w:hAnsi="Calibri"/>
          <w:sz w:val="19"/>
          <w:szCs w:val="19"/>
        </w:rPr>
        <w:tab/>
      </w:r>
      <w:r>
        <w:rPr>
          <w:rFonts w:ascii="Calibri" w:cs="Calibri" w:eastAsia="Calibri" w:hAnsi="Calibri"/>
          <w:b/>
          <w:bCs/>
          <w:sz w:val="21"/>
          <w:szCs w:val="21"/>
        </w:rPr>
        <w:t xml:space="preserve">18</w:t>
      </w:r>
    </w:p>
    <w:p>
      <w:pPr>
        <w:tabs>
          <w:tab w:val="right" w:pos="9020" w:leader="dot"/>
        </w:tabs>
        <w:spacing w:after="30"/>
        <w:ind w:left="360"/>
      </w:pPr>
      <w:r>
        <w:rPr>
          <w:rFonts w:ascii="Calibri" w:cs="Calibri" w:eastAsia="Calibri" w:hAnsi="Calibri"/>
          <w:b w:val="false"/>
          <w:bCs w:val="false"/>
          <w:sz w:val="19"/>
          <w:szCs w:val="19"/>
        </w:rPr>
        <w:t xml:space="preserve">4.1 Pine Script implementation</w:t>
      </w:r>
      <w:r>
        <w:rPr>
          <w:rFonts w:ascii="Calibri" w:cs="Calibri" w:eastAsia="Calibri" w:hAnsi="Calibri"/>
          <w:sz w:val="19"/>
          <w:szCs w:val="19"/>
        </w:rPr>
        <w:tab/>
      </w:r>
      <w:r>
        <w:rPr>
          <w:rFonts w:ascii="Calibri" w:cs="Calibri" w:eastAsia="Calibri" w:hAnsi="Calibri"/>
          <w:b w:val="false"/>
          <w:bCs w:val="false"/>
          <w:sz w:val="19"/>
          <w:szCs w:val="19"/>
        </w:rPr>
        <w:t xml:space="preserve">18</w:t>
      </w:r>
    </w:p>
    <w:p>
      <w:pPr>
        <w:tabs>
          <w:tab w:val="right" w:pos="9020" w:leader="dot"/>
        </w:tabs>
        <w:spacing w:after="30"/>
        <w:ind w:left="360"/>
      </w:pPr>
      <w:r>
        <w:rPr>
          <w:rFonts w:ascii="Calibri" w:cs="Calibri" w:eastAsia="Calibri" w:hAnsi="Calibri"/>
          <w:b w:val="false"/>
          <w:bCs w:val="false"/>
          <w:sz w:val="19"/>
          <w:szCs w:val="19"/>
        </w:rPr>
        <w:t xml:space="preserve">4.2 Results by strategy and stock</w:t>
      </w:r>
      <w:r>
        <w:rPr>
          <w:rFonts w:ascii="Calibri" w:cs="Calibri" w:eastAsia="Calibri" w:hAnsi="Calibri"/>
          <w:sz w:val="19"/>
          <w:szCs w:val="19"/>
        </w:rPr>
        <w:tab/>
      </w:r>
      <w:r>
        <w:rPr>
          <w:rFonts w:ascii="Calibri" w:cs="Calibri" w:eastAsia="Calibri" w:hAnsi="Calibri"/>
          <w:b w:val="false"/>
          <w:bCs w:val="false"/>
          <w:sz w:val="19"/>
          <w:szCs w:val="19"/>
        </w:rPr>
        <w:t xml:space="preserve">19</w:t>
      </w:r>
    </w:p>
    <w:p>
      <w:pPr>
        <w:tabs>
          <w:tab w:val="right" w:pos="9020" w:leader="dot"/>
        </w:tabs>
        <w:spacing w:after="30"/>
        <w:ind w:left="360"/>
      </w:pPr>
      <w:r>
        <w:rPr>
          <w:rFonts w:ascii="Calibri" w:cs="Calibri" w:eastAsia="Calibri" w:hAnsi="Calibri"/>
          <w:b w:val="false"/>
          <w:bCs w:val="false"/>
          <w:sz w:val="19"/>
          <w:szCs w:val="19"/>
        </w:rPr>
        <w:t xml:space="preserve">4.3 Interpretation</w:t>
      </w:r>
      <w:r>
        <w:rPr>
          <w:rFonts w:ascii="Calibri" w:cs="Calibri" w:eastAsia="Calibri" w:hAnsi="Calibri"/>
          <w:sz w:val="19"/>
          <w:szCs w:val="19"/>
        </w:rPr>
        <w:tab/>
      </w:r>
      <w:r>
        <w:rPr>
          <w:rFonts w:ascii="Calibri" w:cs="Calibri" w:eastAsia="Calibri" w:hAnsi="Calibri"/>
          <w:b w:val="false"/>
          <w:bCs w:val="false"/>
          <w:sz w:val="19"/>
          <w:szCs w:val="19"/>
        </w:rPr>
        <w:t xml:space="preserve">21</w:t>
      </w:r>
    </w:p>
    <w:p>
      <w:pPr>
        <w:tabs>
          <w:tab w:val="right" w:pos="9020" w:leader="dot"/>
        </w:tabs>
        <w:spacing w:after="30"/>
        <w:ind w:left="360"/>
      </w:pPr>
      <w:r>
        <w:rPr>
          <w:rFonts w:ascii="Calibri" w:cs="Calibri" w:eastAsia="Calibri" w:hAnsi="Calibri"/>
          <w:b w:val="false"/>
          <w:bCs w:val="false"/>
          <w:sz w:val="19"/>
          <w:szCs w:val="19"/>
        </w:rPr>
        <w:t xml:space="preserve">4.4 Example trades on TradingView-style charts</w:t>
      </w:r>
      <w:r>
        <w:rPr>
          <w:rFonts w:ascii="Calibri" w:cs="Calibri" w:eastAsia="Calibri" w:hAnsi="Calibri"/>
          <w:sz w:val="19"/>
          <w:szCs w:val="19"/>
        </w:rPr>
        <w:tab/>
      </w:r>
      <w:r>
        <w:rPr>
          <w:rFonts w:ascii="Calibri" w:cs="Calibri" w:eastAsia="Calibri" w:hAnsi="Calibri"/>
          <w:b w:val="false"/>
          <w:bCs w:val="false"/>
          <w:sz w:val="19"/>
          <w:szCs w:val="19"/>
        </w:rPr>
        <w:t xml:space="preserve">21</w:t>
      </w:r>
    </w:p>
    <w:p>
      <w:pPr>
        <w:tabs>
          <w:tab w:val="right" w:pos="9020" w:leader="dot"/>
        </w:tabs>
        <w:spacing w:after="30"/>
        <w:ind w:left="360"/>
      </w:pPr>
      <w:r>
        <w:rPr>
          <w:rFonts w:ascii="Calibri" w:cs="Calibri" w:eastAsia="Calibri" w:hAnsi="Calibri"/>
          <w:b w:val="false"/>
          <w:bCs w:val="false"/>
          <w:sz w:val="19"/>
          <w:szCs w:val="19"/>
        </w:rPr>
        <w:t xml:space="preserve">4.5 In-sample versus out-of-sample</w:t>
      </w:r>
      <w:r>
        <w:rPr>
          <w:rFonts w:ascii="Calibri" w:cs="Calibri" w:eastAsia="Calibri" w:hAnsi="Calibri"/>
          <w:sz w:val="19"/>
          <w:szCs w:val="19"/>
        </w:rPr>
        <w:tab/>
      </w:r>
      <w:r>
        <w:rPr>
          <w:rFonts w:ascii="Calibri" w:cs="Calibri" w:eastAsia="Calibri" w:hAnsi="Calibri"/>
          <w:b w:val="false"/>
          <w:bCs w:val="false"/>
          <w:sz w:val="19"/>
          <w:szCs w:val="19"/>
        </w:rPr>
        <w:t xml:space="preserve">22</w:t>
      </w:r>
    </w:p>
    <w:p>
      <w:pPr>
        <w:tabs>
          <w:tab w:val="right" w:pos="9020" w:leader="dot"/>
        </w:tabs>
        <w:spacing w:after="30"/>
        <w:ind w:left="360"/>
      </w:pPr>
      <w:r>
        <w:rPr>
          <w:rFonts w:ascii="Calibri" w:cs="Calibri" w:eastAsia="Calibri" w:hAnsi="Calibri"/>
          <w:b w:val="false"/>
          <w:bCs w:val="false"/>
          <w:sz w:val="19"/>
          <w:szCs w:val="19"/>
        </w:rPr>
        <w:t xml:space="preserve">4.6 Live validation on TradingView</w:t>
      </w:r>
      <w:r>
        <w:rPr>
          <w:rFonts w:ascii="Calibri" w:cs="Calibri" w:eastAsia="Calibri" w:hAnsi="Calibri"/>
          <w:sz w:val="19"/>
          <w:szCs w:val="19"/>
        </w:rPr>
        <w:tab/>
      </w:r>
      <w:r>
        <w:rPr>
          <w:rFonts w:ascii="Calibri" w:cs="Calibri" w:eastAsia="Calibri" w:hAnsi="Calibri"/>
          <w:b w:val="false"/>
          <w:bCs w:val="false"/>
          <w:sz w:val="19"/>
          <w:szCs w:val="19"/>
        </w:rPr>
        <w:t xml:space="preserve">22</w:t>
      </w:r>
    </w:p>
    <w:p>
      <w:pPr>
        <w:tabs>
          <w:tab w:val="right" w:pos="9020" w:leader="dot"/>
        </w:tabs>
        <w:spacing w:after="70"/>
        <w:ind w:left="0"/>
      </w:pPr>
      <w:r>
        <w:rPr>
          <w:rFonts w:ascii="Calibri" w:cs="Calibri" w:eastAsia="Calibri" w:hAnsi="Calibri"/>
          <w:b/>
          <w:bCs/>
          <w:sz w:val="21"/>
          <w:szCs w:val="21"/>
        </w:rPr>
        <w:t xml:space="preserve">5. Behavioural Biases: Impact and Illustration (Requirements 3 and 4)</w:t>
      </w:r>
      <w:r>
        <w:rPr>
          <w:rFonts w:ascii="Calibri" w:cs="Calibri" w:eastAsia="Calibri" w:hAnsi="Calibri"/>
          <w:sz w:val="19"/>
          <w:szCs w:val="19"/>
        </w:rPr>
        <w:tab/>
      </w:r>
      <w:r>
        <w:rPr>
          <w:rFonts w:ascii="Calibri" w:cs="Calibri" w:eastAsia="Calibri" w:hAnsi="Calibri"/>
          <w:b/>
          <w:bCs/>
          <w:sz w:val="21"/>
          <w:szCs w:val="21"/>
        </w:rPr>
        <w:t xml:space="preserve">24</w:t>
      </w:r>
    </w:p>
    <w:p>
      <w:pPr>
        <w:tabs>
          <w:tab w:val="right" w:pos="9020" w:leader="dot"/>
        </w:tabs>
        <w:spacing w:after="30"/>
        <w:ind w:left="360"/>
      </w:pPr>
      <w:r>
        <w:rPr>
          <w:rFonts w:ascii="Calibri" w:cs="Calibri" w:eastAsia="Calibri" w:hAnsi="Calibri"/>
          <w:b w:val="false"/>
          <w:bCs w:val="false"/>
          <w:sz w:val="19"/>
          <w:szCs w:val="19"/>
        </w:rPr>
        <w:t xml:space="preserve">5.1 Confirmation bias</w:t>
      </w:r>
      <w:r>
        <w:rPr>
          <w:rFonts w:ascii="Calibri" w:cs="Calibri" w:eastAsia="Calibri" w:hAnsi="Calibri"/>
          <w:sz w:val="19"/>
          <w:szCs w:val="19"/>
        </w:rPr>
        <w:tab/>
      </w:r>
      <w:r>
        <w:rPr>
          <w:rFonts w:ascii="Calibri" w:cs="Calibri" w:eastAsia="Calibri" w:hAnsi="Calibri"/>
          <w:b w:val="false"/>
          <w:bCs w:val="false"/>
          <w:sz w:val="19"/>
          <w:szCs w:val="19"/>
        </w:rPr>
        <w:t xml:space="preserve">24</w:t>
      </w:r>
    </w:p>
    <w:p>
      <w:pPr>
        <w:tabs>
          <w:tab w:val="right" w:pos="9020" w:leader="dot"/>
        </w:tabs>
        <w:spacing w:after="30"/>
        <w:ind w:left="360"/>
      </w:pPr>
      <w:r>
        <w:rPr>
          <w:rFonts w:ascii="Calibri" w:cs="Calibri" w:eastAsia="Calibri" w:hAnsi="Calibri"/>
          <w:b w:val="false"/>
          <w:bCs w:val="false"/>
          <w:sz w:val="19"/>
          <w:szCs w:val="19"/>
        </w:rPr>
        <w:t xml:space="preserve">5.2 Overconfidence</w:t>
      </w:r>
      <w:r>
        <w:rPr>
          <w:rFonts w:ascii="Calibri" w:cs="Calibri" w:eastAsia="Calibri" w:hAnsi="Calibri"/>
          <w:sz w:val="19"/>
          <w:szCs w:val="19"/>
        </w:rPr>
        <w:tab/>
      </w:r>
      <w:r>
        <w:rPr>
          <w:rFonts w:ascii="Calibri" w:cs="Calibri" w:eastAsia="Calibri" w:hAnsi="Calibri"/>
          <w:b w:val="false"/>
          <w:bCs w:val="false"/>
          <w:sz w:val="19"/>
          <w:szCs w:val="19"/>
        </w:rPr>
        <w:t xml:space="preserve">26</w:t>
      </w:r>
    </w:p>
    <w:p>
      <w:pPr>
        <w:tabs>
          <w:tab w:val="right" w:pos="9020" w:leader="dot"/>
        </w:tabs>
        <w:spacing w:after="30"/>
        <w:ind w:left="360"/>
      </w:pPr>
      <w:r>
        <w:rPr>
          <w:rFonts w:ascii="Calibri" w:cs="Calibri" w:eastAsia="Calibri" w:hAnsi="Calibri"/>
          <w:b w:val="false"/>
          <w:bCs w:val="false"/>
          <w:sz w:val="19"/>
          <w:szCs w:val="19"/>
        </w:rPr>
        <w:t xml:space="preserve">5.3 Anchoring bias</w:t>
      </w:r>
      <w:r>
        <w:rPr>
          <w:rFonts w:ascii="Calibri" w:cs="Calibri" w:eastAsia="Calibri" w:hAnsi="Calibri"/>
          <w:sz w:val="19"/>
          <w:szCs w:val="19"/>
        </w:rPr>
        <w:tab/>
      </w:r>
      <w:r>
        <w:rPr>
          <w:rFonts w:ascii="Calibri" w:cs="Calibri" w:eastAsia="Calibri" w:hAnsi="Calibri"/>
          <w:b w:val="false"/>
          <w:bCs w:val="false"/>
          <w:sz w:val="19"/>
          <w:szCs w:val="19"/>
        </w:rPr>
        <w:t xml:space="preserve">27</w:t>
      </w:r>
    </w:p>
    <w:p>
      <w:pPr>
        <w:tabs>
          <w:tab w:val="right" w:pos="9020" w:leader="dot"/>
        </w:tabs>
        <w:spacing w:after="30"/>
        <w:ind w:left="360"/>
      </w:pPr>
      <w:r>
        <w:rPr>
          <w:rFonts w:ascii="Calibri" w:cs="Calibri" w:eastAsia="Calibri" w:hAnsi="Calibri"/>
          <w:b w:val="false"/>
          <w:bCs w:val="false"/>
          <w:sz w:val="19"/>
          <w:szCs w:val="19"/>
        </w:rPr>
        <w:t xml:space="preserve">5.4 Representativeness bias</w:t>
      </w:r>
      <w:r>
        <w:rPr>
          <w:rFonts w:ascii="Calibri" w:cs="Calibri" w:eastAsia="Calibri" w:hAnsi="Calibri"/>
          <w:sz w:val="19"/>
          <w:szCs w:val="19"/>
        </w:rPr>
        <w:tab/>
      </w:r>
      <w:r>
        <w:rPr>
          <w:rFonts w:ascii="Calibri" w:cs="Calibri" w:eastAsia="Calibri" w:hAnsi="Calibri"/>
          <w:b w:val="false"/>
          <w:bCs w:val="false"/>
          <w:sz w:val="19"/>
          <w:szCs w:val="19"/>
        </w:rPr>
        <w:t xml:space="preserve">28</w:t>
      </w:r>
    </w:p>
    <w:p>
      <w:pPr>
        <w:tabs>
          <w:tab w:val="right" w:pos="9020" w:leader="dot"/>
        </w:tabs>
        <w:spacing w:after="30"/>
        <w:ind w:left="360"/>
      </w:pPr>
      <w:r>
        <w:rPr>
          <w:rFonts w:ascii="Calibri" w:cs="Calibri" w:eastAsia="Calibri" w:hAnsi="Calibri"/>
          <w:b w:val="false"/>
          <w:bCs w:val="false"/>
          <w:sz w:val="19"/>
          <w:szCs w:val="19"/>
        </w:rPr>
        <w:t xml:space="preserve">5.5 Recency bias</w:t>
      </w:r>
      <w:r>
        <w:rPr>
          <w:rFonts w:ascii="Calibri" w:cs="Calibri" w:eastAsia="Calibri" w:hAnsi="Calibri"/>
          <w:sz w:val="19"/>
          <w:szCs w:val="19"/>
        </w:rPr>
        <w:tab/>
      </w:r>
      <w:r>
        <w:rPr>
          <w:rFonts w:ascii="Calibri" w:cs="Calibri" w:eastAsia="Calibri" w:hAnsi="Calibri"/>
          <w:b w:val="false"/>
          <w:bCs w:val="false"/>
          <w:sz w:val="19"/>
          <w:szCs w:val="19"/>
        </w:rPr>
        <w:t xml:space="preserve">30</w:t>
      </w:r>
    </w:p>
    <w:p>
      <w:pPr>
        <w:tabs>
          <w:tab w:val="right" w:pos="9020" w:leader="dot"/>
        </w:tabs>
        <w:spacing w:after="30"/>
        <w:ind w:left="360"/>
      </w:pPr>
      <w:r>
        <w:rPr>
          <w:rFonts w:ascii="Calibri" w:cs="Calibri" w:eastAsia="Calibri" w:hAnsi="Calibri"/>
          <w:b w:val="false"/>
          <w:bCs w:val="false"/>
          <w:sz w:val="19"/>
          <w:szCs w:val="19"/>
        </w:rPr>
        <w:t xml:space="preserve">5.6 Conservatism bias</w:t>
      </w:r>
      <w:r>
        <w:rPr>
          <w:rFonts w:ascii="Calibri" w:cs="Calibri" w:eastAsia="Calibri" w:hAnsi="Calibri"/>
          <w:sz w:val="19"/>
          <w:szCs w:val="19"/>
        </w:rPr>
        <w:tab/>
      </w:r>
      <w:r>
        <w:rPr>
          <w:rFonts w:ascii="Calibri" w:cs="Calibri" w:eastAsia="Calibri" w:hAnsi="Calibri"/>
          <w:b w:val="false"/>
          <w:bCs w:val="false"/>
          <w:sz w:val="19"/>
          <w:szCs w:val="19"/>
        </w:rPr>
        <w:t xml:space="preserve">31</w:t>
      </w:r>
    </w:p>
    <w:p>
      <w:pPr>
        <w:tabs>
          <w:tab w:val="right" w:pos="9020" w:leader="dot"/>
        </w:tabs>
        <w:spacing w:after="30"/>
        <w:ind w:left="360"/>
      </w:pPr>
      <w:r>
        <w:rPr>
          <w:rFonts w:ascii="Calibri" w:cs="Calibri" w:eastAsia="Calibri" w:hAnsi="Calibri"/>
          <w:b w:val="false"/>
          <w:bCs w:val="false"/>
          <w:sz w:val="19"/>
          <w:szCs w:val="19"/>
        </w:rPr>
        <w:t xml:space="preserve">5.7 Herding</w:t>
      </w:r>
      <w:r>
        <w:rPr>
          <w:rFonts w:ascii="Calibri" w:cs="Calibri" w:eastAsia="Calibri" w:hAnsi="Calibri"/>
          <w:sz w:val="19"/>
          <w:szCs w:val="19"/>
        </w:rPr>
        <w:tab/>
      </w:r>
      <w:r>
        <w:rPr>
          <w:rFonts w:ascii="Calibri" w:cs="Calibri" w:eastAsia="Calibri" w:hAnsi="Calibri"/>
          <w:b w:val="false"/>
          <w:bCs w:val="false"/>
          <w:sz w:val="19"/>
          <w:szCs w:val="19"/>
        </w:rPr>
        <w:t xml:space="preserve">32</w:t>
      </w:r>
    </w:p>
    <w:p>
      <w:pPr>
        <w:tabs>
          <w:tab w:val="right" w:pos="9020" w:leader="dot"/>
        </w:tabs>
        <w:spacing w:after="30"/>
        <w:ind w:left="360"/>
      </w:pPr>
      <w:r>
        <w:rPr>
          <w:rFonts w:ascii="Calibri" w:cs="Calibri" w:eastAsia="Calibri" w:hAnsi="Calibri"/>
          <w:b w:val="false"/>
          <w:bCs w:val="false"/>
          <w:sz w:val="19"/>
          <w:szCs w:val="19"/>
        </w:rPr>
        <w:t xml:space="preserve">5.8 FOMO (fear of missing out)</w:t>
      </w:r>
      <w:r>
        <w:rPr>
          <w:rFonts w:ascii="Calibri" w:cs="Calibri" w:eastAsia="Calibri" w:hAnsi="Calibri"/>
          <w:sz w:val="19"/>
          <w:szCs w:val="19"/>
        </w:rPr>
        <w:tab/>
      </w:r>
      <w:r>
        <w:rPr>
          <w:rFonts w:ascii="Calibri" w:cs="Calibri" w:eastAsia="Calibri" w:hAnsi="Calibri"/>
          <w:b w:val="false"/>
          <w:bCs w:val="false"/>
          <w:sz w:val="19"/>
          <w:szCs w:val="19"/>
        </w:rPr>
        <w:t xml:space="preserve">33</w:t>
      </w:r>
    </w:p>
    <w:p>
      <w:pPr>
        <w:tabs>
          <w:tab w:val="right" w:pos="9020" w:leader="dot"/>
        </w:tabs>
        <w:spacing w:after="70"/>
        <w:ind w:left="0"/>
      </w:pPr>
      <w:r>
        <w:rPr>
          <w:rFonts w:ascii="Calibri" w:cs="Calibri" w:eastAsia="Calibri" w:hAnsi="Calibri"/>
          <w:b/>
          <w:bCs/>
          <w:sz w:val="21"/>
          <w:szCs w:val="21"/>
        </w:rPr>
        <w:t xml:space="preserve">6. Mitigating the Biases (Requirement 5)</w:t>
      </w:r>
      <w:r>
        <w:rPr>
          <w:rFonts w:ascii="Calibri" w:cs="Calibri" w:eastAsia="Calibri" w:hAnsi="Calibri"/>
          <w:sz w:val="19"/>
          <w:szCs w:val="19"/>
        </w:rPr>
        <w:tab/>
      </w:r>
      <w:r>
        <w:rPr>
          <w:rFonts w:ascii="Calibri" w:cs="Calibri" w:eastAsia="Calibri" w:hAnsi="Calibri"/>
          <w:b/>
          <w:bCs/>
          <w:sz w:val="21"/>
          <w:szCs w:val="21"/>
        </w:rPr>
        <w:t xml:space="preserve">35</w:t>
      </w:r>
    </w:p>
    <w:p>
      <w:pPr>
        <w:tabs>
          <w:tab w:val="right" w:pos="9020" w:leader="dot"/>
        </w:tabs>
        <w:spacing w:after="30"/>
        <w:ind w:left="360"/>
      </w:pPr>
      <w:r>
        <w:rPr>
          <w:rFonts w:ascii="Calibri" w:cs="Calibri" w:eastAsia="Calibri" w:hAnsi="Calibri"/>
          <w:b w:val="false"/>
          <w:bCs w:val="false"/>
          <w:sz w:val="19"/>
          <w:szCs w:val="19"/>
        </w:rPr>
        <w:t xml:space="preserve">6.1 Bias-by-bias mitigation and its Pine Script implementation</w:t>
      </w:r>
      <w:r>
        <w:rPr>
          <w:rFonts w:ascii="Calibri" w:cs="Calibri" w:eastAsia="Calibri" w:hAnsi="Calibri"/>
          <w:sz w:val="19"/>
          <w:szCs w:val="19"/>
        </w:rPr>
        <w:tab/>
      </w:r>
      <w:r>
        <w:rPr>
          <w:rFonts w:ascii="Calibri" w:cs="Calibri" w:eastAsia="Calibri" w:hAnsi="Calibri"/>
          <w:b w:val="false"/>
          <w:bCs w:val="false"/>
          <w:sz w:val="19"/>
          <w:szCs w:val="19"/>
        </w:rPr>
        <w:t xml:space="preserve">35</w:t>
      </w:r>
    </w:p>
    <w:p>
      <w:pPr>
        <w:tabs>
          <w:tab w:val="right" w:pos="9020" w:leader="dot"/>
        </w:tabs>
        <w:spacing w:after="30"/>
        <w:ind w:left="360"/>
      </w:pPr>
      <w:r>
        <w:rPr>
          <w:rFonts w:ascii="Calibri" w:cs="Calibri" w:eastAsia="Calibri" w:hAnsi="Calibri"/>
          <w:b w:val="false"/>
          <w:bCs w:val="false"/>
          <w:sz w:val="19"/>
          <w:szCs w:val="19"/>
        </w:rPr>
        <w:t xml:space="preserve">6.2 Testing the mitigations: chosen in-sample, judged out-of-sample</w:t>
      </w:r>
      <w:r>
        <w:rPr>
          <w:rFonts w:ascii="Calibri" w:cs="Calibri" w:eastAsia="Calibri" w:hAnsi="Calibri"/>
          <w:sz w:val="19"/>
          <w:szCs w:val="19"/>
        </w:rPr>
        <w:tab/>
      </w:r>
      <w:r>
        <w:rPr>
          <w:rFonts w:ascii="Calibri" w:cs="Calibri" w:eastAsia="Calibri" w:hAnsi="Calibri"/>
          <w:b w:val="false"/>
          <w:bCs w:val="false"/>
          <w:sz w:val="19"/>
          <w:szCs w:val="19"/>
        </w:rPr>
        <w:t xml:space="preserve">36</w:t>
      </w:r>
    </w:p>
    <w:p>
      <w:pPr>
        <w:tabs>
          <w:tab w:val="right" w:pos="9020" w:leader="dot"/>
        </w:tabs>
        <w:spacing w:after="30"/>
        <w:ind w:left="360"/>
      </w:pPr>
      <w:r>
        <w:rPr>
          <w:rFonts w:ascii="Calibri" w:cs="Calibri" w:eastAsia="Calibri" w:hAnsi="Calibri"/>
          <w:b w:val="false"/>
          <w:bCs w:val="false"/>
          <w:sz w:val="19"/>
          <w:szCs w:val="19"/>
        </w:rPr>
        <w:t xml:space="preserve">6.3 The out-of-sample verdict: subtraction beats addition</w:t>
      </w:r>
      <w:r>
        <w:rPr>
          <w:rFonts w:ascii="Calibri" w:cs="Calibri" w:eastAsia="Calibri" w:hAnsi="Calibri"/>
          <w:sz w:val="19"/>
          <w:szCs w:val="19"/>
        </w:rPr>
        <w:tab/>
      </w:r>
      <w:r>
        <w:rPr>
          <w:rFonts w:ascii="Calibri" w:cs="Calibri" w:eastAsia="Calibri" w:hAnsi="Calibri"/>
          <w:b w:val="false"/>
          <w:bCs w:val="false"/>
          <w:sz w:val="19"/>
          <w:szCs w:val="19"/>
        </w:rPr>
        <w:t xml:space="preserve">37</w:t>
      </w:r>
    </w:p>
    <w:p>
      <w:pPr>
        <w:tabs>
          <w:tab w:val="right" w:pos="9020" w:leader="dot"/>
        </w:tabs>
        <w:spacing w:after="30"/>
        <w:ind w:left="360"/>
      </w:pPr>
      <w:r>
        <w:rPr>
          <w:rFonts w:ascii="Calibri" w:cs="Calibri" w:eastAsia="Calibri" w:hAnsi="Calibri"/>
          <w:b w:val="false"/>
          <w:bCs w:val="false"/>
          <w:sz w:val="19"/>
          <w:szCs w:val="19"/>
        </w:rPr>
        <w:t xml:space="preserve">6.4 A pre-trade checklist enforced in code</w:t>
      </w:r>
      <w:r>
        <w:rPr>
          <w:rFonts w:ascii="Calibri" w:cs="Calibri" w:eastAsia="Calibri" w:hAnsi="Calibri"/>
          <w:sz w:val="19"/>
          <w:szCs w:val="19"/>
        </w:rPr>
        <w:tab/>
      </w:r>
      <w:r>
        <w:rPr>
          <w:rFonts w:ascii="Calibri" w:cs="Calibri" w:eastAsia="Calibri" w:hAnsi="Calibri"/>
          <w:b w:val="false"/>
          <w:bCs w:val="false"/>
          <w:sz w:val="19"/>
          <w:szCs w:val="19"/>
        </w:rPr>
        <w:t xml:space="preserve">37</w:t>
      </w:r>
    </w:p>
    <w:p>
      <w:pPr>
        <w:tabs>
          <w:tab w:val="right" w:pos="9020" w:leader="dot"/>
        </w:tabs>
        <w:spacing w:after="30"/>
        <w:ind w:left="360"/>
      </w:pPr>
      <w:r>
        <w:rPr>
          <w:rFonts w:ascii="Calibri" w:cs="Calibri" w:eastAsia="Calibri" w:hAnsi="Calibri"/>
          <w:b w:val="false"/>
          <w:bCs w:val="false"/>
          <w:sz w:val="19"/>
          <w:szCs w:val="19"/>
        </w:rPr>
        <w:t xml:space="preserve">6.5 Robustness: what would change our conclusions</w:t>
      </w:r>
      <w:r>
        <w:rPr>
          <w:rFonts w:ascii="Calibri" w:cs="Calibri" w:eastAsia="Calibri" w:hAnsi="Calibri"/>
          <w:sz w:val="19"/>
          <w:szCs w:val="19"/>
        </w:rPr>
        <w:tab/>
      </w:r>
      <w:r>
        <w:rPr>
          <w:rFonts w:ascii="Calibri" w:cs="Calibri" w:eastAsia="Calibri" w:hAnsi="Calibri"/>
          <w:b w:val="false"/>
          <w:bCs w:val="false"/>
          <w:sz w:val="19"/>
          <w:szCs w:val="19"/>
        </w:rPr>
        <w:t xml:space="preserve">38</w:t>
      </w:r>
    </w:p>
    <w:p>
      <w:pPr>
        <w:tabs>
          <w:tab w:val="right" w:pos="9020" w:leader="dot"/>
        </w:tabs>
        <w:spacing w:after="70"/>
        <w:ind w:left="0"/>
      </w:pPr>
      <w:r>
        <w:rPr>
          <w:rFonts w:ascii="Calibri" w:cs="Calibri" w:eastAsia="Calibri" w:hAnsi="Calibri"/>
          <w:b/>
          <w:bCs/>
          <w:sz w:val="21"/>
          <w:szCs w:val="21"/>
        </w:rPr>
        <w:t xml:space="preserve">7. Limitations</w:t>
      </w:r>
      <w:r>
        <w:rPr>
          <w:rFonts w:ascii="Calibri" w:cs="Calibri" w:eastAsia="Calibri" w:hAnsi="Calibri"/>
          <w:sz w:val="19"/>
          <w:szCs w:val="19"/>
        </w:rPr>
        <w:tab/>
      </w:r>
      <w:r>
        <w:rPr>
          <w:rFonts w:ascii="Calibri" w:cs="Calibri" w:eastAsia="Calibri" w:hAnsi="Calibri"/>
          <w:b/>
          <w:bCs/>
          <w:sz w:val="21"/>
          <w:szCs w:val="21"/>
        </w:rPr>
        <w:t xml:space="preserve">39</w:t>
      </w:r>
    </w:p>
    <w:p>
      <w:pPr>
        <w:tabs>
          <w:tab w:val="right" w:pos="9020" w:leader="dot"/>
        </w:tabs>
        <w:spacing w:after="70"/>
        <w:ind w:left="0"/>
      </w:pPr>
      <w:r>
        <w:rPr>
          <w:rFonts w:ascii="Calibri" w:cs="Calibri" w:eastAsia="Calibri" w:hAnsi="Calibri"/>
          <w:b/>
          <w:bCs/>
          <w:sz w:val="21"/>
          <w:szCs w:val="21"/>
        </w:rPr>
        <w:t xml:space="preserve">8. Conclusion and Recommendations</w:t>
      </w:r>
      <w:r>
        <w:rPr>
          <w:rFonts w:ascii="Calibri" w:cs="Calibri" w:eastAsia="Calibri" w:hAnsi="Calibri"/>
          <w:sz w:val="19"/>
          <w:szCs w:val="19"/>
        </w:rPr>
        <w:tab/>
      </w:r>
      <w:r>
        <w:rPr>
          <w:rFonts w:ascii="Calibri" w:cs="Calibri" w:eastAsia="Calibri" w:hAnsi="Calibri"/>
          <w:b/>
          <w:bCs/>
          <w:sz w:val="21"/>
          <w:szCs w:val="21"/>
        </w:rPr>
        <w:t xml:space="preserve">39</w:t>
      </w:r>
    </w:p>
    <w:p>
      <w:pPr>
        <w:tabs>
          <w:tab w:val="right" w:pos="9020" w:leader="dot"/>
        </w:tabs>
        <w:spacing w:after="70"/>
        <w:ind w:left="0"/>
      </w:pPr>
      <w:r>
        <w:rPr>
          <w:rFonts w:ascii="Calibri" w:cs="Calibri" w:eastAsia="Calibri" w:hAnsi="Calibri"/>
          <w:b/>
          <w:bCs/>
          <w:sz w:val="21"/>
          <w:szCs w:val="21"/>
        </w:rPr>
        <w:t xml:space="preserve">References</w:t>
      </w:r>
      <w:r>
        <w:rPr>
          <w:rFonts w:ascii="Calibri" w:cs="Calibri" w:eastAsia="Calibri" w:hAnsi="Calibri"/>
          <w:sz w:val="19"/>
          <w:szCs w:val="19"/>
        </w:rPr>
        <w:tab/>
      </w:r>
      <w:r>
        <w:rPr>
          <w:rFonts w:ascii="Calibri" w:cs="Calibri" w:eastAsia="Calibri" w:hAnsi="Calibri"/>
          <w:b/>
          <w:bCs/>
          <w:sz w:val="21"/>
          <w:szCs w:val="21"/>
        </w:rPr>
        <w:t xml:space="preserve">41</w:t>
      </w:r>
    </w:p>
    <w:p>
      <w:pPr>
        <w:tabs>
          <w:tab w:val="right" w:pos="9020" w:leader="dot"/>
        </w:tabs>
        <w:spacing w:after="70"/>
        <w:ind w:left="0"/>
      </w:pPr>
      <w:r>
        <w:rPr>
          <w:rFonts w:ascii="Calibri" w:cs="Calibri" w:eastAsia="Calibri" w:hAnsi="Calibri"/>
          <w:b/>
          <w:bCs/>
          <w:sz w:val="21"/>
          <w:szCs w:val="21"/>
        </w:rPr>
        <w:t xml:space="preserve">Appendix A. Pine Script File Inventory</w:t>
      </w:r>
      <w:r>
        <w:rPr>
          <w:rFonts w:ascii="Calibri" w:cs="Calibri" w:eastAsia="Calibri" w:hAnsi="Calibri"/>
          <w:sz w:val="19"/>
          <w:szCs w:val="19"/>
        </w:rPr>
        <w:tab/>
      </w:r>
      <w:r>
        <w:rPr>
          <w:rFonts w:ascii="Calibri" w:cs="Calibri" w:eastAsia="Calibri" w:hAnsi="Calibri"/>
          <w:b/>
          <w:bCs/>
          <w:sz w:val="21"/>
          <w:szCs w:val="21"/>
        </w:rPr>
        <w:t xml:space="preserve">43</w:t>
      </w:r>
    </w:p>
    <w:p>
      <w:pPr>
        <w:tabs>
          <w:tab w:val="right" w:pos="9020" w:leader="dot"/>
        </w:tabs>
        <w:spacing w:after="70"/>
        <w:ind w:left="0"/>
      </w:pPr>
      <w:r>
        <w:rPr>
          <w:rFonts w:ascii="Calibri" w:cs="Calibri" w:eastAsia="Calibri" w:hAnsi="Calibri"/>
          <w:b/>
          <w:bCs/>
          <w:sz w:val="21"/>
          <w:szCs w:val="21"/>
        </w:rPr>
        <w:t xml:space="preserve">Appendix B. Complete Pine Script Source</w:t>
      </w:r>
      <w:r>
        <w:rPr>
          <w:rFonts w:ascii="Calibri" w:cs="Calibri" w:eastAsia="Calibri" w:hAnsi="Calibri"/>
          <w:sz w:val="19"/>
          <w:szCs w:val="19"/>
        </w:rPr>
        <w:tab/>
      </w:r>
      <w:r>
        <w:rPr>
          <w:rFonts w:ascii="Calibri" w:cs="Calibri" w:eastAsia="Calibri" w:hAnsi="Calibri"/>
          <w:b/>
          <w:bCs/>
          <w:sz w:val="21"/>
          <w:szCs w:val="21"/>
        </w:rPr>
        <w:t xml:space="preserve">44</w:t>
      </w:r>
    </w:p>
    <w:p>
      <w:pPr>
        <w:tabs>
          <w:tab w:val="right" w:pos="9020" w:leader="dot"/>
        </w:tabs>
        <w:spacing w:after="30"/>
        <w:ind w:left="360"/>
      </w:pPr>
      <w:r>
        <w:rPr>
          <w:rFonts w:ascii="Calibri" w:cs="Calibri" w:eastAsia="Calibri" w:hAnsi="Calibri"/>
          <w:b w:val="false"/>
          <w:bCs w:val="false"/>
          <w:sz w:val="19"/>
          <w:szCs w:val="19"/>
        </w:rPr>
        <w:t xml:space="preserve">B.1–B.18 Source of all eighteen scripts</w:t>
      </w:r>
      <w:r>
        <w:rPr>
          <w:rFonts w:ascii="Calibri" w:cs="Calibri" w:eastAsia="Calibri" w:hAnsi="Calibri"/>
          <w:sz w:val="19"/>
          <w:szCs w:val="19"/>
        </w:rPr>
        <w:tab/>
      </w:r>
      <w:r>
        <w:rPr>
          <w:rFonts w:ascii="Calibri" w:cs="Calibri" w:eastAsia="Calibri" w:hAnsi="Calibri"/>
          <w:b w:val="false"/>
          <w:bCs w:val="false"/>
          <w:sz w:val="19"/>
          <w:szCs w:val="19"/>
        </w:rPr>
        <w:t xml:space="preserve">44</w:t>
      </w:r>
    </w:p>
    <w:p>
      <w:pPr>
        <w:pStyle w:val="Heading1"/>
        <w:pageBreakBefore/>
        <w:spacing w:after="200" w:before="0"/>
      </w:pPr>
      <w:r>
        <w:rPr>
          <w:rFonts w:ascii="Calibri" w:cs="Calibri" w:eastAsia="Calibri" w:hAnsi="Calibri"/>
          <w:b/>
          <w:bCs/>
          <w:color w:val="1F4E79"/>
          <w:sz w:val="32"/>
          <w:szCs w:val="32"/>
        </w:rPr>
        <w:t xml:space="preserve">Executive Summary</w:t>
      </w:r>
    </w:p>
    <w:p>
      <w:pPr>
        <w:spacing w:after="120" w:before="0" w:line="276"/>
        <w:jc w:val="both"/>
      </w:pPr>
      <w:r>
        <w:rPr>
          <w:rFonts w:ascii="Calibri" w:cs="Calibri" w:eastAsia="Calibri" w:hAnsi="Calibri"/>
          <w:sz w:val="21"/>
          <w:szCs w:val="21"/>
        </w:rPr>
        <w:t xml:space="preserve">We implemented </w:t>
      </w:r>
      <w:r>
        <w:rPr>
          <w:rFonts w:ascii="Calibri" w:cs="Calibri" w:eastAsia="Calibri" w:hAnsi="Calibri"/>
          <w:b/>
          <w:bCs/>
          <w:sz w:val="21"/>
          <w:szCs w:val="21"/>
        </w:rPr>
        <w:t xml:space="preserve">twelve technical indicators</w:t>
      </w:r>
      <w:r>
        <w:rPr>
          <w:rFonts w:ascii="Calibri" w:cs="Calibri" w:eastAsia="Calibri" w:hAnsi="Calibri"/>
          <w:sz w:val="21"/>
          <w:szCs w:val="21"/>
        </w:rPr>
        <w:t xml:space="preserve"> (SMA, EMA, RSI, MACD, Bollinger Bands, Stochastic, ADX/DMI, OBV, Supertrend, CCI, MFI and Donchian Channel) and </w:t>
      </w:r>
      <w:r>
        <w:rPr>
          <w:rFonts w:ascii="Calibri" w:cs="Calibri" w:eastAsia="Calibri" w:hAnsi="Calibri"/>
          <w:b/>
          <w:bCs/>
          <w:sz w:val="21"/>
          <w:szCs w:val="21"/>
        </w:rPr>
        <w:t xml:space="preserve">three horizon strategies</w:t>
      </w:r>
      <w:r>
        <w:rPr>
          <w:rFonts w:ascii="Calibri" w:cs="Calibri" w:eastAsia="Calibri" w:hAnsi="Calibri"/>
          <w:sz w:val="21"/>
          <w:szCs w:val="21"/>
        </w:rPr>
        <w:t xml:space="preserve"> (7-day mean reversion, 15-day momentum, 60-day trend following) in TradingView Pine Script v6, applied them to </w:t>
      </w:r>
      <w:r>
        <w:rPr>
          <w:rFonts w:ascii="Calibri" w:cs="Calibri" w:eastAsia="Calibri" w:hAnsi="Calibri"/>
          <w:b/>
          <w:bCs/>
          <w:sz w:val="21"/>
          <w:szCs w:val="21"/>
        </w:rPr>
        <w:t xml:space="preserve">seven NSE Top-100 stocks</w:t>
      </w:r>
      <w:r>
        <w:rPr>
          <w:rFonts w:ascii="Calibri" w:cs="Calibri" w:eastAsia="Calibri" w:hAnsi="Calibri"/>
          <w:sz w:val="21"/>
          <w:szCs w:val="21"/>
        </w:rPr>
        <w:t xml:space="preserve"> drawn from seven different sectors, and used the same machinery to demonstrate, measure and mitigate </w:t>
      </w:r>
      <w:r>
        <w:rPr>
          <w:rFonts w:ascii="Calibri" w:cs="Calibri" w:eastAsia="Calibri" w:hAnsi="Calibri"/>
          <w:b/>
          <w:bCs/>
          <w:sz w:val="21"/>
          <w:szCs w:val="21"/>
        </w:rPr>
        <w:t xml:space="preserve">eight behavioural biases</w:t>
      </w:r>
      <w:r>
        <w:rPr>
          <w:rFonts w:ascii="Calibri" w:cs="Calibri" w:eastAsia="Calibri" w:hAnsi="Calibri"/>
          <w:sz w:val="21"/>
          <w:szCs w:val="21"/>
        </w:rPr>
        <w:t xml:space="preserve">. Every exhibit is backed by a Pine script that reproduces it on a live TradingView chart, and every number was independently replicated in Python on 2,904 daily sessions per stock (1 Jan 2015 – 25 Sep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4E79" w:sz="12"/>
              <w:left w:val="single" w:color="BFBFBF" w:sz="4"/>
              <w:bottom w:val="single" w:color="BFBFBF" w:sz="4"/>
              <w:right w:val="single" w:color="BFBFBF" w:sz="4"/>
            </w:tcBorders>
            <w:shd w:fill="EAF1F8" w:color="auto" w:val="clear"/>
            <w:tcMar>
              <w:top w:type="dxa" w:w="120"/>
              <w:left w:type="dxa" w:w="160"/>
              <w:bottom w:type="dxa" w:w="120"/>
              <w:right w:type="dxa" w:w="160"/>
            </w:tcMar>
          </w:tcPr>
          <w:p>
            <w:pPr>
              <w:spacing w:after="80"/>
            </w:pPr>
            <w:r>
              <w:rPr>
                <w:rFonts w:ascii="Calibri" w:cs="Calibri" w:eastAsia="Calibri" w:hAnsi="Calibri"/>
                <w:b/>
                <w:bCs/>
                <w:color w:val="1F4E79"/>
                <w:sz w:val="22"/>
                <w:szCs w:val="22"/>
              </w:rPr>
              <w:t xml:space="preserve">Key findings</w:t>
            </w:r>
          </w:p>
          <w:p>
            <w:pPr>
              <w:pStyle w:val="ListParagraph"/>
              <w:numPr>
                <w:ilvl w:val="0"/>
                <w:numId w:val="2"/>
              </w:numPr>
              <w:spacing w:after="50" w:line="260"/>
            </w:pPr>
            <w:r>
              <w:rPr>
                <w:rFonts w:ascii="Calibri" w:cs="Calibri" w:eastAsia="Calibri" w:hAnsi="Calibri"/>
                <w:b/>
                <w:bCs/>
                <w:sz w:val="20"/>
                <w:szCs w:val="20"/>
              </w:rPr>
              <w:t xml:space="preserve">No indicator has a statistically detectable edge. </w:t>
            </w:r>
            <w:r>
              <w:rPr>
                <w:rFonts w:ascii="Calibri" w:cs="Calibri" w:eastAsia="Calibri" w:hAnsi="Calibri"/>
                <w:sz w:val="20"/>
                <w:szCs w:val="20"/>
              </w:rPr>
              <w:t xml:space="preserve">Pooled across the 7 stocks, none of the 12 canonical buy signals beats an average day at conventional significance: the best, the SMA 20/50 cross, adds 0.25 pp over 10 sessions (t = 0.78). The only significant results are negative: MFI crossing up through 20 (-1.00 pp, t = -2.19) and the Donchian 20-day breakout (-0.32 pp, t = -2.20) (Table 3.1).</w:t>
            </w:r>
          </w:p>
          <w:p>
            <w:pPr>
              <w:pStyle w:val="ListParagraph"/>
              <w:numPr>
                <w:ilvl w:val="0"/>
                <w:numId w:val="2"/>
              </w:numPr>
              <w:spacing w:after="50" w:line="260"/>
            </w:pPr>
            <w:r>
              <w:rPr>
                <w:rFonts w:ascii="Calibri" w:cs="Calibri" w:eastAsia="Calibri" w:hAnsi="Calibri"/>
                <w:b/>
                <w:bCs/>
                <w:sz w:val="20"/>
                <w:szCs w:val="20"/>
              </w:rPr>
              <w:t xml:space="preserve">After realistic costs and a Treasury-bill return on idle cash, only the 60-day trend strategy earns its keep. </w:t>
            </w:r>
            <w:r>
              <w:rPr>
                <w:rFonts w:ascii="Calibri" w:cs="Calibri" w:eastAsia="Calibri" w:hAnsi="Calibri"/>
                <w:sz w:val="20"/>
                <w:szCs w:val="20"/>
              </w:rPr>
              <w:t xml:space="preserve">At 0.15% per side and 6% a year on idle cash, Strategies A and B earn less than Treasury bills (excess Sharpe -0.02 and -0.24). Strategy C returns 7.9% a year with an excess Sharpe of 0.33, level with buy-and-hold's 0.32, at a 12% maximum drawdown against 40%. On unseen 2022–26 data, C beat buy-and-hold (Sharpe 0.42 vs 0.14; return 8.5% vs 7.1%; drawdown 7% vs 19%), although with 4.7 years of data the difference is within one standard error (±0.48).</w:t>
            </w:r>
          </w:p>
          <w:p>
            <w:pPr>
              <w:pStyle w:val="ListParagraph"/>
              <w:numPr>
                <w:ilvl w:val="0"/>
                <w:numId w:val="2"/>
              </w:numPr>
              <w:spacing w:after="50" w:line="260"/>
            </w:pPr>
            <w:r>
              <w:rPr>
                <w:rFonts w:ascii="Calibri" w:cs="Calibri" w:eastAsia="Calibri" w:hAnsi="Calibri"/>
                <w:b/>
                <w:bCs/>
                <w:sz w:val="20"/>
                <w:szCs w:val="20"/>
              </w:rPr>
              <w:t xml:space="preserve">Overconfidence lies in treating an in-sample result as a forecast. </w:t>
            </w:r>
            <w:r>
              <w:rPr>
                <w:rFonts w:ascii="Calibri" w:cs="Calibri" w:eastAsia="Calibri" w:hAnsi="Calibri"/>
                <w:sz w:val="20"/>
                <w:szCs w:val="20"/>
              </w:rPr>
              <w:t xml:space="preserve">The best of 25 Strategy A variants per stock promised an average Sharpe of 0.33 on 2015–21; on 2022–26 it delivered -0.02, and 6 of 7 stocks got worse. The untuned rule fell by a similar amount (0.12 to -0.35), so most of the fall is a change of regime after 2021, not overfitting alone. The bias is believing the in-sample number.</w:t>
            </w:r>
          </w:p>
          <w:p>
            <w:pPr>
              <w:pStyle w:val="ListParagraph"/>
              <w:numPr>
                <w:ilvl w:val="0"/>
                <w:numId w:val="2"/>
              </w:numPr>
              <w:spacing w:after="50" w:line="260"/>
            </w:pPr>
            <w:r>
              <w:rPr>
                <w:rFonts w:ascii="Calibri" w:cs="Calibri" w:eastAsia="Calibri" w:hAnsi="Calibri"/>
                <w:b/>
                <w:bCs/>
                <w:sz w:val="20"/>
                <w:szCs w:val="20"/>
              </w:rPr>
              <w:t xml:space="preserve">Confirmation is an illusion of corroboration. </w:t>
            </w:r>
            <w:r>
              <w:rPr>
                <w:rFonts w:ascii="Calibri" w:cs="Calibri" w:eastAsia="Calibri" w:hAnsi="Calibri"/>
                <w:sz w:val="20"/>
                <w:szCs w:val="20"/>
              </w:rPr>
              <w:t xml:space="preserve">The other eleven indicators correlate 0.64–0.95 with RSI, and CCI with Bollinger %B 0.98. Stacking redundant confirmations changed the RSI signal's hit rate by less than one point (all |z| &lt; 0.2) while discarding up to 43% of the signals.</w:t>
            </w:r>
          </w:p>
          <w:p>
            <w:pPr>
              <w:pStyle w:val="ListParagraph"/>
              <w:numPr>
                <w:ilvl w:val="0"/>
                <w:numId w:val="2"/>
              </w:numPr>
              <w:spacing w:after="50" w:line="260"/>
            </w:pPr>
            <w:r>
              <w:rPr>
                <w:rFonts w:ascii="Calibri" w:cs="Calibri" w:eastAsia="Calibri" w:hAnsi="Calibri"/>
                <w:b/>
                <w:bCs/>
                <w:sz w:val="20"/>
                <w:szCs w:val="20"/>
              </w:rPr>
              <w:t xml:space="preserve">The evidence differs in strength from bias to bias, and we grade it accordingly. </w:t>
            </w:r>
            <w:r>
              <w:rPr>
                <w:rFonts w:ascii="Calibri" w:cs="Calibri" w:eastAsia="Calibri" w:hAnsi="Calibri"/>
                <w:sz w:val="20"/>
                <w:szCs w:val="20"/>
              </w:rPr>
              <w:t xml:space="preserve">Clear: confirmation, overconfidence, representativeness (no textbook pattern differed from its base rate) and anchoring, where holding losers to breakeven added 67 sessions and a 13.3% average interim loss, a risk cost that survivorship disguises as a return gain. Suggestive: herding (visible breakouts lag the average day; significant only for the Donchian breakout at 10 days, t = -2.20) and conservatism (one crash). Mixed: recency (chasing last quarter's winner lowered the Sharpe ratio on 4 of 7 stocks but raised return on 4). Not supported: FOMO (a 10-day delay cut Strategy C's average trade, but t = 0.63).</w:t>
            </w:r>
          </w:p>
          <w:p>
            <w:pPr>
              <w:pStyle w:val="ListParagraph"/>
              <w:numPr>
                <w:ilvl w:val="0"/>
                <w:numId w:val="2"/>
              </w:numPr>
              <w:spacing w:after="50" w:line="260"/>
            </w:pPr>
            <w:r>
              <w:rPr>
                <w:rFonts w:ascii="Calibri" w:cs="Calibri" w:eastAsia="Calibri" w:hAnsi="Calibri"/>
                <w:b/>
                <w:bCs/>
                <w:sz w:val="20"/>
                <w:szCs w:val="20"/>
              </w:rPr>
              <w:t xml:space="preserve">The mitigation that survives out-of-sample is subtraction, not addition. </w:t>
            </w:r>
            <w:r>
              <w:rPr>
                <w:rFonts w:ascii="Calibri" w:cs="Calibri" w:eastAsia="Calibri" w:hAnsi="Calibri"/>
                <w:sz w:val="20"/>
                <w:szCs w:val="20"/>
              </w:rPr>
              <w:t xml:space="preserve">Of six candidate rules chosen on 2015–21 data only, one was adopted (an ATR stop for Strategy B), and B stayed negative out-of-sample (Sharpe -0.88 to -0.69). Supertrend as a trailing exit was tested and rejected. The disciplined 21-sleeve portfolio scored -0.16 out-of-sample against 0.42 for Strategy C alone: the effective de-biasing step was to drop the rules that do not clear the cost-and-cash hurdle.</w:t>
            </w:r>
          </w:p>
        </w:tc>
      </w:tr>
    </w:tbl>
    <w:p>
      <w:pPr>
        <w:spacing w:after="120"/>
      </w:pPr>
    </w:p>
    <w:p>
      <w:pPr>
        <w:spacing w:after="120" w:before="0" w:line="276"/>
        <w:jc w:val="both"/>
      </w:pPr>
      <w:r>
        <w:rPr>
          <w:rFonts w:ascii="Calibri" w:cs="Calibri" w:eastAsia="Calibri" w:hAnsi="Calibri"/>
          <w:b/>
          <w:bCs/>
          <w:sz w:val="21"/>
          <w:szCs w:val="21"/>
        </w:rPr>
        <w:t xml:space="preserve">Recommendation. </w:t>
      </w:r>
      <w:r>
        <w:rPr>
          <w:rFonts w:ascii="Calibri" w:cs="Calibri" w:eastAsia="Calibri" w:hAnsi="Calibri"/>
          <w:sz w:val="21"/>
          <w:szCs w:val="21"/>
        </w:rPr>
        <w:t xml:space="preserve">For a retail broker or robo-advisory platform, the evidence supports four defaults: steer rule-based users towards long horizons; show the all-in cost of a trade and the Treasury-bill hurdle before the order is placed; print the base rate beside any chart pattern; and show any optimised backtest only next to its out-of-sample record. Section 8 develops these.</w:t>
      </w:r>
    </w:p>
    <w:p>
      <w:pPr>
        <w:spacing w:after="80"/>
      </w:pPr>
    </w:p>
    <w:p>
      <w:pPr>
        <w:spacing w:after="120" w:before="0" w:line="276"/>
        <w:jc w:val="both"/>
      </w:pPr>
      <w:r>
        <w:rPr>
          <w:rFonts w:ascii="Calibri" w:cs="Calibri" w:eastAsia="Calibri" w:hAnsi="Calibri"/>
          <w:b/>
          <w:bCs/>
          <w:sz w:val="21"/>
          <w:szCs w:val="21"/>
        </w:rPr>
        <w:t xml:space="preserve">How to read this report. </w:t>
      </w:r>
      <w:r>
        <w:rPr>
          <w:rFonts w:ascii="Calibri" w:cs="Calibri" w:eastAsia="Calibri" w:hAnsi="Calibri"/>
          <w:sz w:val="21"/>
          <w:szCs w:val="21"/>
        </w:rPr>
        <w:t xml:space="preserve">Section 1 maps every assignment requirement to a section, a Pine file and an exhibit. Section 2 describes the data and backtest conventions. Section 3 covers the twelve indicators (requirement 1) and Section 4 the three horizon strategies (requirement 2). Section 5 discusses each of the eight biases and illustrates it with a Pine Script example and evidence from the seven stocks (requirements 3 and 4). Section 6 sets out mitigation, tests it out-of-sample and checks how robust the conclusions are to costs, the cash rate and sampling error (requirement 5). The complete source of all eighteen Pine scripts is reproduced in Appendix B.</w:t>
      </w:r>
    </w:p>
    <w:p>
      <w:pPr>
        <w:pStyle w:val="Heading1"/>
        <w:pageBreakBefore/>
        <w:spacing w:after="200" w:before="0"/>
      </w:pPr>
      <w:r>
        <w:rPr>
          <w:rFonts w:ascii="Calibri" w:cs="Calibri" w:eastAsia="Calibri" w:hAnsi="Calibri"/>
          <w:b/>
          <w:bCs/>
          <w:color w:val="1F4E79"/>
          <w:sz w:val="32"/>
          <w:szCs w:val="32"/>
        </w:rPr>
        <w:t xml:space="preserve">1. Objective, Scope and Requirement Map</w:t>
      </w:r>
    </w:p>
    <w:p>
      <w:pPr>
        <w:spacing w:after="120" w:before="0" w:line="276"/>
        <w:jc w:val="both"/>
      </w:pPr>
      <w:r>
        <w:rPr>
          <w:rFonts w:ascii="Calibri" w:cs="Calibri" w:eastAsia="Calibri" w:hAnsi="Calibri"/>
          <w:sz w:val="21"/>
          <w:szCs w:val="21"/>
        </w:rPr>
        <w:t xml:space="preserve">The objective is to implement a technical-analysis trading strategy on TradingView using Pine Script, and to examine how behavioural biases distort such strategies and how those distortions can be contained. Technical analysis is a natural laboratory for behavioural finance: its signals are visual, pattern-based and open to interpretation, which is exactly where heuristics such as confirmation, anchoring and representativeness operate (Lo, Mamaysky &amp; Wang, 2000; Park &amp; Irwin, 2007). The same chart can therefore be read rationally or through a bias, and Pine Script lets us make both readings explicit, testable rules.</w:t>
      </w:r>
    </w:p>
    <w:p>
      <w:pPr>
        <w:spacing w:after="120" w:before="0" w:line="276"/>
        <w:jc w:val="both"/>
      </w:pPr>
      <w:r>
        <w:rPr>
          <w:rFonts w:ascii="Calibri" w:cs="Calibri" w:eastAsia="Calibri" w:hAnsi="Calibri"/>
          <w:b/>
          <w:bCs/>
          <w:sz w:val="21"/>
          <w:szCs w:val="21"/>
        </w:rPr>
        <w:t xml:space="preserve">Why it matters in India. </w:t>
      </w:r>
      <w:r>
        <w:rPr>
          <w:rFonts w:ascii="Calibri" w:cs="Calibri" w:eastAsia="Calibri" w:hAnsi="Calibri"/>
          <w:sz w:val="21"/>
          <w:szCs w:val="21"/>
        </w:rPr>
        <w:t xml:space="preserve">SEBI's study of the equity derivatives segment found that 93% of about one crore individual F&amp;O traders lost money between FY22 and FY24, an average loss of roughly ₹2 lakh each including costs (SEBI, 2024). Much of that trading is chart- and signal-driven. The question this project asks is therefore practical: do the tools fail, or does the way people use them fail?</w:t>
      </w:r>
    </w:p>
    <w:p>
      <w:pPr>
        <w:spacing w:after="120" w:before="0" w:line="276"/>
        <w:jc w:val="both"/>
      </w:pPr>
      <w:r>
        <w:rPr>
          <w:rFonts w:ascii="Calibri" w:cs="Calibri" w:eastAsia="Calibri" w:hAnsi="Calibri"/>
          <w:sz w:val="21"/>
          <w:szCs w:val="21"/>
        </w:rPr>
        <w:t xml:space="preserve">This submission extends our preliminary single-stock pilot (Reliance) to the full requirement of </w:t>
      </w:r>
      <w:r>
        <w:rPr>
          <w:rFonts w:ascii="Calibri" w:cs="Calibri" w:eastAsia="Calibri" w:hAnsi="Calibri"/>
          <w:b/>
          <w:bCs/>
          <w:sz w:val="21"/>
          <w:szCs w:val="21"/>
        </w:rPr>
        <w:t xml:space="preserve">seven NSE Top-100 stocks</w:t>
      </w:r>
      <w:r>
        <w:rPr>
          <w:rFonts w:ascii="Calibri" w:cs="Calibri" w:eastAsia="Calibri" w:hAnsi="Calibri"/>
          <w:sz w:val="21"/>
          <w:szCs w:val="21"/>
        </w:rPr>
        <w:t xml:space="preserve">, rebuilds the strategy rules with trend and volume filters informed by the pilot, adds a formal in-sample / out-of-sample protocol, and replaces the pilot's descriptive bias discussion with a measured experiment for each bias.</w:t>
      </w:r>
    </w:p>
    <w:p>
      <w:pPr>
        <w:keepNext/>
        <w:spacing w:after="80" w:before="160"/>
      </w:pPr>
      <w:r>
        <w:rPr>
          <w:rFonts w:ascii="Calibri" w:cs="Calibri" w:eastAsia="Calibri" w:hAnsi="Calibri"/>
          <w:b/>
          <w:bCs/>
          <w:color w:val="2E2E2E"/>
          <w:sz w:val="19"/>
          <w:szCs w:val="19"/>
        </w:rPr>
        <w:t xml:space="preserve">Exhibit 0. Where each requirement is answered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1700"/>
        <w:gridCol w:w="2300"/>
        <w:gridCol w:w="1526"/>
      </w:tblGrid>
      <w:tr>
        <w:trPr>
          <w:cantSplit/>
          <w:tblHeader/>
        </w:trPr>
        <w:tc>
          <w:tcPr>
            <w:tcW w:type="dxa" w:w="5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tcPr>
          <w:p>
            <w:pPr>
              <w:jc w:val="left"/>
            </w:pPr>
            <w:r>
              <w:rPr>
                <w:rFonts w:ascii="Calibri" w:cs="Calibri" w:eastAsia="Calibri" w:hAnsi="Calibri"/>
                <w:b/>
                <w:bCs/>
                <w:color w:val="FFFFFF"/>
                <w:sz w:val="17"/>
                <w:szCs w:val="17"/>
              </w:rPr>
              <w:t xml:space="preserve">#</w:t>
            </w:r>
          </w:p>
        </w:tc>
        <w:tc>
          <w:tcPr>
            <w:tcW w:type="dxa" w:w="30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tcPr>
          <w:p>
            <w:pPr>
              <w:jc w:val="left"/>
            </w:pPr>
            <w:r>
              <w:rPr>
                <w:rFonts w:ascii="Calibri" w:cs="Calibri" w:eastAsia="Calibri" w:hAnsi="Calibri"/>
                <w:b/>
                <w:bCs/>
                <w:color w:val="FFFFFF"/>
                <w:sz w:val="17"/>
                <w:szCs w:val="17"/>
              </w:rPr>
              <w:t xml:space="preserve">Assignment requirement</w:t>
            </w:r>
          </w:p>
        </w:tc>
        <w:tc>
          <w:tcPr>
            <w:tcW w:type="dxa" w:w="17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tcPr>
          <w:p>
            <w:pPr>
              <w:jc w:val="left"/>
            </w:pPr>
            <w:r>
              <w:rPr>
                <w:rFonts w:ascii="Calibri" w:cs="Calibri" w:eastAsia="Calibri" w:hAnsi="Calibri"/>
                <w:b/>
                <w:bCs/>
                <w:color w:val="FFFFFF"/>
                <w:sz w:val="17"/>
                <w:szCs w:val="17"/>
              </w:rPr>
              <w:t xml:space="preserve">Report section</w:t>
            </w:r>
          </w:p>
        </w:tc>
        <w:tc>
          <w:tcPr>
            <w:tcW w:type="dxa" w:w="23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tcPr>
          <w:p>
            <w:pPr>
              <w:jc w:val="left"/>
            </w:pPr>
            <w:r>
              <w:rPr>
                <w:rFonts w:ascii="Calibri" w:cs="Calibri" w:eastAsia="Calibri" w:hAnsi="Calibri"/>
                <w:b/>
                <w:bCs/>
                <w:color w:val="FFFFFF"/>
                <w:sz w:val="17"/>
                <w:szCs w:val="17"/>
              </w:rPr>
              <w:t xml:space="preserve">Pine Script file(s)</w:t>
            </w:r>
          </w:p>
        </w:tc>
        <w:tc>
          <w:tcPr>
            <w:tcW w:type="dxa" w:w="1526"/>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tcPr>
          <w:p>
            <w:pPr>
              <w:jc w:val="left"/>
            </w:pPr>
            <w:r>
              <w:rPr>
                <w:rFonts w:ascii="Calibri" w:cs="Calibri" w:eastAsia="Calibri" w:hAnsi="Calibri"/>
                <w:b/>
                <w:bCs/>
                <w:color w:val="FFFFFF"/>
                <w:sz w:val="17"/>
                <w:szCs w:val="17"/>
              </w:rPr>
              <w:t xml:space="preserve">Exhibits</w:t>
            </w:r>
          </w:p>
        </w:tc>
      </w:tr>
      <w:tr>
        <w:trPr>
          <w:cantSplit/>
        </w:trPr>
        <w:tc>
          <w:tcPr>
            <w:tcW w:type="dxa" w:w="5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1</w:t>
            </w:r>
          </w:p>
        </w:tc>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 8 technical indicators on ≥ 7 NSE Top-100 stocks (we use 12)</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3</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01–12, 13 (12 × 7 dashboard)</w:t>
            </w:r>
          </w:p>
        </w:tc>
        <w:tc>
          <w:tcPr>
            <w:tcW w:type="dxa" w:w="15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2–16</w:t>
            </w:r>
          </w:p>
        </w:tc>
      </w:tr>
      <w:tr>
        <w:trPr>
          <w:cantSplit/>
        </w:trPr>
        <w:tc>
          <w:tcPr>
            <w:tcW w:type="dxa" w:w="5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color w:val="000000"/>
                <w:sz w:val="17"/>
                <w:szCs w:val="17"/>
              </w:rPr>
              <w:t xml:space="preserve">2</w:t>
            </w:r>
          </w:p>
        </w:tc>
        <w:tc>
          <w:tcPr>
            <w:tcW w:type="dxa" w:w="30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color w:val="000000"/>
                <w:sz w:val="17"/>
                <w:szCs w:val="17"/>
              </w:rPr>
              <w:t xml:space="preserve">Trading strategies for 7-, 15- and 60-day horizons</w:t>
            </w:r>
          </w:p>
        </w:tc>
        <w:tc>
          <w:tcPr>
            <w:tcW w:type="dxa" w:w="17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color w:val="000000"/>
                <w:sz w:val="17"/>
                <w:szCs w:val="17"/>
              </w:rPr>
              <w:t xml:space="preserve">4</w:t>
            </w:r>
          </w:p>
        </w:tc>
        <w:tc>
          <w:tcPr>
            <w:tcW w:type="dxa" w:w="23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color w:val="000000"/>
                <w:sz w:val="17"/>
                <w:szCs w:val="17"/>
              </w:rPr>
              <w:t xml:space="preserve">14, 15, 16</w:t>
            </w:r>
          </w:p>
        </w:tc>
        <w:tc>
          <w:tcPr>
            <w:tcW w:type="dxa" w:w="1526"/>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color w:val="000000"/>
                <w:sz w:val="17"/>
                <w:szCs w:val="17"/>
              </w:rPr>
              <w:t xml:space="preserve">17–21, Tables 4.1–4.6</w:t>
            </w:r>
          </w:p>
        </w:tc>
      </w:tr>
      <w:tr>
        <w:trPr>
          <w:cantSplit/>
        </w:trPr>
        <w:tc>
          <w:tcPr>
            <w:tcW w:type="dxa" w:w="5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3</w:t>
            </w:r>
          </w:p>
        </w:tc>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Discussion of 8 biases' impact on a TA strategy</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5.1–5.8 ('Impact')</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w:t>
            </w:r>
          </w:p>
        </w:tc>
        <w:tc>
          <w:tcPr>
            <w:tcW w:type="dxa" w:w="15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w:t>
            </w:r>
          </w:p>
        </w:tc>
      </w:tr>
      <w:tr>
        <w:trPr>
          <w:cantSplit/>
        </w:trPr>
        <w:tc>
          <w:tcPr>
            <w:tcW w:type="dxa" w:w="5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color w:val="000000"/>
                <w:sz w:val="17"/>
                <w:szCs w:val="17"/>
              </w:rPr>
              <w:t xml:space="preserve">4</w:t>
            </w:r>
          </w:p>
        </w:tc>
        <w:tc>
          <w:tcPr>
            <w:tcW w:type="dxa" w:w="30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color w:val="000000"/>
                <w:sz w:val="17"/>
                <w:szCs w:val="17"/>
              </w:rPr>
              <w:t xml:space="preserve">Illustrative examples of each bias</w:t>
            </w:r>
          </w:p>
        </w:tc>
        <w:tc>
          <w:tcPr>
            <w:tcW w:type="dxa" w:w="17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color w:val="000000"/>
                <w:sz w:val="17"/>
                <w:szCs w:val="17"/>
              </w:rPr>
              <w:t xml:space="preserve">5.1–5.8 ('Illustration')</w:t>
            </w:r>
          </w:p>
        </w:tc>
        <w:tc>
          <w:tcPr>
            <w:tcW w:type="dxa" w:w="23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color w:val="000000"/>
                <w:sz w:val="17"/>
                <w:szCs w:val="17"/>
              </w:rPr>
              <w:t xml:space="preserve">17 (Bias Lab, 8 modes)</w:t>
            </w:r>
          </w:p>
        </w:tc>
        <w:tc>
          <w:tcPr>
            <w:tcW w:type="dxa" w:w="1526"/>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color w:val="000000"/>
                <w:sz w:val="17"/>
                <w:szCs w:val="17"/>
              </w:rPr>
              <w:t xml:space="preserve">22–29</w:t>
            </w:r>
          </w:p>
        </w:tc>
      </w:tr>
      <w:tr>
        <w:trPr>
          <w:cantSplit/>
        </w:trPr>
        <w:tc>
          <w:tcPr>
            <w:tcW w:type="dxa" w:w="5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5</w:t>
            </w:r>
          </w:p>
        </w:tc>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Mitigation of each bias</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6</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18 (Disciplined strategy), 17</w:t>
            </w:r>
          </w:p>
        </w:tc>
        <w:tc>
          <w:tcPr>
            <w:tcW w:type="dxa" w:w="15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30–31, Tables 6.1–6.4</w:t>
            </w:r>
          </w:p>
        </w:tc>
      </w:tr>
      <w:tr>
        <w:trPr>
          <w:cantSplit/>
        </w:trPr>
        <w:tc>
          <w:tcPr>
            <w:tcW w:type="dxa" w:w="5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color w:val="000000"/>
                <w:sz w:val="17"/>
                <w:szCs w:val="17"/>
              </w:rPr>
              <w:t xml:space="preserve">—</w:t>
            </w:r>
          </w:p>
        </w:tc>
        <w:tc>
          <w:tcPr>
            <w:tcW w:type="dxa" w:w="30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color w:val="000000"/>
                <w:sz w:val="17"/>
                <w:szCs w:val="17"/>
              </w:rPr>
              <w:t xml:space="preserve">Illustration in TradingView / Pine Script at each step</w:t>
            </w:r>
          </w:p>
        </w:tc>
        <w:tc>
          <w:tcPr>
            <w:tcW w:type="dxa" w:w="17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color w:val="000000"/>
                <w:sz w:val="17"/>
                <w:szCs w:val="17"/>
              </w:rPr>
              <w:t xml:space="preserve">Throughout + App. B</w:t>
            </w:r>
          </w:p>
        </w:tc>
        <w:tc>
          <w:tcPr>
            <w:tcW w:type="dxa" w:w="23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color w:val="000000"/>
                <w:sz w:val="17"/>
                <w:szCs w:val="17"/>
              </w:rPr>
              <w:t xml:space="preserve">All 18 files</w:t>
            </w:r>
          </w:p>
        </w:tc>
        <w:tc>
          <w:tcPr>
            <w:tcW w:type="dxa" w:w="1526"/>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color w:val="000000"/>
                <w:sz w:val="17"/>
                <w:szCs w:val="17"/>
              </w:rPr>
              <w:t xml:space="preserve">—</w:t>
            </w:r>
          </w:p>
        </w:tc>
      </w:tr>
    </w:tbl>
    <w:p>
      <w:pPr>
        <w:pStyle w:val="Heading1"/>
        <w:pageBreakBefore/>
        <w:spacing w:after="200" w:before="0"/>
      </w:pPr>
      <w:r>
        <w:rPr>
          <w:rFonts w:ascii="Calibri" w:cs="Calibri" w:eastAsia="Calibri" w:hAnsi="Calibri"/>
          <w:b/>
          <w:bCs/>
          <w:color w:val="1F4E79"/>
          <w:sz w:val="32"/>
          <w:szCs w:val="32"/>
        </w:rPr>
        <w:t xml:space="preserve">2. Data, Sample and Methodology</w:t>
      </w:r>
    </w:p>
    <w:p>
      <w:pPr>
        <w:pStyle w:val="Heading2"/>
        <w:keepNext/>
        <w:spacing w:after="120" w:before="240"/>
      </w:pPr>
      <w:r>
        <w:rPr>
          <w:rFonts w:ascii="Calibri" w:cs="Calibri" w:eastAsia="Calibri" w:hAnsi="Calibri"/>
          <w:b/>
          <w:bCs/>
          <w:color w:val="1F4E79"/>
          <w:sz w:val="26"/>
          <w:szCs w:val="26"/>
        </w:rPr>
        <w:t xml:space="preserve">2.1 The seven stocks</w:t>
      </w:r>
    </w:p>
    <w:p>
      <w:pPr>
        <w:spacing w:after="120" w:before="0" w:line="276"/>
        <w:jc w:val="both"/>
      </w:pPr>
      <w:r>
        <w:rPr>
          <w:rFonts w:ascii="Calibri" w:cs="Calibri" w:eastAsia="Calibri" w:hAnsi="Calibri"/>
          <w:sz w:val="21"/>
          <w:szCs w:val="21"/>
        </w:rPr>
        <w:t xml:space="preserve">We chose one large, liquid NSE Top-100 constituent from each of seven sectors so that the indicators and strategies are tested across different price behaviours: a trending conglomerate (Reliance), a bank (HDFC Bank), an IT exporter (Infosys), a range-bound defensive (ITC), a cyclical (Maruti Suzuki), a pharma name with a deep 2015–18 drawdown (Sun Pharma) and a capital-goods compounder (L&amp;T). Using different sectors matters: an indicator that 'works' only on one stock is more likely to be a sample artefact than a property of the indicator.</w:t>
      </w:r>
    </w:p>
    <w:p>
      <w:pPr>
        <w:keepNext/>
        <w:spacing w:after="80" w:before="160"/>
      </w:pPr>
      <w:r>
        <w:rPr>
          <w:rFonts w:ascii="Calibri" w:cs="Calibri" w:eastAsia="Calibri" w:hAnsi="Calibri"/>
          <w:b/>
          <w:bCs/>
          <w:color w:val="2E2E2E"/>
          <w:sz w:val="19"/>
          <w:szCs w:val="19"/>
        </w:rPr>
        <w:t xml:space="preserve">Table 2.1 Sample statistics, 1 Jan 2015 – 25 Sep 2026 (adjusted daily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50"/>
        <w:gridCol w:w="1350"/>
        <w:gridCol w:w="1500"/>
        <w:gridCol w:w="800"/>
        <w:gridCol w:w="900"/>
        <w:gridCol w:w="900"/>
        <w:gridCol w:w="750"/>
        <w:gridCol w:w="800"/>
        <w:gridCol w:w="776"/>
      </w:tblGrid>
      <w:tr>
        <w:trPr>
          <w:cantSplit/>
          <w:tblHeader/>
        </w:trPr>
        <w:tc>
          <w:tcPr>
            <w:tcW w:type="dxa" w:w="125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tcPr>
          <w:p>
            <w:pPr>
              <w:jc w:val="left"/>
            </w:pPr>
            <w:r>
              <w:rPr>
                <w:rFonts w:ascii="Calibri" w:cs="Calibri" w:eastAsia="Calibri" w:hAnsi="Calibri"/>
                <w:b/>
                <w:bCs/>
                <w:color w:val="FFFFFF"/>
                <w:sz w:val="17"/>
                <w:szCs w:val="17"/>
              </w:rPr>
              <w:t xml:space="preserve">Symbol</w:t>
            </w:r>
          </w:p>
        </w:tc>
        <w:tc>
          <w:tcPr>
            <w:tcW w:type="dxa" w:w="135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tcPr>
          <w:p>
            <w:pPr>
              <w:jc w:val="center"/>
            </w:pPr>
            <w:r>
              <w:rPr>
                <w:rFonts w:ascii="Calibri" w:cs="Calibri" w:eastAsia="Calibri" w:hAnsi="Calibri"/>
                <w:b/>
                <w:bCs/>
                <w:color w:val="FFFFFF"/>
                <w:sz w:val="17"/>
                <w:szCs w:val="17"/>
              </w:rPr>
              <w:t xml:space="preserve">Company</w:t>
            </w:r>
          </w:p>
        </w:tc>
        <w:tc>
          <w:tcPr>
            <w:tcW w:type="dxa" w:w="15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tcPr>
          <w:p>
            <w:pPr>
              <w:jc w:val="center"/>
            </w:pPr>
            <w:r>
              <w:rPr>
                <w:rFonts w:ascii="Calibri" w:cs="Calibri" w:eastAsia="Calibri" w:hAnsi="Calibri"/>
                <w:b/>
                <w:bCs/>
                <w:color w:val="FFFFFF"/>
                <w:sz w:val="17"/>
                <w:szCs w:val="17"/>
              </w:rPr>
              <w:t xml:space="preserve">Sector</w:t>
            </w:r>
          </w:p>
        </w:tc>
        <w:tc>
          <w:tcPr>
            <w:tcW w:type="dxa" w:w="8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tcPr>
          <w:p>
            <w:pPr>
              <w:jc w:val="center"/>
            </w:pPr>
            <w:r>
              <w:rPr>
                <w:rFonts w:ascii="Calibri" w:cs="Calibri" w:eastAsia="Calibri" w:hAnsi="Calibri"/>
                <w:b/>
                <w:bCs/>
                <w:color w:val="FFFFFF"/>
                <w:sz w:val="17"/>
                <w:szCs w:val="17"/>
              </w:rPr>
              <w:t xml:space="preserve">Sessions</w:t>
            </w:r>
          </w:p>
        </w:tc>
        <w:tc>
          <w:tcPr>
            <w:tcW w:type="dxa" w:w="9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tcPr>
          <w:p>
            <w:pPr>
              <w:jc w:val="center"/>
            </w:pPr>
            <w:r>
              <w:rPr>
                <w:rFonts w:ascii="Calibri" w:cs="Calibri" w:eastAsia="Calibri" w:hAnsi="Calibri"/>
                <w:b/>
                <w:bCs/>
                <w:color w:val="FFFFFF"/>
                <w:sz w:val="17"/>
                <w:szCs w:val="17"/>
              </w:rPr>
              <w:t xml:space="preserve">Close Jan-15 (₹)</w:t>
            </w:r>
          </w:p>
        </w:tc>
        <w:tc>
          <w:tcPr>
            <w:tcW w:type="dxa" w:w="9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tcPr>
          <w:p>
            <w:pPr>
              <w:jc w:val="center"/>
            </w:pPr>
            <w:r>
              <w:rPr>
                <w:rFonts w:ascii="Calibri" w:cs="Calibri" w:eastAsia="Calibri" w:hAnsi="Calibri"/>
                <w:b/>
                <w:bCs/>
                <w:color w:val="FFFFFF"/>
                <w:sz w:val="17"/>
                <w:szCs w:val="17"/>
              </w:rPr>
              <w:t xml:space="preserve">Close Sep-26 (₹)</w:t>
            </w:r>
          </w:p>
        </w:tc>
        <w:tc>
          <w:tcPr>
            <w:tcW w:type="dxa" w:w="75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tcPr>
          <w:p>
            <w:pPr>
              <w:jc w:val="center"/>
            </w:pPr>
            <w:r>
              <w:rPr>
                <w:rFonts w:ascii="Calibri" w:cs="Calibri" w:eastAsia="Calibri" w:hAnsi="Calibri"/>
                <w:b/>
                <w:bCs/>
                <w:color w:val="FFFFFF"/>
                <w:sz w:val="17"/>
                <w:szCs w:val="17"/>
              </w:rPr>
              <w:t xml:space="preserve">CAGR</w:t>
            </w:r>
          </w:p>
        </w:tc>
        <w:tc>
          <w:tcPr>
            <w:tcW w:type="dxa" w:w="8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tcPr>
          <w:p>
            <w:pPr>
              <w:jc w:val="center"/>
            </w:pPr>
            <w:r>
              <w:rPr>
                <w:rFonts w:ascii="Calibri" w:cs="Calibri" w:eastAsia="Calibri" w:hAnsi="Calibri"/>
                <w:b/>
                <w:bCs/>
                <w:color w:val="FFFFFF"/>
                <w:sz w:val="17"/>
                <w:szCs w:val="17"/>
              </w:rPr>
              <w:t xml:space="preserve">Ann. vol</w:t>
            </w:r>
          </w:p>
        </w:tc>
        <w:tc>
          <w:tcPr>
            <w:tcW w:type="dxa" w:w="776"/>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tcPr>
          <w:p>
            <w:pPr>
              <w:jc w:val="center"/>
            </w:pPr>
            <w:r>
              <w:rPr>
                <w:rFonts w:ascii="Calibri" w:cs="Calibri" w:eastAsia="Calibri" w:hAnsi="Calibri"/>
                <w:b/>
                <w:bCs/>
                <w:color w:val="FFFFFF"/>
                <w:sz w:val="17"/>
                <w:szCs w:val="17"/>
              </w:rPr>
              <w:t xml:space="preserve">Max DD</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RELIANCE</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Reliance Industries</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Oil, Gas &amp; Conglomerate</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2904</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199.7</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1226.0</w:t>
            </w:r>
          </w:p>
        </w:tc>
        <w:tc>
          <w:tcPr>
            <w:tcW w:type="dxa" w:w="7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16.7%</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26.9%</w:t>
            </w:r>
          </w:p>
        </w:tc>
        <w:tc>
          <w:tcPr>
            <w:tcW w:type="dxa" w:w="77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-45.1%</w:t>
            </w:r>
          </w:p>
        </w:tc>
      </w:tr>
      <w:tr>
        <w:trPr>
          <w:cantSplit/>
        </w:trPr>
        <w:tc>
          <w:tcPr>
            <w:tcW w:type="dxa" w:w="12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color w:val="000000"/>
                <w:sz w:val="17"/>
                <w:szCs w:val="17"/>
              </w:rPr>
              <w:t xml:space="preserve">HDFCBANK</w:t>
            </w:r>
          </w:p>
        </w:tc>
        <w:tc>
          <w:tcPr>
            <w:tcW w:type="dxa" w:w="13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HDFC Bank</w:t>
            </w:r>
          </w:p>
        </w:tc>
        <w:tc>
          <w:tcPr>
            <w:tcW w:type="dxa" w:w="15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Private Banking</w:t>
            </w:r>
          </w:p>
        </w:tc>
        <w:tc>
          <w:tcPr>
            <w:tcW w:type="dxa" w:w="8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2904</w:t>
            </w:r>
          </w:p>
        </w:tc>
        <w:tc>
          <w:tcPr>
            <w:tcW w:type="dxa" w:w="9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238.0</w:t>
            </w:r>
          </w:p>
        </w:tc>
        <w:tc>
          <w:tcPr>
            <w:tcW w:type="dxa" w:w="9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735.6</w:t>
            </w:r>
          </w:p>
        </w:tc>
        <w:tc>
          <w:tcPr>
            <w:tcW w:type="dxa" w:w="7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10.1%</w:t>
            </w:r>
          </w:p>
        </w:tc>
        <w:tc>
          <w:tcPr>
            <w:tcW w:type="dxa" w:w="8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22.3%</w:t>
            </w:r>
          </w:p>
        </w:tc>
        <w:tc>
          <w:tcPr>
            <w:tcW w:type="dxa" w:w="776"/>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-41.1%</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INFY</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Infosys</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IT Services</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2904</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493.6</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1000.2</w:t>
            </w:r>
          </w:p>
        </w:tc>
        <w:tc>
          <w:tcPr>
            <w:tcW w:type="dxa" w:w="7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6.2%</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26.9%</w:t>
            </w:r>
          </w:p>
        </w:tc>
        <w:tc>
          <w:tcPr>
            <w:tcW w:type="dxa" w:w="77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-50.7%</w:t>
            </w:r>
          </w:p>
        </w:tc>
      </w:tr>
      <w:tr>
        <w:trPr>
          <w:cantSplit/>
        </w:trPr>
        <w:tc>
          <w:tcPr>
            <w:tcW w:type="dxa" w:w="12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color w:val="000000"/>
                <w:sz w:val="17"/>
                <w:szCs w:val="17"/>
              </w:rPr>
              <w:t xml:space="preserve">ITC</w:t>
            </w:r>
          </w:p>
        </w:tc>
        <w:tc>
          <w:tcPr>
            <w:tcW w:type="dxa" w:w="13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ITC</w:t>
            </w:r>
          </w:p>
        </w:tc>
        <w:tc>
          <w:tcPr>
            <w:tcW w:type="dxa" w:w="15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FMCG</w:t>
            </w:r>
          </w:p>
        </w:tc>
        <w:tc>
          <w:tcPr>
            <w:tcW w:type="dxa" w:w="8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2904</w:t>
            </w:r>
          </w:p>
        </w:tc>
        <w:tc>
          <w:tcPr>
            <w:tcW w:type="dxa" w:w="9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231.5</w:t>
            </w:r>
          </w:p>
        </w:tc>
        <w:tc>
          <w:tcPr>
            <w:tcW w:type="dxa" w:w="9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269.0</w:t>
            </w:r>
          </w:p>
        </w:tc>
        <w:tc>
          <w:tcPr>
            <w:tcW w:type="dxa" w:w="7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1.3%</w:t>
            </w:r>
          </w:p>
        </w:tc>
        <w:tc>
          <w:tcPr>
            <w:tcW w:type="dxa" w:w="8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24.4%</w:t>
            </w:r>
          </w:p>
        </w:tc>
        <w:tc>
          <w:tcPr>
            <w:tcW w:type="dxa" w:w="776"/>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-57.0%</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MARUTI</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Maruti Suzuki</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Automobiles</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2904</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3340.8</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12065.0</w:t>
            </w:r>
          </w:p>
        </w:tc>
        <w:tc>
          <w:tcPr>
            <w:tcW w:type="dxa" w:w="7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11.6%</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27.1%</w:t>
            </w:r>
          </w:p>
        </w:tc>
        <w:tc>
          <w:tcPr>
            <w:tcW w:type="dxa" w:w="77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-59.2%</w:t>
            </w:r>
          </w:p>
        </w:tc>
      </w:tr>
      <w:tr>
        <w:trPr>
          <w:cantSplit/>
        </w:trPr>
        <w:tc>
          <w:tcPr>
            <w:tcW w:type="dxa" w:w="12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color w:val="000000"/>
                <w:sz w:val="17"/>
                <w:szCs w:val="17"/>
              </w:rPr>
              <w:t xml:space="preserve">SUNPHARMA</w:t>
            </w:r>
          </w:p>
        </w:tc>
        <w:tc>
          <w:tcPr>
            <w:tcW w:type="dxa" w:w="13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Sun Pharmaceutical</w:t>
            </w:r>
          </w:p>
        </w:tc>
        <w:tc>
          <w:tcPr>
            <w:tcW w:type="dxa" w:w="15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Pharmaceuticals</w:t>
            </w:r>
          </w:p>
        </w:tc>
        <w:tc>
          <w:tcPr>
            <w:tcW w:type="dxa" w:w="8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2904</w:t>
            </w:r>
          </w:p>
        </w:tc>
        <w:tc>
          <w:tcPr>
            <w:tcW w:type="dxa" w:w="9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822.2</w:t>
            </w:r>
          </w:p>
        </w:tc>
        <w:tc>
          <w:tcPr>
            <w:tcW w:type="dxa" w:w="9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1852.2</w:t>
            </w:r>
          </w:p>
        </w:tc>
        <w:tc>
          <w:tcPr>
            <w:tcW w:type="dxa" w:w="7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7.2%</w:t>
            </w:r>
          </w:p>
        </w:tc>
        <w:tc>
          <w:tcPr>
            <w:tcW w:type="dxa" w:w="8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28.1%</w:t>
            </w:r>
          </w:p>
        </w:tc>
        <w:tc>
          <w:tcPr>
            <w:tcW w:type="dxa" w:w="776"/>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-72.2%</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LT</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Larsen &amp; Toubro</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Capital Goods / Infra</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2904</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1002.0</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3876.2</w:t>
            </w:r>
          </w:p>
        </w:tc>
        <w:tc>
          <w:tcPr>
            <w:tcW w:type="dxa" w:w="7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12.2%</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26.7%</w:t>
            </w:r>
          </w:p>
        </w:tc>
        <w:tc>
          <w:tcPr>
            <w:tcW w:type="dxa" w:w="77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-55.6%</w:t>
            </w:r>
          </w:p>
        </w:tc>
      </w:tr>
    </w:tbl>
    <w:p>
      <w:pPr>
        <w:keepNext/>
        <w:spacing w:after="60" w:before="120"/>
        <w:jc w:val="center"/>
      </w:pPr>
      <w:r>
        <w:drawing>
          <wp:inline distT="0" distB="0" distL="0" distR="0">
            <wp:extent cx="5760720" cy="255325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0720" cy="2553253"/>
                    </a:xfrm>
                    <a:prstGeom prst="rect">
                      <a:avLst/>
                    </a:prstGeom>
                  </pic:spPr>
                </pic:pic>
              </a:graphicData>
            </a:graphic>
          </wp:inline>
        </w:drawing>
      </w:r>
    </w:p>
    <w:p>
      <w:pPr>
        <w:spacing w:after="200"/>
        <w:jc w:val="left"/>
      </w:pPr>
      <w:r>
        <w:rPr>
          <w:rFonts w:ascii="Calibri" w:cs="Calibri" w:eastAsia="Calibri" w:hAnsi="Calibri"/>
          <w:i/>
          <w:iCs/>
          <w:color w:val="595959"/>
          <w:sz w:val="17"/>
          <w:szCs w:val="17"/>
        </w:rPr>
        <w:t xml:space="preserve">Exhibit 1. Indexed closing prices (log scale). The sample deliberately mixes strong compounders (Reliance, L&amp;T, Maruti) with a near-flat stock (ITC) and a deep-drawdown stock (Sun Pharma).</w:t>
      </w:r>
    </w:p>
    <w:p>
      <w:pPr>
        <w:pStyle w:val="Heading2"/>
        <w:keepNext/>
        <w:spacing w:after="120" w:before="240"/>
      </w:pPr>
      <w:r>
        <w:rPr>
          <w:rFonts w:ascii="Calibri" w:cs="Calibri" w:eastAsia="Calibri" w:hAnsi="Calibri"/>
          <w:b/>
          <w:bCs/>
          <w:color w:val="1F4E79"/>
          <w:sz w:val="26"/>
          <w:szCs w:val="26"/>
        </w:rPr>
        <w:t xml:space="preserve">2.2 Data source and quality checks</w:t>
      </w:r>
    </w:p>
    <w:p>
      <w:pPr>
        <w:spacing w:after="120" w:before="0" w:line="276"/>
        <w:jc w:val="both"/>
      </w:pPr>
      <w:r>
        <w:rPr>
          <w:rFonts w:ascii="Calibri" w:cs="Calibri" w:eastAsia="Calibri" w:hAnsi="Calibri"/>
          <w:sz w:val="21"/>
          <w:szCs w:val="21"/>
        </w:rPr>
        <w:t xml:space="preserve">Daily open, high, low, close and volume for each stock were taken from the NSE end-of-day (bhavcopy) archive maintained in the public </w:t>
      </w:r>
      <w:r>
        <w:rPr>
          <w:rFonts w:ascii="Calibri" w:cs="Calibri" w:eastAsia="Calibri" w:hAnsi="Calibri"/>
          <w:i/>
          <w:iCs/>
          <w:sz w:val="21"/>
          <w:szCs w:val="21"/>
        </w:rPr>
        <w:t xml:space="preserve">eod2_data</w:t>
      </w:r>
      <w:r>
        <w:rPr>
          <w:rFonts w:ascii="Calibri" w:cs="Calibri" w:eastAsia="Calibri" w:hAnsi="Calibri"/>
          <w:sz w:val="21"/>
          <w:szCs w:val="21"/>
        </w:rPr>
        <w:t xml:space="preserve"> GitHub repository, which stores prices adjusted for splits and bonuses but not for other corporate actions. We therefore screened every series for opening gaps above 5% and checked each against known corporate events. Three needed back-adjustment: Reliance's 1:15 rights issue (May 2020, factor 0.9906) and Jio Financial Services demerger (20 July 2023, factor 0.9079), and ITC's ITC Hotels demerger (6 January 2025, factor 0.9460). Prices before each ex-date are multiplied by the factor. The remaining large gaps are genuine market moves (e.g. the March 2020 crash, Infosys in October 2019, HDFC Bank in March 2026). We also checked for zero-volume sessions (none) and duplicate dates (none), and loaded 2014 only as a warm-up so that the 200-day average and 252-day high are fully formed on 1 January 2015, the first tradable day.</w:t>
      </w:r>
    </w:p>
    <w:p>
      <w:pPr>
        <w:spacing w:after="120" w:before="0" w:line="276"/>
        <w:jc w:val="both"/>
      </w:pPr>
      <w:r>
        <w:rPr>
          <w:rFonts w:ascii="Calibri" w:cs="Calibri" w:eastAsia="Calibri" w:hAnsi="Calibri"/>
          <w:sz w:val="21"/>
          <w:szCs w:val="21"/>
        </w:rPr>
        <w:t xml:space="preserve">After these adjustments the data reproduce TradingView's own NSE series (dividend adjustment, 'ADJ', switched off): for example Reliance's opening prices on 12 Aug 2015, 6 Jan 2020, 26 Oct 2020 and 9 Nov 2021 are ₹216.65, ₹683.49, ₹954.13 and ₹1,137.11 here against ₹216.60, ₹683.50, ₹954.10 and ₹1,137.10 on TradingView. Without them, Reliance would show an artificial 9% one-day loss in July 2023 and ITC a 5% loss in January 2025, which would distort the indicators, the backtests and buy-and-hold returns.</w:t>
      </w:r>
    </w:p>
    <w:p>
      <w:pPr>
        <w:pStyle w:val="Heading2"/>
        <w:keepNext/>
        <w:spacing w:after="120" w:before="240"/>
      </w:pPr>
      <w:r>
        <w:rPr>
          <w:rFonts w:ascii="Calibri" w:cs="Calibri" w:eastAsia="Calibri" w:hAnsi="Calibri"/>
          <w:b/>
          <w:bCs/>
          <w:color w:val="1F4E79"/>
          <w:sz w:val="26"/>
          <w:szCs w:val="26"/>
        </w:rPr>
        <w:t xml:space="preserve">2.3 Pine Script implementation and Python replication</w:t>
      </w:r>
    </w:p>
    <w:p>
      <w:pPr>
        <w:spacing w:after="120" w:before="0" w:line="276"/>
        <w:jc w:val="both"/>
      </w:pPr>
      <w:r>
        <w:rPr>
          <w:rFonts w:ascii="Calibri" w:cs="Calibri" w:eastAsia="Calibri" w:hAnsi="Calibri"/>
          <w:sz w:val="21"/>
          <w:szCs w:val="21"/>
        </w:rPr>
        <w:t xml:space="preserve">Pine Script is the primary implementation: eighteen scripts (Appendix A) are written for Pine v6 and can be pasted into the TradingView Pine Editor and applied to any of the seven daily charts. Each indicator script uses TradingView's built-in functions (</w:t>
      </w:r>
      <w:r>
        <w:rPr>
          <w:rFonts w:ascii="Consolas" w:cs="Consolas" w:eastAsia="Consolas" w:hAnsi="Consolas"/>
          <w:sz w:val="19"/>
          <w:szCs w:val="19"/>
        </w:rPr>
        <w:t xml:space="preserve">ta.sma</w:t>
      </w:r>
      <w:r>
        <w:rPr>
          <w:rFonts w:ascii="Calibri" w:cs="Calibri" w:eastAsia="Calibri" w:hAnsi="Calibri"/>
          <w:sz w:val="21"/>
          <w:szCs w:val="21"/>
        </w:rPr>
        <w:t xml:space="preserve">, </w:t>
      </w:r>
      <w:r>
        <w:rPr>
          <w:rFonts w:ascii="Consolas" w:cs="Consolas" w:eastAsia="Consolas" w:hAnsi="Consolas"/>
          <w:sz w:val="19"/>
          <w:szCs w:val="19"/>
        </w:rPr>
        <w:t xml:space="preserve">ta.ema</w:t>
      </w:r>
      <w:r>
        <w:rPr>
          <w:rFonts w:ascii="Calibri" w:cs="Calibri" w:eastAsia="Calibri" w:hAnsi="Calibri"/>
          <w:sz w:val="21"/>
          <w:szCs w:val="21"/>
        </w:rPr>
        <w:t xml:space="preserve">, </w:t>
      </w:r>
      <w:r>
        <w:rPr>
          <w:rFonts w:ascii="Consolas" w:cs="Consolas" w:eastAsia="Consolas" w:hAnsi="Consolas"/>
          <w:sz w:val="19"/>
          <w:szCs w:val="19"/>
        </w:rPr>
        <w:t xml:space="preserve">ta.rsi</w:t>
      </w:r>
      <w:r>
        <w:rPr>
          <w:rFonts w:ascii="Calibri" w:cs="Calibri" w:eastAsia="Calibri" w:hAnsi="Calibri"/>
          <w:sz w:val="21"/>
          <w:szCs w:val="21"/>
        </w:rPr>
        <w:t xml:space="preserve">, </w:t>
      </w:r>
      <w:r>
        <w:rPr>
          <w:rFonts w:ascii="Consolas" w:cs="Consolas" w:eastAsia="Consolas" w:hAnsi="Consolas"/>
          <w:sz w:val="19"/>
          <w:szCs w:val="19"/>
        </w:rPr>
        <w:t xml:space="preserve">ta.macd</w:t>
      </w:r>
      <w:r>
        <w:rPr>
          <w:rFonts w:ascii="Calibri" w:cs="Calibri" w:eastAsia="Calibri" w:hAnsi="Calibri"/>
          <w:sz w:val="21"/>
          <w:szCs w:val="21"/>
        </w:rPr>
        <w:t xml:space="preserve">, </w:t>
      </w:r>
      <w:r>
        <w:rPr>
          <w:rFonts w:ascii="Consolas" w:cs="Consolas" w:eastAsia="Consolas" w:hAnsi="Consolas"/>
          <w:sz w:val="19"/>
          <w:szCs w:val="19"/>
        </w:rPr>
        <w:t xml:space="preserve">ta.bb</w:t>
      </w:r>
      <w:r>
        <w:rPr>
          <w:rFonts w:ascii="Calibri" w:cs="Calibri" w:eastAsia="Calibri" w:hAnsi="Calibri"/>
          <w:sz w:val="21"/>
          <w:szCs w:val="21"/>
        </w:rPr>
        <w:t xml:space="preserve">, </w:t>
      </w:r>
      <w:r>
        <w:rPr>
          <w:rFonts w:ascii="Consolas" w:cs="Consolas" w:eastAsia="Consolas" w:hAnsi="Consolas"/>
          <w:sz w:val="19"/>
          <w:szCs w:val="19"/>
        </w:rPr>
        <w:t xml:space="preserve">ta.stoch</w:t>
      </w:r>
      <w:r>
        <w:rPr>
          <w:rFonts w:ascii="Calibri" w:cs="Calibri" w:eastAsia="Calibri" w:hAnsi="Calibri"/>
          <w:sz w:val="21"/>
          <w:szCs w:val="21"/>
        </w:rPr>
        <w:t xml:space="preserve">, </w:t>
      </w:r>
      <w:r>
        <w:rPr>
          <w:rFonts w:ascii="Consolas" w:cs="Consolas" w:eastAsia="Consolas" w:hAnsi="Consolas"/>
          <w:sz w:val="19"/>
          <w:szCs w:val="19"/>
        </w:rPr>
        <w:t xml:space="preserve">ta.dmi</w:t>
      </w:r>
      <w:r>
        <w:rPr>
          <w:rFonts w:ascii="Calibri" w:cs="Calibri" w:eastAsia="Calibri" w:hAnsi="Calibri"/>
          <w:sz w:val="21"/>
          <w:szCs w:val="21"/>
        </w:rPr>
        <w:t xml:space="preserve">, </w:t>
      </w:r>
      <w:r>
        <w:rPr>
          <w:rFonts w:ascii="Consolas" w:cs="Consolas" w:eastAsia="Consolas" w:hAnsi="Consolas"/>
          <w:sz w:val="19"/>
          <w:szCs w:val="19"/>
        </w:rPr>
        <w:t xml:space="preserve">ta.obv</w:t>
      </w:r>
      <w:r>
        <w:rPr>
          <w:rFonts w:ascii="Calibri" w:cs="Calibri" w:eastAsia="Calibri" w:hAnsi="Calibri"/>
          <w:sz w:val="21"/>
          <w:szCs w:val="21"/>
        </w:rPr>
        <w:t xml:space="preserve">, </w:t>
      </w:r>
      <w:r>
        <w:rPr>
          <w:rFonts w:ascii="Consolas" w:cs="Consolas" w:eastAsia="Consolas" w:hAnsi="Consolas"/>
          <w:sz w:val="19"/>
          <w:szCs w:val="19"/>
        </w:rPr>
        <w:t xml:space="preserve">ta.supertrend</w:t>
      </w:r>
      <w:r>
        <w:rPr>
          <w:rFonts w:ascii="Calibri" w:cs="Calibri" w:eastAsia="Calibri" w:hAnsi="Calibri"/>
          <w:sz w:val="21"/>
          <w:szCs w:val="21"/>
        </w:rPr>
        <w:t xml:space="preserve">, </w:t>
      </w:r>
      <w:r>
        <w:rPr>
          <w:rFonts w:ascii="Consolas" w:cs="Consolas" w:eastAsia="Consolas" w:hAnsi="Consolas"/>
          <w:sz w:val="19"/>
          <w:szCs w:val="19"/>
        </w:rPr>
        <w:t xml:space="preserve">ta.cci</w:t>
      </w:r>
      <w:r>
        <w:rPr>
          <w:rFonts w:ascii="Calibri" w:cs="Calibri" w:eastAsia="Calibri" w:hAnsi="Calibri"/>
          <w:sz w:val="21"/>
          <w:szCs w:val="21"/>
        </w:rPr>
        <w:t xml:space="preserve">, </w:t>
      </w:r>
      <w:r>
        <w:rPr>
          <w:rFonts w:ascii="Consolas" w:cs="Consolas" w:eastAsia="Consolas" w:hAnsi="Consolas"/>
          <w:sz w:val="19"/>
          <w:szCs w:val="19"/>
        </w:rPr>
        <w:t xml:space="preserve">ta.mfi</w:t>
      </w:r>
      <w:r>
        <w:rPr>
          <w:rFonts w:ascii="Calibri" w:cs="Calibri" w:eastAsia="Calibri" w:hAnsi="Calibri"/>
          <w:sz w:val="21"/>
          <w:szCs w:val="21"/>
        </w:rPr>
        <w:t xml:space="preserve">, </w:t>
      </w:r>
      <w:r>
        <w:rPr>
          <w:rFonts w:ascii="Consolas" w:cs="Consolas" w:eastAsia="Consolas" w:hAnsi="Consolas"/>
          <w:sz w:val="19"/>
          <w:szCs w:val="19"/>
        </w:rPr>
        <w:t xml:space="preserve">ta.highest</w:t>
      </w:r>
      <w:r>
        <w:rPr>
          <w:rFonts w:ascii="Calibri" w:cs="Calibri" w:eastAsia="Calibri" w:hAnsi="Calibri"/>
          <w:sz w:val="21"/>
          <w:szCs w:val="21"/>
        </w:rPr>
        <w:t xml:space="preserve">/</w:t>
      </w:r>
      <w:r>
        <w:rPr>
          <w:rFonts w:ascii="Consolas" w:cs="Consolas" w:eastAsia="Consolas" w:hAnsi="Consolas"/>
          <w:sz w:val="19"/>
          <w:szCs w:val="19"/>
        </w:rPr>
        <w:t xml:space="preserve">ta.lowest</w:t>
      </w:r>
      <w:r>
        <w:rPr>
          <w:rFonts w:ascii="Calibri" w:cs="Calibri" w:eastAsia="Calibri" w:hAnsi="Calibri"/>
          <w:sz w:val="21"/>
          <w:szCs w:val="21"/>
        </w:rPr>
        <w:t xml:space="preserve">, </w:t>
      </w:r>
      <w:r>
        <w:rPr>
          <w:rFonts w:ascii="Consolas" w:cs="Consolas" w:eastAsia="Consolas" w:hAnsi="Consolas"/>
          <w:sz w:val="19"/>
          <w:szCs w:val="19"/>
        </w:rPr>
        <w:t xml:space="preserve">ta.atr</w:t>
      </w:r>
      <w:r>
        <w:rPr>
          <w:rFonts w:ascii="Calibri" w:cs="Calibri" w:eastAsia="Calibri" w:hAnsi="Calibri"/>
          <w:sz w:val="21"/>
          <w:szCs w:val="21"/>
        </w:rPr>
        <w:t xml:space="preserve">) and carries </w:t>
      </w:r>
      <w:r>
        <w:rPr>
          <w:rFonts w:ascii="Consolas" w:cs="Consolas" w:eastAsia="Consolas" w:hAnsi="Consolas"/>
          <w:sz w:val="19"/>
          <w:szCs w:val="19"/>
        </w:rPr>
        <w:t xml:space="preserve">alertcondition()</w:t>
      </w:r>
      <w:r>
        <w:rPr>
          <w:rFonts w:ascii="Calibri" w:cs="Calibri" w:eastAsia="Calibri" w:hAnsi="Calibri"/>
          <w:sz w:val="21"/>
          <w:szCs w:val="21"/>
        </w:rPr>
        <w:t xml:space="preserve"> calls so it can drive live TradingView alerts.</w:t>
      </w:r>
    </w:p>
    <w:p>
      <w:pPr>
        <w:spacing w:after="120" w:before="0" w:line="276"/>
        <w:jc w:val="both"/>
      </w:pPr>
      <w:r>
        <w:rPr>
          <w:rFonts w:ascii="Calibri" w:cs="Calibri" w:eastAsia="Calibri" w:hAnsi="Calibri"/>
          <w:sz w:val="21"/>
          <w:szCs w:val="21"/>
        </w:rPr>
        <w:t xml:space="preserve">Because TradingView evaluates one symbol per chart and cannot pool evidence across seven stocks or run 25-parameter grids in one pass, every result in this report was also computed in Python with formulas that replicate the Pine built-ins exactly (Wilder's RMA smoothing for RSI, ATR and ADX; population standard deviation for Bollinger Bands; signal on the bar's close and fill at the next bar's open). The charts are therefore produced from the replication rather than screenshots. The backtest engine was verified by hand: for a sample HDFC Bank trade the engine's entry/exit dates and prices match the signal bar and next-open convention exactly, and the final equity of every strategy equals the product of its trade returns to the paisa.</w:t>
      </w:r>
    </w:p>
    <w:p>
      <w:pPr>
        <w:pStyle w:val="Heading2"/>
        <w:keepNext/>
        <w:spacing w:after="120" w:before="240"/>
      </w:pPr>
      <w:r>
        <w:rPr>
          <w:rFonts w:ascii="Calibri" w:cs="Calibri" w:eastAsia="Calibri" w:hAnsi="Calibri"/>
          <w:b/>
          <w:bCs/>
          <w:color w:val="1F4E79"/>
          <w:sz w:val="26"/>
          <w:szCs w:val="26"/>
        </w:rPr>
        <w:t xml:space="preserve">2.4 Backtest conventions (identical in Pine and Python)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626"/>
      </w:tblGrid>
      <w:tr>
        <w:trPr>
          <w:cantSplit/>
          <w:tblHeader/>
        </w:trPr>
        <w:tc>
          <w:tcPr>
            <w:tcW w:type="dxa" w:w="18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tcPr>
          <w:p>
            <w:pPr>
              <w:jc w:val="left"/>
            </w:pPr>
            <w:r>
              <w:rPr>
                <w:rFonts w:ascii="Calibri" w:cs="Calibri" w:eastAsia="Calibri" w:hAnsi="Calibri"/>
                <w:b/>
                <w:bCs/>
                <w:color w:val="FFFFFF"/>
                <w:sz w:val="17"/>
                <w:szCs w:val="17"/>
              </w:rPr>
              <w:t xml:space="preserve">Parameter</w:t>
            </w:r>
          </w:p>
        </w:tc>
        <w:tc>
          <w:tcPr>
            <w:tcW w:type="dxa" w:w="36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tcPr>
          <w:p>
            <w:pPr>
              <w:jc w:val="left"/>
            </w:pPr>
            <w:r>
              <w:rPr>
                <w:rFonts w:ascii="Calibri" w:cs="Calibri" w:eastAsia="Calibri" w:hAnsi="Calibri"/>
                <w:b/>
                <w:bCs/>
                <w:color w:val="FFFFFF"/>
                <w:sz w:val="17"/>
                <w:szCs w:val="17"/>
              </w:rPr>
              <w:t xml:space="preserve">Setting</w:t>
            </w:r>
          </w:p>
        </w:tc>
        <w:tc>
          <w:tcPr>
            <w:tcW w:type="dxa" w:w="3626"/>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tcPr>
          <w:p>
            <w:pPr>
              <w:jc w:val="left"/>
            </w:pPr>
            <w:r>
              <w:rPr>
                <w:rFonts w:ascii="Calibri" w:cs="Calibri" w:eastAsia="Calibri" w:hAnsi="Calibri"/>
                <w:b/>
                <w:bCs/>
                <w:color w:val="FFFFFF"/>
                <w:sz w:val="17"/>
                <w:szCs w:val="17"/>
              </w:rPr>
              <w:t xml:space="preserve">Why</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Capital and sizing</w:t>
            </w:r>
          </w:p>
        </w:tc>
        <w:tc>
          <w:tcPr>
            <w:tcW w:type="dxa" w:w="36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₹10,00,000; 100% of equity per trade; long-only; Pine margin_long = 0</w:t>
            </w:r>
          </w:p>
        </w:tc>
        <w:tc>
          <w:tcPr>
            <w:tcW w:type="dxa" w:w="36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Isolates signal quality; no leverage, no shorting. margin_long = 0 stops TradingView rejecting or margin-calling a fully invested order when the next open gaps up</w:t>
            </w:r>
          </w:p>
        </w:tc>
      </w:tr>
      <w:tr>
        <w:trPr>
          <w:cantSplit/>
        </w:trPr>
        <w:tc>
          <w:tcPr>
            <w:tcW w:type="dxa" w:w="18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color w:val="000000"/>
                <w:sz w:val="17"/>
                <w:szCs w:val="17"/>
              </w:rPr>
              <w:t xml:space="preserve">Positions</w:t>
            </w:r>
          </w:p>
        </w:tc>
        <w:tc>
          <w:tcPr>
            <w:tcW w:type="dxa" w:w="36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color w:val="000000"/>
                <w:sz w:val="17"/>
                <w:szCs w:val="17"/>
              </w:rPr>
              <w:t xml:space="preserve">One at a time; new signals ignored while in a trade</w:t>
            </w:r>
          </w:p>
        </w:tc>
        <w:tc>
          <w:tcPr>
            <w:tcW w:type="dxa" w:w="3626"/>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color w:val="000000"/>
                <w:sz w:val="17"/>
                <w:szCs w:val="17"/>
              </w:rPr>
              <w:t xml:space="preserve">Non-overlapping trades make the horizon well-defined</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Entry timing</w:t>
            </w:r>
          </w:p>
        </w:tc>
        <w:tc>
          <w:tcPr>
            <w:tcW w:type="dxa" w:w="36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Signal on the close of bar t; fill at the open of t+1</w:t>
            </w:r>
          </w:p>
        </w:tc>
        <w:tc>
          <w:tcPr>
            <w:tcW w:type="dxa" w:w="36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No look-ahead; TradingView's default order processing</w:t>
            </w:r>
          </w:p>
        </w:tc>
      </w:tr>
      <w:tr>
        <w:trPr>
          <w:cantSplit/>
        </w:trPr>
        <w:tc>
          <w:tcPr>
            <w:tcW w:type="dxa" w:w="18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color w:val="000000"/>
                <w:sz w:val="17"/>
                <w:szCs w:val="17"/>
              </w:rPr>
              <w:t xml:space="preserve">Exit</w:t>
            </w:r>
          </w:p>
        </w:tc>
        <w:tc>
          <w:tcPr>
            <w:tcW w:type="dxa" w:w="36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color w:val="000000"/>
                <w:sz w:val="17"/>
                <w:szCs w:val="17"/>
              </w:rPr>
              <w:t xml:space="preserve">Time exit after exactly 7 / 15 / 60 bars (filled at next open); optional ATR stop</w:t>
            </w:r>
          </w:p>
        </w:tc>
        <w:tc>
          <w:tcPr>
            <w:tcW w:type="dxa" w:w="3626"/>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color w:val="000000"/>
                <w:sz w:val="17"/>
                <w:szCs w:val="17"/>
              </w:rPr>
              <w:t xml:space="preserve">Each strategy is defined by its horizon</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Costs</w:t>
            </w:r>
          </w:p>
        </w:tc>
        <w:tc>
          <w:tcPr>
            <w:tcW w:type="dxa" w:w="36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0.15% per side (base case); 0.05% and 0.25% tested in Section 6.5</w:t>
            </w:r>
          </w:p>
        </w:tc>
        <w:tc>
          <w:tcPr>
            <w:tcW w:type="dxa" w:w="36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STT 0.1% on each side + stamp duty 0.015% on purchases + exchange, SEBI and GST charges ≈ 0.11%, plus about 0.03–0.04% slippage for a large cap; delivery brokerage is zero at discount brokers (Zerodha, 2026)</w:t>
            </w:r>
          </w:p>
        </w:tc>
      </w:tr>
      <w:tr>
        <w:trPr>
          <w:cantSplit/>
        </w:trPr>
        <w:tc>
          <w:tcPr>
            <w:tcW w:type="dxa" w:w="18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color w:val="000000"/>
                <w:sz w:val="17"/>
                <w:szCs w:val="17"/>
              </w:rPr>
              <w:t xml:space="preserve">Idle cash</w:t>
            </w:r>
          </w:p>
        </w:tc>
        <w:tc>
          <w:tcPr>
            <w:tcW w:type="dxa" w:w="36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color w:val="000000"/>
                <w:sz w:val="17"/>
                <w:szCs w:val="17"/>
              </w:rPr>
              <w:t xml:space="preserve">Earns 6% a year when not in a trade; 0% tested in Section 6.5</w:t>
            </w:r>
          </w:p>
        </w:tc>
        <w:tc>
          <w:tcPr>
            <w:tcW w:type="dxa" w:w="3626"/>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color w:val="000000"/>
                <w:sz w:val="17"/>
                <w:szCs w:val="17"/>
              </w:rPr>
              <w:t xml:space="preserve">Approximate 2015–26 average of the 91-day Treasury bill (range roughly 3.3–7.5%); a strategy that sits in cash must beat what that cash earns</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Sharpe ratio</w:t>
            </w:r>
          </w:p>
        </w:tc>
        <w:tc>
          <w:tcPr>
            <w:tcW w:type="dxa" w:w="36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Annualised, on daily returns in excess of 6%; standard error from Lo (2002)</w:t>
            </w:r>
          </w:p>
        </w:tc>
        <w:tc>
          <w:tcPr>
            <w:tcW w:type="dxa" w:w="36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Excess-return Sharpe is the standard definition; the standard error shows which differences are within sampling noise</w:t>
            </w:r>
          </w:p>
        </w:tc>
      </w:tr>
      <w:tr>
        <w:trPr>
          <w:cantSplit/>
        </w:trPr>
        <w:tc>
          <w:tcPr>
            <w:tcW w:type="dxa" w:w="18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color w:val="000000"/>
                <w:sz w:val="17"/>
                <w:szCs w:val="17"/>
              </w:rPr>
              <w:t xml:space="preserve">Period</w:t>
            </w:r>
          </w:p>
        </w:tc>
        <w:tc>
          <w:tcPr>
            <w:tcW w:type="dxa" w:w="36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color w:val="000000"/>
                <w:sz w:val="17"/>
                <w:szCs w:val="17"/>
              </w:rPr>
              <w:t xml:space="preserve">1 Jan 2015 – 25 Sep 2026; in-sample 2015–21, out-of-sample 2022–26</w:t>
            </w:r>
          </w:p>
        </w:tc>
        <w:tc>
          <w:tcPr>
            <w:tcW w:type="dxa" w:w="3626"/>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color w:val="000000"/>
                <w:sz w:val="17"/>
                <w:szCs w:val="17"/>
              </w:rPr>
              <w:t xml:space="preserve">Out-of-sample split is used for the overconfidence test and to select mitigations</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Benchmark</w:t>
            </w:r>
          </w:p>
        </w:tc>
        <w:tc>
          <w:tcPr>
            <w:tcW w:type="dxa" w:w="36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Buy-and-hold of the same stock, same costs</w:t>
            </w:r>
          </w:p>
        </w:tc>
        <w:tc>
          <w:tcPr>
            <w:tcW w:type="dxa" w:w="36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The hurdle any timing strategy must clear</w:t>
            </w:r>
          </w:p>
        </w:tc>
      </w:tr>
    </w:tbl>
    <w:p>
      <w:pPr>
        <w:spacing w:after="120" w:before="120" w:line="276"/>
        <w:jc w:val="both"/>
      </w:pPr>
      <w:r>
        <w:rPr>
          <w:rFonts w:ascii="Calibri" w:cs="Calibri" w:eastAsia="Calibri" w:hAnsi="Calibri"/>
          <w:sz w:val="21"/>
          <w:szCs w:val="21"/>
        </w:rPr>
        <w:t xml:space="preserve">Horizons are measured in trading sessions: 7, 15 and 60 sessions correspond to roughly 1.5 weeks, 3 weeks and 3 calendar months.</w:t>
      </w:r>
    </w:p>
    <w:p>
      <w:pPr>
        <w:pStyle w:val="Heading1"/>
        <w:pageBreakBefore/>
        <w:spacing w:after="200" w:before="0"/>
      </w:pPr>
      <w:r>
        <w:rPr>
          <w:rFonts w:ascii="Calibri" w:cs="Calibri" w:eastAsia="Calibri" w:hAnsi="Calibri"/>
          <w:b/>
          <w:bCs/>
          <w:color w:val="1F4E79"/>
          <w:sz w:val="32"/>
          <w:szCs w:val="32"/>
        </w:rPr>
        <w:t xml:space="preserve">3. Technical Indicators (Requirement 1)</w:t>
      </w:r>
    </w:p>
    <w:p>
      <w:pPr>
        <w:spacing w:after="120" w:before="0" w:line="276"/>
        <w:jc w:val="both"/>
      </w:pPr>
      <w:r>
        <w:rPr>
          <w:rFonts w:ascii="Calibri" w:cs="Calibri" w:eastAsia="Calibri" w:hAnsi="Calibri"/>
          <w:sz w:val="21"/>
          <w:szCs w:val="21"/>
        </w:rPr>
        <w:t xml:space="preserve">We selected twelve indicators that span the five families used in practice, so that later sections can test whether combining indicators adds information or merely repeats it: </w:t>
      </w:r>
      <w:r>
        <w:rPr>
          <w:rFonts w:ascii="Calibri" w:cs="Calibri" w:eastAsia="Calibri" w:hAnsi="Calibri"/>
          <w:b/>
          <w:bCs/>
          <w:sz w:val="21"/>
          <w:szCs w:val="21"/>
        </w:rPr>
        <w:t xml:space="preserve">trend</w:t>
      </w:r>
      <w:r>
        <w:rPr>
          <w:rFonts w:ascii="Calibri" w:cs="Calibri" w:eastAsia="Calibri" w:hAnsi="Calibri"/>
          <w:sz w:val="21"/>
          <w:szCs w:val="21"/>
        </w:rPr>
        <w:t xml:space="preserve"> (SMA, EMA, MACD, Supertrend), </w:t>
      </w:r>
      <w:r>
        <w:rPr>
          <w:rFonts w:ascii="Calibri" w:cs="Calibri" w:eastAsia="Calibri" w:hAnsi="Calibri"/>
          <w:b/>
          <w:bCs/>
          <w:sz w:val="21"/>
          <w:szCs w:val="21"/>
        </w:rPr>
        <w:t xml:space="preserve">momentum / oscillators</w:t>
      </w:r>
      <w:r>
        <w:rPr>
          <w:rFonts w:ascii="Calibri" w:cs="Calibri" w:eastAsia="Calibri" w:hAnsi="Calibri"/>
          <w:sz w:val="21"/>
          <w:szCs w:val="21"/>
        </w:rPr>
        <w:t xml:space="preserve"> (RSI, Stochastic, CCI), </w:t>
      </w:r>
      <w:r>
        <w:rPr>
          <w:rFonts w:ascii="Calibri" w:cs="Calibri" w:eastAsia="Calibri" w:hAnsi="Calibri"/>
          <w:b/>
          <w:bCs/>
          <w:sz w:val="21"/>
          <w:szCs w:val="21"/>
        </w:rPr>
        <w:t xml:space="preserve">volatility and channels</w:t>
      </w:r>
      <w:r>
        <w:rPr>
          <w:rFonts w:ascii="Calibri" w:cs="Calibri" w:eastAsia="Calibri" w:hAnsi="Calibri"/>
          <w:sz w:val="21"/>
          <w:szCs w:val="21"/>
        </w:rPr>
        <w:t xml:space="preserve"> (Bollinger Bands, Donchian Channel; ATR is also used for stops), </w:t>
      </w:r>
      <w:r>
        <w:rPr>
          <w:rFonts w:ascii="Calibri" w:cs="Calibri" w:eastAsia="Calibri" w:hAnsi="Calibri"/>
          <w:b/>
          <w:bCs/>
          <w:sz w:val="21"/>
          <w:szCs w:val="21"/>
        </w:rPr>
        <w:t xml:space="preserve">trend strength</w:t>
      </w:r>
      <w:r>
        <w:rPr>
          <w:rFonts w:ascii="Calibri" w:cs="Calibri" w:eastAsia="Calibri" w:hAnsi="Calibri"/>
          <w:sz w:val="21"/>
          <w:szCs w:val="21"/>
        </w:rPr>
        <w:t xml:space="preserve"> (ADX/DMI) and </w:t>
      </w:r>
      <w:r>
        <w:rPr>
          <w:rFonts w:ascii="Calibri" w:cs="Calibri" w:eastAsia="Calibri" w:hAnsi="Calibri"/>
          <w:b/>
          <w:bCs/>
          <w:sz w:val="21"/>
          <w:szCs w:val="21"/>
        </w:rPr>
        <w:t xml:space="preserve">volume</w:t>
      </w:r>
      <w:r>
        <w:rPr>
          <w:rFonts w:ascii="Calibri" w:cs="Calibri" w:eastAsia="Calibri" w:hAnsi="Calibri"/>
          <w:sz w:val="21"/>
          <w:szCs w:val="21"/>
        </w:rPr>
        <w:t xml:space="preserve"> (OBV, MFI). Every indicator uses its standard textbook parameters, identical on all seven stocks; nothing is tuned per stock, for the reasons set out in Section 5.2.</w:t>
      </w:r>
    </w:p>
    <w:p>
      <w:pPr>
        <w:keepNext/>
        <w:spacing w:after="80" w:before="160"/>
      </w:pPr>
      <w:r>
        <w:rPr>
          <w:rFonts w:ascii="Calibri" w:cs="Calibri" w:eastAsia="Calibri" w:hAnsi="Calibri"/>
          <w:b/>
          <w:bCs/>
          <w:color w:val="2E2E2E"/>
          <w:sz w:val="19"/>
          <w:szCs w:val="19"/>
        </w:rPr>
        <w:t xml:space="preserve">Exhibit 2. Indicator specification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1450"/>
        <w:gridCol w:w="1300"/>
        <w:gridCol w:w="1150"/>
        <w:gridCol w:w="2826"/>
        <w:gridCol w:w="1900"/>
      </w:tblGrid>
      <w:tr>
        <w:trPr>
          <w:cantSplit/>
          <w:tblHeader/>
        </w:trPr>
        <w:tc>
          <w:tcPr>
            <w:tcW w:type="dxa" w:w="4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tcPr>
          <w:p>
            <w:pPr>
              <w:jc w:val="left"/>
            </w:pPr>
            <w:r>
              <w:rPr>
                <w:rFonts w:ascii="Calibri" w:cs="Calibri" w:eastAsia="Calibri" w:hAnsi="Calibri"/>
                <w:b/>
                <w:bCs/>
                <w:color w:val="FFFFFF"/>
                <w:sz w:val="17"/>
                <w:szCs w:val="17"/>
              </w:rPr>
              <w:t xml:space="preserve">#</w:t>
            </w:r>
          </w:p>
        </w:tc>
        <w:tc>
          <w:tcPr>
            <w:tcW w:type="dxa" w:w="145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tcPr>
          <w:p>
            <w:pPr>
              <w:jc w:val="left"/>
            </w:pPr>
            <w:r>
              <w:rPr>
                <w:rFonts w:ascii="Calibri" w:cs="Calibri" w:eastAsia="Calibri" w:hAnsi="Calibri"/>
                <w:b/>
                <w:bCs/>
                <w:color w:val="FFFFFF"/>
                <w:sz w:val="17"/>
                <w:szCs w:val="17"/>
              </w:rPr>
              <w:t xml:space="preserve">Indicator</w:t>
            </w:r>
          </w:p>
        </w:tc>
        <w:tc>
          <w:tcPr>
            <w:tcW w:type="dxa" w:w="13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tcPr>
          <w:p>
            <w:pPr>
              <w:jc w:val="left"/>
            </w:pPr>
            <w:r>
              <w:rPr>
                <w:rFonts w:ascii="Calibri" w:cs="Calibri" w:eastAsia="Calibri" w:hAnsi="Calibri"/>
                <w:b/>
                <w:bCs/>
                <w:color w:val="FFFFFF"/>
                <w:sz w:val="17"/>
                <w:szCs w:val="17"/>
              </w:rPr>
              <w:t xml:space="preserve">Family</w:t>
            </w:r>
          </w:p>
        </w:tc>
        <w:tc>
          <w:tcPr>
            <w:tcW w:type="dxa" w:w="115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tcPr>
          <w:p>
            <w:pPr>
              <w:jc w:val="left"/>
            </w:pPr>
            <w:r>
              <w:rPr>
                <w:rFonts w:ascii="Calibri" w:cs="Calibri" w:eastAsia="Calibri" w:hAnsi="Calibri"/>
                <w:b/>
                <w:bCs/>
                <w:color w:val="FFFFFF"/>
                <w:sz w:val="17"/>
                <w:szCs w:val="17"/>
              </w:rPr>
              <w:t xml:space="preserve">Parameters</w:t>
            </w:r>
          </w:p>
        </w:tc>
        <w:tc>
          <w:tcPr>
            <w:tcW w:type="dxa" w:w="2826"/>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tcPr>
          <w:p>
            <w:pPr>
              <w:jc w:val="left"/>
            </w:pPr>
            <w:r>
              <w:rPr>
                <w:rFonts w:ascii="Calibri" w:cs="Calibri" w:eastAsia="Calibri" w:hAnsi="Calibri"/>
                <w:b/>
                <w:bCs/>
                <w:color w:val="FFFFFF"/>
                <w:sz w:val="17"/>
                <w:szCs w:val="17"/>
              </w:rPr>
              <w:t xml:space="preserve">Canonical buy signal</w:t>
            </w:r>
          </w:p>
        </w:tc>
        <w:tc>
          <w:tcPr>
            <w:tcW w:type="dxa" w:w="19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tcPr>
          <w:p>
            <w:pPr>
              <w:jc w:val="left"/>
            </w:pPr>
            <w:r>
              <w:rPr>
                <w:rFonts w:ascii="Calibri" w:cs="Calibri" w:eastAsia="Calibri" w:hAnsi="Calibri"/>
                <w:b/>
                <w:bCs/>
                <w:color w:val="FFFFFF"/>
                <w:sz w:val="17"/>
                <w:szCs w:val="17"/>
              </w:rPr>
              <w:t xml:space="preserve">Pine file</w:t>
            </w:r>
          </w:p>
        </w:tc>
      </w:tr>
      <w:tr>
        <w:trPr>
          <w:cantSplit/>
        </w:trPr>
        <w:tc>
          <w:tcPr>
            <w:tcW w:type="dxa" w:w="4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1</w:t>
            </w:r>
          </w:p>
        </w:tc>
        <w:tc>
          <w:tcPr>
            <w:tcW w:type="dxa" w:w="14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SMA crossover</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Trend</w:t>
            </w:r>
          </w:p>
        </w:tc>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20, 50 (+200)</w:t>
            </w:r>
          </w:p>
        </w:tc>
        <w:tc>
          <w:tcPr>
            <w:tcW w:type="dxa" w:w="28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SMA20 crosses above SMA50</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01_SMA_Crossover</w:t>
            </w:r>
          </w:p>
        </w:tc>
      </w:tr>
      <w:tr>
        <w:trPr>
          <w:cantSplit/>
        </w:trPr>
        <w:tc>
          <w:tcPr>
            <w:tcW w:type="dxa" w:w="4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color w:val="000000"/>
                <w:sz w:val="17"/>
                <w:szCs w:val="17"/>
              </w:rPr>
              <w:t xml:space="preserve">2</w:t>
            </w:r>
          </w:p>
        </w:tc>
        <w:tc>
          <w:tcPr>
            <w:tcW w:type="dxa" w:w="14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color w:val="000000"/>
                <w:sz w:val="17"/>
                <w:szCs w:val="17"/>
              </w:rPr>
              <w:t xml:space="preserve">EMA crossover</w:t>
            </w:r>
          </w:p>
        </w:tc>
        <w:tc>
          <w:tcPr>
            <w:tcW w:type="dxa" w:w="13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color w:val="000000"/>
                <w:sz w:val="17"/>
                <w:szCs w:val="17"/>
              </w:rPr>
              <w:t xml:space="preserve">Trend</w:t>
            </w:r>
          </w:p>
        </w:tc>
        <w:tc>
          <w:tcPr>
            <w:tcW w:type="dxa" w:w="11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color w:val="000000"/>
                <w:sz w:val="17"/>
                <w:szCs w:val="17"/>
              </w:rPr>
              <w:t xml:space="preserve">9, 21</w:t>
            </w:r>
          </w:p>
        </w:tc>
        <w:tc>
          <w:tcPr>
            <w:tcW w:type="dxa" w:w="2826"/>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color w:val="000000"/>
                <w:sz w:val="17"/>
                <w:szCs w:val="17"/>
              </w:rPr>
              <w:t xml:space="preserve">EMA9 crosses above EMA21</w:t>
            </w:r>
          </w:p>
        </w:tc>
        <w:tc>
          <w:tcPr>
            <w:tcW w:type="dxa" w:w="19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color w:val="000000"/>
                <w:sz w:val="17"/>
                <w:szCs w:val="17"/>
              </w:rPr>
              <w:t xml:space="preserve">02_EMA_Crossover</w:t>
            </w:r>
          </w:p>
        </w:tc>
      </w:tr>
      <w:tr>
        <w:trPr>
          <w:cantSplit/>
        </w:trPr>
        <w:tc>
          <w:tcPr>
            <w:tcW w:type="dxa" w:w="4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3</w:t>
            </w:r>
          </w:p>
        </w:tc>
        <w:tc>
          <w:tcPr>
            <w:tcW w:type="dxa" w:w="14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RSI</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Momentum</w:t>
            </w:r>
          </w:p>
        </w:tc>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14; 30/70</w:t>
            </w:r>
          </w:p>
        </w:tc>
        <w:tc>
          <w:tcPr>
            <w:tcW w:type="dxa" w:w="28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RSI crosses up through 30</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03_RSI</w:t>
            </w:r>
          </w:p>
        </w:tc>
      </w:tr>
      <w:tr>
        <w:trPr>
          <w:cantSplit/>
        </w:trPr>
        <w:tc>
          <w:tcPr>
            <w:tcW w:type="dxa" w:w="4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color w:val="000000"/>
                <w:sz w:val="17"/>
                <w:szCs w:val="17"/>
              </w:rPr>
              <w:t xml:space="preserve">4</w:t>
            </w:r>
          </w:p>
        </w:tc>
        <w:tc>
          <w:tcPr>
            <w:tcW w:type="dxa" w:w="14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color w:val="000000"/>
                <w:sz w:val="17"/>
                <w:szCs w:val="17"/>
              </w:rPr>
              <w:t xml:space="preserve">MACD</w:t>
            </w:r>
          </w:p>
        </w:tc>
        <w:tc>
          <w:tcPr>
            <w:tcW w:type="dxa" w:w="13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color w:val="000000"/>
                <w:sz w:val="17"/>
                <w:szCs w:val="17"/>
              </w:rPr>
              <w:t xml:space="preserve">Trend/momentum</w:t>
            </w:r>
          </w:p>
        </w:tc>
        <w:tc>
          <w:tcPr>
            <w:tcW w:type="dxa" w:w="11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color w:val="000000"/>
                <w:sz w:val="17"/>
                <w:szCs w:val="17"/>
              </w:rPr>
              <w:t xml:space="preserve">12, 26, 9</w:t>
            </w:r>
          </w:p>
        </w:tc>
        <w:tc>
          <w:tcPr>
            <w:tcW w:type="dxa" w:w="2826"/>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color w:val="000000"/>
                <w:sz w:val="17"/>
                <w:szCs w:val="17"/>
              </w:rPr>
              <w:t xml:space="preserve">MACD crosses above signal</w:t>
            </w:r>
          </w:p>
        </w:tc>
        <w:tc>
          <w:tcPr>
            <w:tcW w:type="dxa" w:w="19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color w:val="000000"/>
                <w:sz w:val="17"/>
                <w:szCs w:val="17"/>
              </w:rPr>
              <w:t xml:space="preserve">04_MACD</w:t>
            </w:r>
          </w:p>
        </w:tc>
      </w:tr>
      <w:tr>
        <w:trPr>
          <w:cantSplit/>
        </w:trPr>
        <w:tc>
          <w:tcPr>
            <w:tcW w:type="dxa" w:w="4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5</w:t>
            </w:r>
          </w:p>
        </w:tc>
        <w:tc>
          <w:tcPr>
            <w:tcW w:type="dxa" w:w="14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Bollinger Bands</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Volatility</w:t>
            </w:r>
          </w:p>
        </w:tc>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20, 2σ</w:t>
            </w:r>
          </w:p>
        </w:tc>
        <w:tc>
          <w:tcPr>
            <w:tcW w:type="dxa" w:w="28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Close crosses back above lower band</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05_Bollinger_Bands</w:t>
            </w:r>
          </w:p>
        </w:tc>
      </w:tr>
      <w:tr>
        <w:trPr>
          <w:cantSplit/>
        </w:trPr>
        <w:tc>
          <w:tcPr>
            <w:tcW w:type="dxa" w:w="4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color w:val="000000"/>
                <w:sz w:val="17"/>
                <w:szCs w:val="17"/>
              </w:rPr>
              <w:t xml:space="preserve">6</w:t>
            </w:r>
          </w:p>
        </w:tc>
        <w:tc>
          <w:tcPr>
            <w:tcW w:type="dxa" w:w="14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color w:val="000000"/>
                <w:sz w:val="17"/>
                <w:szCs w:val="17"/>
              </w:rPr>
              <w:t xml:space="preserve">Stochastic</w:t>
            </w:r>
          </w:p>
        </w:tc>
        <w:tc>
          <w:tcPr>
            <w:tcW w:type="dxa" w:w="13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color w:val="000000"/>
                <w:sz w:val="17"/>
                <w:szCs w:val="17"/>
              </w:rPr>
              <w:t xml:space="preserve">Momentum</w:t>
            </w:r>
          </w:p>
        </w:tc>
        <w:tc>
          <w:tcPr>
            <w:tcW w:type="dxa" w:w="11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color w:val="000000"/>
                <w:sz w:val="17"/>
                <w:szCs w:val="17"/>
              </w:rPr>
              <w:t xml:space="preserve">14, 3, 3</w:t>
            </w:r>
          </w:p>
        </w:tc>
        <w:tc>
          <w:tcPr>
            <w:tcW w:type="dxa" w:w="2826"/>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color w:val="000000"/>
                <w:sz w:val="17"/>
                <w:szCs w:val="17"/>
              </w:rPr>
              <w:t xml:space="preserve">%K crosses %D below 20</w:t>
            </w:r>
          </w:p>
        </w:tc>
        <w:tc>
          <w:tcPr>
            <w:tcW w:type="dxa" w:w="19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color w:val="000000"/>
                <w:sz w:val="17"/>
                <w:szCs w:val="17"/>
              </w:rPr>
              <w:t xml:space="preserve">06_Stochastic</w:t>
            </w:r>
          </w:p>
        </w:tc>
      </w:tr>
      <w:tr>
        <w:trPr>
          <w:cantSplit/>
        </w:trPr>
        <w:tc>
          <w:tcPr>
            <w:tcW w:type="dxa" w:w="4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7</w:t>
            </w:r>
          </w:p>
        </w:tc>
        <w:tc>
          <w:tcPr>
            <w:tcW w:type="dxa" w:w="14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ADX / DMI</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Trend strength</w:t>
            </w:r>
          </w:p>
        </w:tc>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14, 14; 25</w:t>
            </w:r>
          </w:p>
        </w:tc>
        <w:tc>
          <w:tcPr>
            <w:tcW w:type="dxa" w:w="28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+DI crosses −DI with ADX &gt; 25</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07_ADX_DMI</w:t>
            </w:r>
          </w:p>
        </w:tc>
      </w:tr>
      <w:tr>
        <w:trPr>
          <w:cantSplit/>
        </w:trPr>
        <w:tc>
          <w:tcPr>
            <w:tcW w:type="dxa" w:w="4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color w:val="000000"/>
                <w:sz w:val="17"/>
                <w:szCs w:val="17"/>
              </w:rPr>
              <w:t xml:space="preserve">8</w:t>
            </w:r>
          </w:p>
        </w:tc>
        <w:tc>
          <w:tcPr>
            <w:tcW w:type="dxa" w:w="14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color w:val="000000"/>
                <w:sz w:val="17"/>
                <w:szCs w:val="17"/>
              </w:rPr>
              <w:t xml:space="preserve">OBV</w:t>
            </w:r>
          </w:p>
        </w:tc>
        <w:tc>
          <w:tcPr>
            <w:tcW w:type="dxa" w:w="13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color w:val="000000"/>
                <w:sz w:val="17"/>
                <w:szCs w:val="17"/>
              </w:rPr>
              <w:t xml:space="preserve">Volume</w:t>
            </w:r>
          </w:p>
        </w:tc>
        <w:tc>
          <w:tcPr>
            <w:tcW w:type="dxa" w:w="11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color w:val="000000"/>
                <w:sz w:val="17"/>
                <w:szCs w:val="17"/>
              </w:rPr>
              <w:t xml:space="preserve">EMA 20</w:t>
            </w:r>
          </w:p>
        </w:tc>
        <w:tc>
          <w:tcPr>
            <w:tcW w:type="dxa" w:w="2826"/>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color w:val="000000"/>
                <w:sz w:val="17"/>
                <w:szCs w:val="17"/>
              </w:rPr>
              <w:t xml:space="preserve">OBV crosses above its EMA</w:t>
            </w:r>
          </w:p>
        </w:tc>
        <w:tc>
          <w:tcPr>
            <w:tcW w:type="dxa" w:w="19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color w:val="000000"/>
                <w:sz w:val="17"/>
                <w:szCs w:val="17"/>
              </w:rPr>
              <w:t xml:space="preserve">08_OBV</w:t>
            </w:r>
          </w:p>
        </w:tc>
      </w:tr>
      <w:tr>
        <w:trPr>
          <w:cantSplit/>
        </w:trPr>
        <w:tc>
          <w:tcPr>
            <w:tcW w:type="dxa" w:w="4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9</w:t>
            </w:r>
          </w:p>
        </w:tc>
        <w:tc>
          <w:tcPr>
            <w:tcW w:type="dxa" w:w="14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Supertrend</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Trend / volatility</w:t>
            </w:r>
          </w:p>
        </w:tc>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ATR 10, × 3</w:t>
            </w:r>
          </w:p>
        </w:tc>
        <w:tc>
          <w:tcPr>
            <w:tcW w:type="dxa" w:w="28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Trend direction flips to up</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09_Supertrend</w:t>
            </w:r>
          </w:p>
        </w:tc>
      </w:tr>
      <w:tr>
        <w:trPr>
          <w:cantSplit/>
        </w:trPr>
        <w:tc>
          <w:tcPr>
            <w:tcW w:type="dxa" w:w="4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color w:val="000000"/>
                <w:sz w:val="17"/>
                <w:szCs w:val="17"/>
              </w:rPr>
              <w:t xml:space="preserve">10</w:t>
            </w:r>
          </w:p>
        </w:tc>
        <w:tc>
          <w:tcPr>
            <w:tcW w:type="dxa" w:w="14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color w:val="000000"/>
                <w:sz w:val="17"/>
                <w:szCs w:val="17"/>
              </w:rPr>
              <w:t xml:space="preserve">CCI</w:t>
            </w:r>
          </w:p>
        </w:tc>
        <w:tc>
          <w:tcPr>
            <w:tcW w:type="dxa" w:w="13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color w:val="000000"/>
                <w:sz w:val="17"/>
                <w:szCs w:val="17"/>
              </w:rPr>
              <w:t xml:space="preserve">Momentum</w:t>
            </w:r>
          </w:p>
        </w:tc>
        <w:tc>
          <w:tcPr>
            <w:tcW w:type="dxa" w:w="11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color w:val="000000"/>
                <w:sz w:val="17"/>
                <w:szCs w:val="17"/>
              </w:rPr>
              <w:t xml:space="preserve">20; ±100</w:t>
            </w:r>
          </w:p>
        </w:tc>
        <w:tc>
          <w:tcPr>
            <w:tcW w:type="dxa" w:w="2826"/>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color w:val="000000"/>
                <w:sz w:val="17"/>
                <w:szCs w:val="17"/>
              </w:rPr>
              <w:t xml:space="preserve">CCI crosses up through −100</w:t>
            </w:r>
          </w:p>
        </w:tc>
        <w:tc>
          <w:tcPr>
            <w:tcW w:type="dxa" w:w="19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color w:val="000000"/>
                <w:sz w:val="17"/>
                <w:szCs w:val="17"/>
              </w:rPr>
              <w:t xml:space="preserve">10_CCI</w:t>
            </w:r>
          </w:p>
        </w:tc>
      </w:tr>
      <w:tr>
        <w:trPr>
          <w:cantSplit/>
        </w:trPr>
        <w:tc>
          <w:tcPr>
            <w:tcW w:type="dxa" w:w="4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11</w:t>
            </w:r>
          </w:p>
        </w:tc>
        <w:tc>
          <w:tcPr>
            <w:tcW w:type="dxa" w:w="14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MFI</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Volume-weighted momentum</w:t>
            </w:r>
          </w:p>
        </w:tc>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14; 20/80</w:t>
            </w:r>
          </w:p>
        </w:tc>
        <w:tc>
          <w:tcPr>
            <w:tcW w:type="dxa" w:w="28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MFI crosses up through 20</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11_MFI</w:t>
            </w:r>
          </w:p>
        </w:tc>
      </w:tr>
      <w:tr>
        <w:trPr>
          <w:cantSplit/>
        </w:trPr>
        <w:tc>
          <w:tcPr>
            <w:tcW w:type="dxa" w:w="4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color w:val="000000"/>
                <w:sz w:val="17"/>
                <w:szCs w:val="17"/>
              </w:rPr>
              <w:t xml:space="preserve">12</w:t>
            </w:r>
          </w:p>
        </w:tc>
        <w:tc>
          <w:tcPr>
            <w:tcW w:type="dxa" w:w="14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color w:val="000000"/>
                <w:sz w:val="17"/>
                <w:szCs w:val="17"/>
              </w:rPr>
              <w:t xml:space="preserve">Donchian Channel</w:t>
            </w:r>
          </w:p>
        </w:tc>
        <w:tc>
          <w:tcPr>
            <w:tcW w:type="dxa" w:w="13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color w:val="000000"/>
                <w:sz w:val="17"/>
                <w:szCs w:val="17"/>
              </w:rPr>
              <w:t xml:space="preserve">Channel / breakout</w:t>
            </w:r>
          </w:p>
        </w:tc>
        <w:tc>
          <w:tcPr>
            <w:tcW w:type="dxa" w:w="11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color w:val="000000"/>
                <w:sz w:val="17"/>
                <w:szCs w:val="17"/>
              </w:rPr>
              <w:t xml:space="preserve">20</w:t>
            </w:r>
          </w:p>
        </w:tc>
        <w:tc>
          <w:tcPr>
            <w:tcW w:type="dxa" w:w="2826"/>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color w:val="000000"/>
                <w:sz w:val="17"/>
                <w:szCs w:val="17"/>
              </w:rPr>
              <w:t xml:space="preserve">Close above prior 20-day high</w:t>
            </w:r>
          </w:p>
        </w:tc>
        <w:tc>
          <w:tcPr>
            <w:tcW w:type="dxa" w:w="19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color w:val="000000"/>
                <w:sz w:val="17"/>
                <w:szCs w:val="17"/>
              </w:rPr>
              <w:t xml:space="preserve">12_Donchian_Channel</w:t>
            </w:r>
          </w:p>
        </w:tc>
      </w:tr>
    </w:tbl>
    <w:p>
      <w:pPr>
        <w:spacing w:after="120" w:before="160" w:line="276"/>
        <w:jc w:val="both"/>
      </w:pPr>
      <w:r>
        <w:rPr>
          <w:rFonts w:ascii="Calibri" w:cs="Calibri" w:eastAsia="Calibri" w:hAnsi="Calibri"/>
          <w:sz w:val="21"/>
          <w:szCs w:val="21"/>
        </w:rPr>
        <w:t xml:space="preserve">Each indicator is illustrated below on one stock, so that between them the twelve exhibits cover all seven stocks; the 7-stock implementation is then shown for all twelve indicators together in Section 3.13.</w:t>
      </w:r>
    </w:p>
    <w:p>
      <w:pPr>
        <w:pStyle w:val="Heading2"/>
        <w:keepNext/>
        <w:spacing w:after="120" w:before="240"/>
      </w:pPr>
      <w:r>
        <w:rPr>
          <w:rFonts w:ascii="Calibri" w:cs="Calibri" w:eastAsia="Calibri" w:hAnsi="Calibri"/>
          <w:b/>
          <w:bCs/>
          <w:color w:val="1F4E79"/>
          <w:sz w:val="26"/>
          <w:szCs w:val="26"/>
        </w:rPr>
        <w:t xml:space="preserve">3.1 Simple Moving Average (SMA 20/50, SMA 200)</w:t>
      </w:r>
    </w:p>
    <w:p>
      <w:pPr>
        <w:spacing w:after="120" w:before="0" w:line="276"/>
        <w:jc w:val="both"/>
      </w:pPr>
      <w:r>
        <w:rPr>
          <w:rFonts w:ascii="Calibri" w:cs="Calibri" w:eastAsia="Calibri" w:hAnsi="Calibri"/>
          <w:sz w:val="21"/>
          <w:szCs w:val="21"/>
        </w:rPr>
        <w:t xml:space="preserve">The arithmetic mean of the last n closes. A 20-day average crossing above a 50-day average (golden cross) signals that recent prices are rising faster than the medium-term trend; the 200-day average marks the long-term regime. SMAs weight every day equally, so they are smooth but slow.</w:t>
      </w:r>
    </w:p>
    <w:p>
      <w:pPr>
        <w:spacing w:after="120" w:before="0" w:line="276"/>
        <w:jc w:val="both"/>
      </w:pPr>
      <w:r>
        <w:rPr>
          <w:rFonts w:ascii="Calibri" w:cs="Calibri" w:eastAsia="Calibri" w:hAnsi="Calibri"/>
          <w:b/>
          <w:bCs/>
          <w:sz w:val="21"/>
          <w:szCs w:val="21"/>
        </w:rPr>
        <w:t xml:space="preserve">Formula: </w:t>
      </w:r>
      <w:r>
        <w:rPr>
          <w:rFonts w:ascii="Consolas" w:cs="Consolas" w:eastAsia="Consolas" w:hAnsi="Consolas"/>
          <w:sz w:val="19"/>
          <w:szCs w:val="19"/>
        </w:rPr>
        <w:t xml:space="preserve">SMA(n)ₜ = (Cₜ + Cₜ₋₁ + … + Cₜ₋ₙ₊₁) / n</w:t>
      </w:r>
    </w:p>
    <w:p>
      <w:pPr>
        <w:keepNext/>
        <w:spacing w:after="120" w:before="0" w:line="276"/>
        <w:jc w:val="both"/>
      </w:pPr>
      <w:r>
        <w:rPr>
          <w:rFonts w:ascii="Calibri" w:cs="Calibri" w:eastAsia="Calibri" w:hAnsi="Calibri"/>
          <w:b/>
          <w:bCs/>
          <w:sz w:val="21"/>
          <w:szCs w:val="21"/>
        </w:rPr>
        <w:t xml:space="preserve">Pine Script core </w:t>
      </w:r>
      <w:r>
        <w:rPr>
          <w:rFonts w:ascii="Calibri" w:cs="Calibri" w:eastAsia="Calibri" w:hAnsi="Calibri"/>
          <w:sz w:val="21"/>
          <w:szCs w:val="21"/>
        </w:rPr>
        <w:t xml:space="preserve">(full script: </w:t>
      </w:r>
      <w:r>
        <w:rPr>
          <w:rFonts w:ascii="Consolas" w:cs="Consolas" w:eastAsia="Consolas" w:hAnsi="Consolas"/>
          <w:sz w:val="19"/>
          <w:szCs w:val="19"/>
        </w:rPr>
        <w:t xml:space="preserve">01_SMA_Crossover.pine</w:t>
      </w:r>
      <w:r>
        <w:rPr>
          <w:rFonts w:ascii="Calibri" w:cs="Calibri" w:eastAsia="Calibri" w:hAnsi="Calibri"/>
          <w:sz w:val="21"/>
          <w:szCs w:val="21"/>
        </w:rPr>
        <w:t xml:space="preserve">):</w:t>
      </w:r>
    </w:p>
    <w:p>
      <w:pPr>
        <w:keepNext/>
        <w:keepLines/>
        <w:shd w:fill="F4F4F2" w:color="auto" w:val="clear"/>
        <w:spacing w:after="0" w:line="228"/>
        <w:ind w:left="120" w:right="120"/>
      </w:pPr>
      <w:r>
        <w:rPr>
          <w:rFonts w:ascii="Consolas" w:cs="Consolas" w:eastAsia="Consolas" w:hAnsi="Consolas"/>
          <w:color w:val="1A1A1A"/>
          <w:sz w:val="16"/>
          <w:szCs w:val="16"/>
        </w:rPr>
        <w:t xml:space="preserve">fast = ta.sma(close, 20)</w:t>
      </w:r>
    </w:p>
    <w:p>
      <w:pPr>
        <w:keepNext/>
        <w:keepLines/>
        <w:shd w:fill="F4F4F2" w:color="auto" w:val="clear"/>
        <w:spacing w:after="0" w:line="228"/>
        <w:ind w:left="120" w:right="120"/>
      </w:pPr>
      <w:r>
        <w:rPr>
          <w:rFonts w:ascii="Consolas" w:cs="Consolas" w:eastAsia="Consolas" w:hAnsi="Consolas"/>
          <w:color w:val="1A1A1A"/>
          <w:sz w:val="16"/>
          <w:szCs w:val="16"/>
        </w:rPr>
        <w:t xml:space="preserve">slow = ta.sma(close, 50)</w:t>
      </w:r>
    </w:p>
    <w:p>
      <w:pPr>
        <w:keepNext/>
        <w:keepLines/>
        <w:shd w:fill="F4F4F2" w:color="auto" w:val="clear"/>
        <w:spacing w:after="0" w:line="228"/>
        <w:ind w:left="120" w:right="120"/>
      </w:pPr>
      <w:r>
        <w:rPr>
          <w:rFonts w:ascii="Consolas" w:cs="Consolas" w:eastAsia="Consolas" w:hAnsi="Consolas"/>
          <w:color w:val="1A1A1A"/>
          <w:sz w:val="16"/>
          <w:szCs w:val="16"/>
        </w:rPr>
        <w:t xml:space="preserve">golden = ta.crossover(fast, slow)</w:t>
      </w:r>
    </w:p>
    <w:p>
      <w:pPr>
        <w:keepNext w:val="false"/>
        <w:keepLines/>
        <w:shd w:fill="F4F4F2" w:color="auto" w:val="clear"/>
        <w:spacing w:after="0" w:line="228"/>
        <w:ind w:left="120" w:right="120"/>
      </w:pPr>
      <w:r>
        <w:rPr>
          <w:rFonts w:ascii="Consolas" w:cs="Consolas" w:eastAsia="Consolas" w:hAnsi="Consolas"/>
          <w:color w:val="1A1A1A"/>
          <w:sz w:val="16"/>
          <w:szCs w:val="16"/>
        </w:rPr>
        <w:t xml:space="preserve">bgcolor(close &gt; ta.sma(close, 200) ? color.new(#008300, 94) : color.new(#e34948, 94))</w:t>
      </w:r>
    </w:p>
    <w:p>
      <w:pPr>
        <w:keepNext/>
        <w:spacing w:after="60" w:before="120"/>
        <w:jc w:val="center"/>
      </w:pPr>
      <w:r>
        <w:drawing>
          <wp:inline distT="0" distB="0" distL="0" distR="0">
            <wp:extent cx="5760720" cy="176831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0720" cy="1768311"/>
                    </a:xfrm>
                    <a:prstGeom prst="rect">
                      <a:avLst/>
                    </a:prstGeom>
                  </pic:spPr>
                </pic:pic>
              </a:graphicData>
            </a:graphic>
          </wp:inline>
        </w:drawing>
      </w:r>
    </w:p>
    <w:p>
      <w:pPr>
        <w:spacing w:after="200"/>
        <w:jc w:val="left"/>
      </w:pPr>
      <w:r>
        <w:rPr>
          <w:rFonts w:ascii="Calibri" w:cs="Calibri" w:eastAsia="Calibri" w:hAnsi="Calibri"/>
          <w:i/>
          <w:iCs/>
          <w:color w:val="595959"/>
          <w:sz w:val="17"/>
          <w:szCs w:val="17"/>
        </w:rPr>
        <w:t xml:space="preserve">Exhibit 3. Simple Moving Average (SMA 20/50, SMA 200) on NSE:RELIANCE, Mar 2025 – Sep 2026. ▲ = buy signal, ▼ = sell signal, as plotted by 01_SMA_Crossover.pine.</w:t>
      </w:r>
    </w:p>
    <w:p>
      <w:pPr>
        <w:pStyle w:val="Heading2"/>
        <w:keepNext/>
        <w:spacing w:after="120" w:before="240"/>
      </w:pPr>
      <w:r>
        <w:rPr>
          <w:rFonts w:ascii="Calibri" w:cs="Calibri" w:eastAsia="Calibri" w:hAnsi="Calibri"/>
          <w:b/>
          <w:bCs/>
          <w:color w:val="1F4E79"/>
          <w:sz w:val="26"/>
          <w:szCs w:val="26"/>
        </w:rPr>
        <w:t xml:space="preserve">3.2 Exponential Moving Average (EMA 9/21)</w:t>
      </w:r>
    </w:p>
    <w:p>
      <w:pPr>
        <w:spacing w:after="120" w:before="0" w:line="276"/>
        <w:jc w:val="both"/>
      </w:pPr>
      <w:r>
        <w:rPr>
          <w:rFonts w:ascii="Calibri" w:cs="Calibri" w:eastAsia="Calibri" w:hAnsi="Calibri"/>
          <w:sz w:val="21"/>
          <w:szCs w:val="21"/>
        </w:rPr>
        <w:t xml:space="preserve">An average that weights recent closes more heavily (smoothing factor α = 2/(n+1)), so it turns faster than an SMA of similar length. The 9/21 pair is a common short-term trend filter; the fill between the two lines makes the regime visible at a glance.</w:t>
      </w:r>
    </w:p>
    <w:p>
      <w:pPr>
        <w:spacing w:after="120" w:before="0" w:line="276"/>
        <w:jc w:val="both"/>
      </w:pPr>
      <w:r>
        <w:rPr>
          <w:rFonts w:ascii="Calibri" w:cs="Calibri" w:eastAsia="Calibri" w:hAnsi="Calibri"/>
          <w:b/>
          <w:bCs/>
          <w:sz w:val="21"/>
          <w:szCs w:val="21"/>
        </w:rPr>
        <w:t xml:space="preserve">Formula: </w:t>
      </w:r>
      <w:r>
        <w:rPr>
          <w:rFonts w:ascii="Consolas" w:cs="Consolas" w:eastAsia="Consolas" w:hAnsi="Consolas"/>
          <w:sz w:val="19"/>
          <w:szCs w:val="19"/>
        </w:rPr>
        <w:t xml:space="preserve">EMAₜ = α·Cₜ + (1 − α)·EMAₜ₋₁,  α = 2/(n+1)</w:t>
      </w:r>
    </w:p>
    <w:p>
      <w:pPr>
        <w:keepNext/>
        <w:spacing w:after="120" w:before="0" w:line="276"/>
        <w:jc w:val="both"/>
      </w:pPr>
      <w:r>
        <w:rPr>
          <w:rFonts w:ascii="Calibri" w:cs="Calibri" w:eastAsia="Calibri" w:hAnsi="Calibri"/>
          <w:b/>
          <w:bCs/>
          <w:sz w:val="21"/>
          <w:szCs w:val="21"/>
        </w:rPr>
        <w:t xml:space="preserve">Pine Script core </w:t>
      </w:r>
      <w:r>
        <w:rPr>
          <w:rFonts w:ascii="Calibri" w:cs="Calibri" w:eastAsia="Calibri" w:hAnsi="Calibri"/>
          <w:sz w:val="21"/>
          <w:szCs w:val="21"/>
        </w:rPr>
        <w:t xml:space="preserve">(full script: </w:t>
      </w:r>
      <w:r>
        <w:rPr>
          <w:rFonts w:ascii="Consolas" w:cs="Consolas" w:eastAsia="Consolas" w:hAnsi="Consolas"/>
          <w:sz w:val="19"/>
          <w:szCs w:val="19"/>
        </w:rPr>
        <w:t xml:space="preserve">02_EMA_Crossover.pine</w:t>
      </w:r>
      <w:r>
        <w:rPr>
          <w:rFonts w:ascii="Calibri" w:cs="Calibri" w:eastAsia="Calibri" w:hAnsi="Calibri"/>
          <w:sz w:val="21"/>
          <w:szCs w:val="21"/>
        </w:rPr>
        <w:t xml:space="preserve">):</w:t>
      </w:r>
    </w:p>
    <w:p>
      <w:pPr>
        <w:keepNext/>
        <w:keepLines/>
        <w:shd w:fill="F4F4F2" w:color="auto" w:val="clear"/>
        <w:spacing w:after="0" w:line="228"/>
        <w:ind w:left="120" w:right="120"/>
      </w:pPr>
      <w:r>
        <w:rPr>
          <w:rFonts w:ascii="Consolas" w:cs="Consolas" w:eastAsia="Consolas" w:hAnsi="Consolas"/>
          <w:color w:val="1A1A1A"/>
          <w:sz w:val="16"/>
          <w:szCs w:val="16"/>
        </w:rPr>
        <w:t xml:space="preserve">f = ta.ema(close, 9)</w:t>
      </w:r>
    </w:p>
    <w:p>
      <w:pPr>
        <w:keepNext/>
        <w:keepLines/>
        <w:shd w:fill="F4F4F2" w:color="auto" w:val="clear"/>
        <w:spacing w:after="0" w:line="228"/>
        <w:ind w:left="120" w:right="120"/>
      </w:pPr>
      <w:r>
        <w:rPr>
          <w:rFonts w:ascii="Consolas" w:cs="Consolas" w:eastAsia="Consolas" w:hAnsi="Consolas"/>
          <w:color w:val="1A1A1A"/>
          <w:sz w:val="16"/>
          <w:szCs w:val="16"/>
        </w:rPr>
        <w:t xml:space="preserve">s = ta.ema(close, 21)</w:t>
      </w:r>
    </w:p>
    <w:p>
      <w:pPr>
        <w:keepNext w:val="false"/>
        <w:keepLines/>
        <w:shd w:fill="F4F4F2" w:color="auto" w:val="clear"/>
        <w:spacing w:after="0" w:line="228"/>
        <w:ind w:left="120" w:right="120"/>
      </w:pPr>
      <w:r>
        <w:rPr>
          <w:rFonts w:ascii="Consolas" w:cs="Consolas" w:eastAsia="Consolas" w:hAnsi="Consolas"/>
          <w:color w:val="1A1A1A"/>
          <w:sz w:val="16"/>
          <w:szCs w:val="16"/>
        </w:rPr>
        <w:t xml:space="preserve">fill(plot(f), plot(s), color = f &gt; s ? color.new(#008300, 85) : color.new(#e34948, 85))</w:t>
      </w:r>
    </w:p>
    <w:p>
      <w:pPr>
        <w:keepNext/>
        <w:spacing w:after="60" w:before="120"/>
        <w:jc w:val="center"/>
      </w:pPr>
      <w:r>
        <w:drawing>
          <wp:inline distT="0" distB="0" distL="0" distR="0">
            <wp:extent cx="5760720" cy="185204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0720" cy="1852045"/>
                    </a:xfrm>
                    <a:prstGeom prst="rect">
                      <a:avLst/>
                    </a:prstGeom>
                  </pic:spPr>
                </pic:pic>
              </a:graphicData>
            </a:graphic>
          </wp:inline>
        </w:drawing>
      </w:r>
    </w:p>
    <w:p>
      <w:pPr>
        <w:spacing w:after="200"/>
        <w:jc w:val="left"/>
      </w:pPr>
      <w:r>
        <w:rPr>
          <w:rFonts w:ascii="Calibri" w:cs="Calibri" w:eastAsia="Calibri" w:hAnsi="Calibri"/>
          <w:i/>
          <w:iCs/>
          <w:color w:val="595959"/>
          <w:sz w:val="17"/>
          <w:szCs w:val="17"/>
        </w:rPr>
        <w:t xml:space="preserve">Exhibit 4. Exponential Moving Average (EMA 9/21) on NSE:HDFCBANK, Mar 2025 – Sep 2026. ▲ = buy signal, ▼ = sell signal, as plotted by 02_EMA_Crossover.pine.</w:t>
      </w:r>
    </w:p>
    <w:p>
      <w:pPr>
        <w:pStyle w:val="Heading2"/>
        <w:keepNext/>
        <w:spacing w:after="120" w:before="240"/>
      </w:pPr>
      <w:r>
        <w:rPr>
          <w:rFonts w:ascii="Calibri" w:cs="Calibri" w:eastAsia="Calibri" w:hAnsi="Calibri"/>
          <w:b/>
          <w:bCs/>
          <w:color w:val="1F4E79"/>
          <w:sz w:val="26"/>
          <w:szCs w:val="26"/>
        </w:rPr>
        <w:t xml:space="preserve">3.3 Relative Strength Index (RSI 14)</w:t>
      </w:r>
    </w:p>
    <w:p>
      <w:pPr>
        <w:spacing w:after="120" w:before="0" w:line="276"/>
        <w:jc w:val="both"/>
      </w:pPr>
      <w:r>
        <w:rPr>
          <w:rFonts w:ascii="Calibri" w:cs="Calibri" w:eastAsia="Calibri" w:hAnsi="Calibri"/>
          <w:sz w:val="21"/>
          <w:szCs w:val="21"/>
        </w:rPr>
        <w:t xml:space="preserve">Wilder's momentum oscillator: the ratio of average up-moves to average down-moves over 14 sessions, mapped to 0–100. Readings below 30 are conventionally 'oversold' and above 70 'overbought'; a cross back above 30 is the canonical buy signal.</w:t>
      </w:r>
    </w:p>
    <w:p>
      <w:pPr>
        <w:spacing w:after="120" w:before="0" w:line="276"/>
        <w:jc w:val="both"/>
      </w:pPr>
      <w:r>
        <w:rPr>
          <w:rFonts w:ascii="Calibri" w:cs="Calibri" w:eastAsia="Calibri" w:hAnsi="Calibri"/>
          <w:b/>
          <w:bCs/>
          <w:sz w:val="21"/>
          <w:szCs w:val="21"/>
        </w:rPr>
        <w:t xml:space="preserve">Formula: </w:t>
      </w:r>
      <w:r>
        <w:rPr>
          <w:rFonts w:ascii="Consolas" w:cs="Consolas" w:eastAsia="Consolas" w:hAnsi="Consolas"/>
          <w:sz w:val="19"/>
          <w:szCs w:val="19"/>
        </w:rPr>
        <w:t xml:space="preserve">RSI = 100 − 100 / (1 + RMA(gains,14) / RMA(losses,14))</w:t>
      </w:r>
    </w:p>
    <w:p>
      <w:pPr>
        <w:keepNext/>
        <w:spacing w:after="120" w:before="0" w:line="276"/>
        <w:jc w:val="both"/>
      </w:pPr>
      <w:r>
        <w:rPr>
          <w:rFonts w:ascii="Calibri" w:cs="Calibri" w:eastAsia="Calibri" w:hAnsi="Calibri"/>
          <w:b/>
          <w:bCs/>
          <w:sz w:val="21"/>
          <w:szCs w:val="21"/>
        </w:rPr>
        <w:t xml:space="preserve">Pine Script core </w:t>
      </w:r>
      <w:r>
        <w:rPr>
          <w:rFonts w:ascii="Calibri" w:cs="Calibri" w:eastAsia="Calibri" w:hAnsi="Calibri"/>
          <w:sz w:val="21"/>
          <w:szCs w:val="21"/>
        </w:rPr>
        <w:t xml:space="preserve">(full script: </w:t>
      </w:r>
      <w:r>
        <w:rPr>
          <w:rFonts w:ascii="Consolas" w:cs="Consolas" w:eastAsia="Consolas" w:hAnsi="Consolas"/>
          <w:sz w:val="19"/>
          <w:szCs w:val="19"/>
        </w:rPr>
        <w:t xml:space="preserve">03_RSI.pine</w:t>
      </w:r>
      <w:r>
        <w:rPr>
          <w:rFonts w:ascii="Calibri" w:cs="Calibri" w:eastAsia="Calibri" w:hAnsi="Calibri"/>
          <w:sz w:val="21"/>
          <w:szCs w:val="21"/>
        </w:rPr>
        <w:t xml:space="preserve">):</w:t>
      </w:r>
    </w:p>
    <w:p>
      <w:pPr>
        <w:keepNext/>
        <w:keepLines/>
        <w:shd w:fill="F4F4F2" w:color="auto" w:val="clear"/>
        <w:spacing w:after="0" w:line="228"/>
        <w:ind w:left="120" w:right="120"/>
      </w:pPr>
      <w:r>
        <w:rPr>
          <w:rFonts w:ascii="Consolas" w:cs="Consolas" w:eastAsia="Consolas" w:hAnsi="Consolas"/>
          <w:color w:val="1A1A1A"/>
          <w:sz w:val="16"/>
          <w:szCs w:val="16"/>
        </w:rPr>
        <w:t xml:space="preserve">r = ta.rsi(close, 14)</w:t>
      </w:r>
    </w:p>
    <w:p>
      <w:pPr>
        <w:keepNext/>
        <w:keepLines/>
        <w:shd w:fill="F4F4F2" w:color="auto" w:val="clear"/>
        <w:spacing w:after="0" w:line="228"/>
        <w:ind w:left="120" w:right="120"/>
      </w:pPr>
      <w:r>
        <w:rPr>
          <w:rFonts w:ascii="Consolas" w:cs="Consolas" w:eastAsia="Consolas" w:hAnsi="Consolas"/>
          <w:color w:val="1A1A1A"/>
          <w:sz w:val="16"/>
          <w:szCs w:val="16"/>
        </w:rPr>
        <w:t xml:space="preserve">buy  = ta.crossover(r, 30)</w:t>
      </w:r>
    </w:p>
    <w:p>
      <w:pPr>
        <w:keepNext w:val="false"/>
        <w:keepLines/>
        <w:shd w:fill="F4F4F2" w:color="auto" w:val="clear"/>
        <w:spacing w:after="0" w:line="228"/>
        <w:ind w:left="120" w:right="120"/>
      </w:pPr>
      <w:r>
        <w:rPr>
          <w:rFonts w:ascii="Consolas" w:cs="Consolas" w:eastAsia="Consolas" w:hAnsi="Consolas"/>
          <w:color w:val="1A1A1A"/>
          <w:sz w:val="16"/>
          <w:szCs w:val="16"/>
        </w:rPr>
        <w:t xml:space="preserve">sell = ta.crossunder(r, 70)</w:t>
      </w:r>
    </w:p>
    <w:p>
      <w:pPr>
        <w:keepNext/>
        <w:spacing w:after="60" w:before="120"/>
        <w:jc w:val="center"/>
      </w:pPr>
      <w:r>
        <w:drawing>
          <wp:inline distT="0" distB="0" distL="0" distR="0">
            <wp:extent cx="5760720" cy="293823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0720" cy="2938234"/>
                    </a:xfrm>
                    <a:prstGeom prst="rect">
                      <a:avLst/>
                    </a:prstGeom>
                  </pic:spPr>
                </pic:pic>
              </a:graphicData>
            </a:graphic>
          </wp:inline>
        </w:drawing>
      </w:r>
    </w:p>
    <w:p>
      <w:pPr>
        <w:spacing w:after="200"/>
        <w:jc w:val="left"/>
      </w:pPr>
      <w:r>
        <w:rPr>
          <w:rFonts w:ascii="Calibri" w:cs="Calibri" w:eastAsia="Calibri" w:hAnsi="Calibri"/>
          <w:i/>
          <w:iCs/>
          <w:color w:val="595959"/>
          <w:sz w:val="17"/>
          <w:szCs w:val="17"/>
        </w:rPr>
        <w:t xml:space="preserve">Exhibit 5. Relative Strength Index (RSI 14) on NSE:INFY, Mar 2025 – Sep 2026. ▲ = buy signal, ▼ = sell signal, as plotted by 03_RSI.pine.</w:t>
      </w:r>
    </w:p>
    <w:p>
      <w:pPr>
        <w:pStyle w:val="Heading2"/>
        <w:keepNext/>
        <w:spacing w:after="120" w:before="240"/>
      </w:pPr>
      <w:r>
        <w:rPr>
          <w:rFonts w:ascii="Calibri" w:cs="Calibri" w:eastAsia="Calibri" w:hAnsi="Calibri"/>
          <w:b/>
          <w:bCs/>
          <w:color w:val="1F4E79"/>
          <w:sz w:val="26"/>
          <w:szCs w:val="26"/>
        </w:rPr>
        <w:t xml:space="preserve">3.4 Moving Average Convergence Divergence (MACD 12, 26, 9)</w:t>
      </w:r>
    </w:p>
    <w:p>
      <w:pPr>
        <w:spacing w:after="120" w:before="0" w:line="276"/>
        <w:jc w:val="both"/>
      </w:pPr>
      <w:r>
        <w:rPr>
          <w:rFonts w:ascii="Calibri" w:cs="Calibri" w:eastAsia="Calibri" w:hAnsi="Calibri"/>
          <w:sz w:val="21"/>
          <w:szCs w:val="21"/>
        </w:rPr>
        <w:t xml:space="preserve">The difference between a 12- and a 26-period EMA (the MACD line), its 9-period EMA (the signal line), and their difference (the histogram). A MACD cross above its signal line marks accelerating momentum.</w:t>
      </w:r>
    </w:p>
    <w:p>
      <w:pPr>
        <w:spacing w:after="120" w:before="0" w:line="276"/>
        <w:jc w:val="both"/>
      </w:pPr>
      <w:r>
        <w:rPr>
          <w:rFonts w:ascii="Calibri" w:cs="Calibri" w:eastAsia="Calibri" w:hAnsi="Calibri"/>
          <w:b/>
          <w:bCs/>
          <w:sz w:val="21"/>
          <w:szCs w:val="21"/>
        </w:rPr>
        <w:t xml:space="preserve">Formula: </w:t>
      </w:r>
      <w:r>
        <w:rPr>
          <w:rFonts w:ascii="Consolas" w:cs="Consolas" w:eastAsia="Consolas" w:hAnsi="Consolas"/>
          <w:sz w:val="19"/>
          <w:szCs w:val="19"/>
        </w:rPr>
        <w:t xml:space="preserve">MACD = EMA₁₂ − EMA₂₆;  Signal = EMA₉(MACD);  Hist = MACD − Signal</w:t>
      </w:r>
    </w:p>
    <w:p>
      <w:pPr>
        <w:keepNext/>
        <w:spacing w:after="120" w:before="0" w:line="276"/>
        <w:jc w:val="both"/>
      </w:pPr>
      <w:r>
        <w:rPr>
          <w:rFonts w:ascii="Calibri" w:cs="Calibri" w:eastAsia="Calibri" w:hAnsi="Calibri"/>
          <w:b/>
          <w:bCs/>
          <w:sz w:val="21"/>
          <w:szCs w:val="21"/>
        </w:rPr>
        <w:t xml:space="preserve">Pine Script core </w:t>
      </w:r>
      <w:r>
        <w:rPr>
          <w:rFonts w:ascii="Calibri" w:cs="Calibri" w:eastAsia="Calibri" w:hAnsi="Calibri"/>
          <w:sz w:val="21"/>
          <w:szCs w:val="21"/>
        </w:rPr>
        <w:t xml:space="preserve">(full script: </w:t>
      </w:r>
      <w:r>
        <w:rPr>
          <w:rFonts w:ascii="Consolas" w:cs="Consolas" w:eastAsia="Consolas" w:hAnsi="Consolas"/>
          <w:sz w:val="19"/>
          <w:szCs w:val="19"/>
        </w:rPr>
        <w:t xml:space="preserve">04_MACD.pine</w:t>
      </w:r>
      <w:r>
        <w:rPr>
          <w:rFonts w:ascii="Calibri" w:cs="Calibri" w:eastAsia="Calibri" w:hAnsi="Calibri"/>
          <w:sz w:val="21"/>
          <w:szCs w:val="21"/>
        </w:rPr>
        <w:t xml:space="preserve">):</w:t>
      </w:r>
    </w:p>
    <w:p>
      <w:pPr>
        <w:keepNext/>
        <w:keepLines/>
        <w:shd w:fill="F4F4F2" w:color="auto" w:val="clear"/>
        <w:spacing w:after="0" w:line="228"/>
        <w:ind w:left="120" w:right="120"/>
      </w:pPr>
      <w:r>
        <w:rPr>
          <w:rFonts w:ascii="Consolas" w:cs="Consolas" w:eastAsia="Consolas" w:hAnsi="Consolas"/>
          <w:color w:val="1A1A1A"/>
          <w:sz w:val="16"/>
          <w:szCs w:val="16"/>
        </w:rPr>
        <w:t xml:space="preserve">[m, sig, hist] = ta.macd(close, 12, 26, 9)</w:t>
      </w:r>
    </w:p>
    <w:p>
      <w:pPr>
        <w:keepNext w:val="false"/>
        <w:keepLines/>
        <w:shd w:fill="F4F4F2" w:color="auto" w:val="clear"/>
        <w:spacing w:after="0" w:line="228"/>
        <w:ind w:left="120" w:right="120"/>
      </w:pPr>
      <w:r>
        <w:rPr>
          <w:rFonts w:ascii="Consolas" w:cs="Consolas" w:eastAsia="Consolas" w:hAnsi="Consolas"/>
          <w:color w:val="1A1A1A"/>
          <w:sz w:val="16"/>
          <w:szCs w:val="16"/>
        </w:rPr>
        <w:t xml:space="preserve">bull = ta.crossover(m, sig)</w:t>
      </w:r>
    </w:p>
    <w:p>
      <w:pPr>
        <w:keepNext/>
        <w:spacing w:after="60" w:before="120"/>
        <w:jc w:val="center"/>
      </w:pPr>
      <w:r>
        <w:drawing>
          <wp:inline distT="0" distB="0" distL="0" distR="0">
            <wp:extent cx="5760720" cy="299848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0720" cy="2998482"/>
                    </a:xfrm>
                    <a:prstGeom prst="rect">
                      <a:avLst/>
                    </a:prstGeom>
                  </pic:spPr>
                </pic:pic>
              </a:graphicData>
            </a:graphic>
          </wp:inline>
        </w:drawing>
      </w:r>
    </w:p>
    <w:p>
      <w:pPr>
        <w:spacing w:after="200"/>
        <w:jc w:val="left"/>
      </w:pPr>
      <w:r>
        <w:rPr>
          <w:rFonts w:ascii="Calibri" w:cs="Calibri" w:eastAsia="Calibri" w:hAnsi="Calibri"/>
          <w:i/>
          <w:iCs/>
          <w:color w:val="595959"/>
          <w:sz w:val="17"/>
          <w:szCs w:val="17"/>
        </w:rPr>
        <w:t xml:space="preserve">Exhibit 6. Moving Average Convergence Divergence (MACD 12, 26, 9) on NSE:ITC, Mar 2025 – Sep 2026. ▲ = buy signal, ▼ = sell signal, as plotted by 04_MACD.pine.</w:t>
      </w:r>
    </w:p>
    <w:p>
      <w:pPr>
        <w:pStyle w:val="Heading2"/>
        <w:keepNext/>
        <w:spacing w:after="120" w:before="240"/>
      </w:pPr>
      <w:r>
        <w:rPr>
          <w:rFonts w:ascii="Calibri" w:cs="Calibri" w:eastAsia="Calibri" w:hAnsi="Calibri"/>
          <w:b/>
          <w:bCs/>
          <w:color w:val="1F4E79"/>
          <w:sz w:val="26"/>
          <w:szCs w:val="26"/>
        </w:rPr>
        <w:t xml:space="preserve">3.5 Bollinger Bands (20, 2σ)</w:t>
      </w:r>
    </w:p>
    <w:p>
      <w:pPr>
        <w:spacing w:after="120" w:before="0" w:line="276"/>
        <w:jc w:val="both"/>
      </w:pPr>
      <w:r>
        <w:rPr>
          <w:rFonts w:ascii="Calibri" w:cs="Calibri" w:eastAsia="Calibri" w:hAnsi="Calibri"/>
          <w:sz w:val="21"/>
          <w:szCs w:val="21"/>
        </w:rPr>
        <w:t xml:space="preserve">A 20-day SMA with bands two standard deviations above and below. The bands widen with volatility; a close back inside the lower band is a mean-reversion buy signal, and an unusually narrow band (a 'squeeze', shaded) often precedes a volatility expansion. %B locates the close within the bands (0 = lower, 1 = upper).</w:t>
      </w:r>
    </w:p>
    <w:p>
      <w:pPr>
        <w:spacing w:after="120" w:before="0" w:line="276"/>
        <w:jc w:val="both"/>
      </w:pPr>
      <w:r>
        <w:rPr>
          <w:rFonts w:ascii="Calibri" w:cs="Calibri" w:eastAsia="Calibri" w:hAnsi="Calibri"/>
          <w:b/>
          <w:bCs/>
          <w:sz w:val="21"/>
          <w:szCs w:val="21"/>
        </w:rPr>
        <w:t xml:space="preserve">Formula: </w:t>
      </w:r>
      <w:r>
        <w:rPr>
          <w:rFonts w:ascii="Consolas" w:cs="Consolas" w:eastAsia="Consolas" w:hAnsi="Consolas"/>
          <w:sz w:val="19"/>
          <w:szCs w:val="19"/>
        </w:rPr>
        <w:t xml:space="preserve">Upper/Lower = SMA₂₀ ± 2·σ₂₀;  %B = (C − Lower)/(Upper − Lower)</w:t>
      </w:r>
    </w:p>
    <w:p>
      <w:pPr>
        <w:keepNext/>
        <w:spacing w:after="120" w:before="0" w:line="276"/>
        <w:jc w:val="both"/>
      </w:pPr>
      <w:r>
        <w:rPr>
          <w:rFonts w:ascii="Calibri" w:cs="Calibri" w:eastAsia="Calibri" w:hAnsi="Calibri"/>
          <w:b/>
          <w:bCs/>
          <w:sz w:val="21"/>
          <w:szCs w:val="21"/>
        </w:rPr>
        <w:t xml:space="preserve">Pine Script core </w:t>
      </w:r>
      <w:r>
        <w:rPr>
          <w:rFonts w:ascii="Calibri" w:cs="Calibri" w:eastAsia="Calibri" w:hAnsi="Calibri"/>
          <w:sz w:val="21"/>
          <w:szCs w:val="21"/>
        </w:rPr>
        <w:t xml:space="preserve">(full script: </w:t>
      </w:r>
      <w:r>
        <w:rPr>
          <w:rFonts w:ascii="Consolas" w:cs="Consolas" w:eastAsia="Consolas" w:hAnsi="Consolas"/>
          <w:sz w:val="19"/>
          <w:szCs w:val="19"/>
        </w:rPr>
        <w:t xml:space="preserve">05_Bollinger_Bands.pine</w:t>
      </w:r>
      <w:r>
        <w:rPr>
          <w:rFonts w:ascii="Calibri" w:cs="Calibri" w:eastAsia="Calibri" w:hAnsi="Calibri"/>
          <w:sz w:val="21"/>
          <w:szCs w:val="21"/>
        </w:rPr>
        <w:t xml:space="preserve">):</w:t>
      </w:r>
    </w:p>
    <w:p>
      <w:pPr>
        <w:keepNext/>
        <w:keepLines/>
        <w:shd w:fill="F4F4F2" w:color="auto" w:val="clear"/>
        <w:spacing w:after="0" w:line="228"/>
        <w:ind w:left="120" w:right="120"/>
      </w:pPr>
      <w:r>
        <w:rPr>
          <w:rFonts w:ascii="Consolas" w:cs="Consolas" w:eastAsia="Consolas" w:hAnsi="Consolas"/>
          <w:color w:val="1A1A1A"/>
          <w:sz w:val="16"/>
          <w:szCs w:val="16"/>
        </w:rPr>
        <w:t xml:space="preserve">[mid, up, lo] = ta.bb(close, 20, 2.0)</w:t>
      </w:r>
    </w:p>
    <w:p>
      <w:pPr>
        <w:keepNext w:val="false"/>
        <w:keepLines/>
        <w:shd w:fill="F4F4F2" w:color="auto" w:val="clear"/>
        <w:spacing w:after="0" w:line="228"/>
        <w:ind w:left="120" w:right="120"/>
      </w:pPr>
      <w:r>
        <w:rPr>
          <w:rFonts w:ascii="Consolas" w:cs="Consolas" w:eastAsia="Consolas" w:hAnsi="Consolas"/>
          <w:color w:val="1A1A1A"/>
          <w:sz w:val="16"/>
          <w:szCs w:val="16"/>
        </w:rPr>
        <w:t xml:space="preserve">buy = ta.crossover(close, lo)</w:t>
      </w:r>
    </w:p>
    <w:p>
      <w:pPr>
        <w:keepNext/>
        <w:spacing w:after="60" w:before="120"/>
        <w:jc w:val="center"/>
      </w:pPr>
      <w:r>
        <w:drawing>
          <wp:inline distT="0" distB="0" distL="0" distR="0">
            <wp:extent cx="5760720" cy="229008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0720" cy="2290086"/>
                    </a:xfrm>
                    <a:prstGeom prst="rect">
                      <a:avLst/>
                    </a:prstGeom>
                  </pic:spPr>
                </pic:pic>
              </a:graphicData>
            </a:graphic>
          </wp:inline>
        </w:drawing>
      </w:r>
    </w:p>
    <w:p>
      <w:pPr>
        <w:spacing w:after="200"/>
        <w:jc w:val="left"/>
      </w:pPr>
      <w:r>
        <w:rPr>
          <w:rFonts w:ascii="Calibri" w:cs="Calibri" w:eastAsia="Calibri" w:hAnsi="Calibri"/>
          <w:i/>
          <w:iCs/>
          <w:color w:val="595959"/>
          <w:sz w:val="17"/>
          <w:szCs w:val="17"/>
        </w:rPr>
        <w:t xml:space="preserve">Exhibit 7. Bollinger Bands (20, 2σ) on NSE:MARUTI, Mar 2025 – Sep 2026. ▲ = buy signal, ▼ = sell signal, as plotted by 05_Bollinger_Bands.pine.</w:t>
      </w:r>
    </w:p>
    <w:p>
      <w:pPr>
        <w:pStyle w:val="Heading2"/>
        <w:keepNext/>
        <w:spacing w:after="120" w:before="240"/>
      </w:pPr>
      <w:r>
        <w:rPr>
          <w:rFonts w:ascii="Calibri" w:cs="Calibri" w:eastAsia="Calibri" w:hAnsi="Calibri"/>
          <w:b/>
          <w:bCs/>
          <w:color w:val="1F4E79"/>
          <w:sz w:val="26"/>
          <w:szCs w:val="26"/>
        </w:rPr>
        <w:t xml:space="preserve">3.6 Stochastic Oscillator (14, 3, 3)</w:t>
      </w:r>
    </w:p>
    <w:p>
      <w:pPr>
        <w:spacing w:after="120" w:before="0" w:line="276"/>
        <w:jc w:val="both"/>
      </w:pPr>
      <w:r>
        <w:rPr>
          <w:rFonts w:ascii="Calibri" w:cs="Calibri" w:eastAsia="Calibri" w:hAnsi="Calibri"/>
          <w:sz w:val="21"/>
          <w:szCs w:val="21"/>
        </w:rPr>
        <w:t xml:space="preserve">Locates the close within the 14-day high–low range (%K, smoothed over 3 days) with a 3-day signal line (%D). A %K cross above %D while below 20 is an oversold buy signal. It is faster and noisier than RSI.</w:t>
      </w:r>
    </w:p>
    <w:p>
      <w:pPr>
        <w:spacing w:after="120" w:before="0" w:line="276"/>
        <w:jc w:val="both"/>
      </w:pPr>
      <w:r>
        <w:rPr>
          <w:rFonts w:ascii="Calibri" w:cs="Calibri" w:eastAsia="Calibri" w:hAnsi="Calibri"/>
          <w:b/>
          <w:bCs/>
          <w:sz w:val="21"/>
          <w:szCs w:val="21"/>
        </w:rPr>
        <w:t xml:space="preserve">Formula: </w:t>
      </w:r>
      <w:r>
        <w:rPr>
          <w:rFonts w:ascii="Consolas" w:cs="Consolas" w:eastAsia="Consolas" w:hAnsi="Consolas"/>
          <w:sz w:val="19"/>
          <w:szCs w:val="19"/>
        </w:rPr>
        <w:t xml:space="preserve">%K = SMA₃(100·(C − L₁₄)/(H₁₄ − L₁₄));  %D = SMA₃(%K)</w:t>
      </w:r>
    </w:p>
    <w:p>
      <w:pPr>
        <w:keepNext/>
        <w:spacing w:after="120" w:before="0" w:line="276"/>
        <w:jc w:val="both"/>
      </w:pPr>
      <w:r>
        <w:rPr>
          <w:rFonts w:ascii="Calibri" w:cs="Calibri" w:eastAsia="Calibri" w:hAnsi="Calibri"/>
          <w:b/>
          <w:bCs/>
          <w:sz w:val="21"/>
          <w:szCs w:val="21"/>
        </w:rPr>
        <w:t xml:space="preserve">Pine Script core </w:t>
      </w:r>
      <w:r>
        <w:rPr>
          <w:rFonts w:ascii="Calibri" w:cs="Calibri" w:eastAsia="Calibri" w:hAnsi="Calibri"/>
          <w:sz w:val="21"/>
          <w:szCs w:val="21"/>
        </w:rPr>
        <w:t xml:space="preserve">(full script: </w:t>
      </w:r>
      <w:r>
        <w:rPr>
          <w:rFonts w:ascii="Consolas" w:cs="Consolas" w:eastAsia="Consolas" w:hAnsi="Consolas"/>
          <w:sz w:val="19"/>
          <w:szCs w:val="19"/>
        </w:rPr>
        <w:t xml:space="preserve">06_Stochastic.pine</w:t>
      </w:r>
      <w:r>
        <w:rPr>
          <w:rFonts w:ascii="Calibri" w:cs="Calibri" w:eastAsia="Calibri" w:hAnsi="Calibri"/>
          <w:sz w:val="21"/>
          <w:szCs w:val="21"/>
        </w:rPr>
        <w:t xml:space="preserve">):</w:t>
      </w:r>
    </w:p>
    <w:p>
      <w:pPr>
        <w:keepNext/>
        <w:keepLines/>
        <w:shd w:fill="F4F4F2" w:color="auto" w:val="clear"/>
        <w:spacing w:after="0" w:line="228"/>
        <w:ind w:left="120" w:right="120"/>
      </w:pPr>
      <w:r>
        <w:rPr>
          <w:rFonts w:ascii="Consolas" w:cs="Consolas" w:eastAsia="Consolas" w:hAnsi="Consolas"/>
          <w:color w:val="1A1A1A"/>
          <w:sz w:val="16"/>
          <w:szCs w:val="16"/>
        </w:rPr>
        <w:t xml:space="preserve">k = ta.sma(ta.stoch(close, high, low, 14), 3)</w:t>
      </w:r>
    </w:p>
    <w:p>
      <w:pPr>
        <w:keepNext/>
        <w:keepLines/>
        <w:shd w:fill="F4F4F2" w:color="auto" w:val="clear"/>
        <w:spacing w:after="0" w:line="228"/>
        <w:ind w:left="120" w:right="120"/>
      </w:pPr>
      <w:r>
        <w:rPr>
          <w:rFonts w:ascii="Consolas" w:cs="Consolas" w:eastAsia="Consolas" w:hAnsi="Consolas"/>
          <w:color w:val="1A1A1A"/>
          <w:sz w:val="16"/>
          <w:szCs w:val="16"/>
        </w:rPr>
        <w:t xml:space="preserve">d = ta.sma(k, 3)</w:t>
      </w:r>
    </w:p>
    <w:p>
      <w:pPr>
        <w:keepNext w:val="false"/>
        <w:keepLines/>
        <w:shd w:fill="F4F4F2" w:color="auto" w:val="clear"/>
        <w:spacing w:after="0" w:line="228"/>
        <w:ind w:left="120" w:right="120"/>
      </w:pPr>
      <w:r>
        <w:rPr>
          <w:rFonts w:ascii="Consolas" w:cs="Consolas" w:eastAsia="Consolas" w:hAnsi="Consolas"/>
          <w:color w:val="1A1A1A"/>
          <w:sz w:val="16"/>
          <w:szCs w:val="16"/>
        </w:rPr>
        <w:t xml:space="preserve">buy = ta.crossover(k, d) and k &lt; 20</w:t>
      </w:r>
    </w:p>
    <w:p>
      <w:pPr>
        <w:keepNext/>
        <w:spacing w:after="60" w:before="120"/>
        <w:jc w:val="center"/>
      </w:pPr>
      <w:r>
        <w:drawing>
          <wp:inline distT="0" distB="0" distL="0" distR="0">
            <wp:extent cx="5760720" cy="265693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60720" cy="2656936"/>
                    </a:xfrm>
                    <a:prstGeom prst="rect">
                      <a:avLst/>
                    </a:prstGeom>
                  </pic:spPr>
                </pic:pic>
              </a:graphicData>
            </a:graphic>
          </wp:inline>
        </w:drawing>
      </w:r>
    </w:p>
    <w:p>
      <w:pPr>
        <w:spacing w:after="200"/>
        <w:jc w:val="left"/>
      </w:pPr>
      <w:r>
        <w:rPr>
          <w:rFonts w:ascii="Calibri" w:cs="Calibri" w:eastAsia="Calibri" w:hAnsi="Calibri"/>
          <w:i/>
          <w:iCs/>
          <w:color w:val="595959"/>
          <w:sz w:val="17"/>
          <w:szCs w:val="17"/>
        </w:rPr>
        <w:t xml:space="preserve">Exhibit 8. Stochastic Oscillator (14, 3, 3) on NSE:SUNPHARMA, Mar 2025 – Sep 2026. ▲ = buy signal, ▼ = sell signal, as plotted by 06_Stochastic.pine.</w:t>
      </w:r>
    </w:p>
    <w:p>
      <w:pPr>
        <w:pStyle w:val="Heading2"/>
        <w:keepNext/>
        <w:spacing w:after="120" w:before="240"/>
      </w:pPr>
      <w:r>
        <w:rPr>
          <w:rFonts w:ascii="Calibri" w:cs="Calibri" w:eastAsia="Calibri" w:hAnsi="Calibri"/>
          <w:b/>
          <w:bCs/>
          <w:color w:val="1F4E79"/>
          <w:sz w:val="26"/>
          <w:szCs w:val="26"/>
        </w:rPr>
        <w:t xml:space="preserve">3.7 Average Directional Index with DMI (14)</w:t>
      </w:r>
    </w:p>
    <w:p>
      <w:pPr>
        <w:spacing w:after="120" w:before="0" w:line="276"/>
        <w:jc w:val="both"/>
      </w:pPr>
      <w:r>
        <w:rPr>
          <w:rFonts w:ascii="Calibri" w:cs="Calibri" w:eastAsia="Calibri" w:hAnsi="Calibri"/>
          <w:sz w:val="21"/>
          <w:szCs w:val="21"/>
        </w:rPr>
        <w:t xml:space="preserve">Wilder's trend-strength measure. +DI and −DI measure upward and downward directional movement; ADX smooths their normalised difference. ADX above 20–25 indicates a trending market regardless of direction, and +DI above −DI gives the direction. It is used here as a filter, not a trigger.</w:t>
      </w:r>
    </w:p>
    <w:p>
      <w:pPr>
        <w:spacing w:after="120" w:before="0" w:line="276"/>
        <w:jc w:val="both"/>
      </w:pPr>
      <w:r>
        <w:rPr>
          <w:rFonts w:ascii="Calibri" w:cs="Calibri" w:eastAsia="Calibri" w:hAnsi="Calibri"/>
          <w:b/>
          <w:bCs/>
          <w:sz w:val="21"/>
          <w:szCs w:val="21"/>
        </w:rPr>
        <w:t xml:space="preserve">Formula: </w:t>
      </w:r>
      <w:r>
        <w:rPr>
          <w:rFonts w:ascii="Consolas" w:cs="Consolas" w:eastAsia="Consolas" w:hAnsi="Consolas"/>
          <w:sz w:val="19"/>
          <w:szCs w:val="19"/>
        </w:rPr>
        <w:t xml:space="preserve">DX = 100·|+DI − −DI| / (+DI + −DI);  ADX = RMA₁₄(DX)</w:t>
      </w:r>
    </w:p>
    <w:p>
      <w:pPr>
        <w:keepNext/>
        <w:spacing w:after="120" w:before="0" w:line="276"/>
        <w:jc w:val="both"/>
      </w:pPr>
      <w:r>
        <w:rPr>
          <w:rFonts w:ascii="Calibri" w:cs="Calibri" w:eastAsia="Calibri" w:hAnsi="Calibri"/>
          <w:b/>
          <w:bCs/>
          <w:sz w:val="21"/>
          <w:szCs w:val="21"/>
        </w:rPr>
        <w:t xml:space="preserve">Pine Script core </w:t>
      </w:r>
      <w:r>
        <w:rPr>
          <w:rFonts w:ascii="Calibri" w:cs="Calibri" w:eastAsia="Calibri" w:hAnsi="Calibri"/>
          <w:sz w:val="21"/>
          <w:szCs w:val="21"/>
        </w:rPr>
        <w:t xml:space="preserve">(full script: </w:t>
      </w:r>
      <w:r>
        <w:rPr>
          <w:rFonts w:ascii="Consolas" w:cs="Consolas" w:eastAsia="Consolas" w:hAnsi="Consolas"/>
          <w:sz w:val="19"/>
          <w:szCs w:val="19"/>
        </w:rPr>
        <w:t xml:space="preserve">07_ADX_DMI.pine</w:t>
      </w:r>
      <w:r>
        <w:rPr>
          <w:rFonts w:ascii="Calibri" w:cs="Calibri" w:eastAsia="Calibri" w:hAnsi="Calibri"/>
          <w:sz w:val="21"/>
          <w:szCs w:val="21"/>
        </w:rPr>
        <w:t xml:space="preserve">):</w:t>
      </w:r>
    </w:p>
    <w:p>
      <w:pPr>
        <w:keepNext/>
        <w:keepLines/>
        <w:shd w:fill="F4F4F2" w:color="auto" w:val="clear"/>
        <w:spacing w:after="0" w:line="228"/>
        <w:ind w:left="120" w:right="120"/>
      </w:pPr>
      <w:r>
        <w:rPr>
          <w:rFonts w:ascii="Consolas" w:cs="Consolas" w:eastAsia="Consolas" w:hAnsi="Consolas"/>
          <w:color w:val="1A1A1A"/>
          <w:sz w:val="16"/>
          <w:szCs w:val="16"/>
        </w:rPr>
        <w:t xml:space="preserve">[pdi, ndi, adx] = ta.dmi(14, 14)</w:t>
      </w:r>
    </w:p>
    <w:p>
      <w:pPr>
        <w:keepNext/>
        <w:keepLines/>
        <w:shd w:fill="F4F4F2" w:color="auto" w:val="clear"/>
        <w:spacing w:after="0" w:line="228"/>
        <w:ind w:left="120" w:right="120"/>
      </w:pPr>
      <w:r>
        <w:rPr>
          <w:rFonts w:ascii="Consolas" w:cs="Consolas" w:eastAsia="Consolas" w:hAnsi="Consolas"/>
          <w:color w:val="1A1A1A"/>
          <w:sz w:val="16"/>
          <w:szCs w:val="16"/>
        </w:rPr>
        <w:t xml:space="preserve">trending = adx &gt; 25</w:t>
      </w:r>
    </w:p>
    <w:p>
      <w:pPr>
        <w:keepNext w:val="false"/>
        <w:keepLines/>
        <w:shd w:fill="F4F4F2" w:color="auto" w:val="clear"/>
        <w:spacing w:after="0" w:line="228"/>
        <w:ind w:left="120" w:right="120"/>
      </w:pPr>
      <w:r>
        <w:rPr>
          <w:rFonts w:ascii="Consolas" w:cs="Consolas" w:eastAsia="Consolas" w:hAnsi="Consolas"/>
          <w:color w:val="1A1A1A"/>
          <w:sz w:val="16"/>
          <w:szCs w:val="16"/>
        </w:rPr>
        <w:t xml:space="preserve">buy = ta.crossover(pdi, ndi) and adx &gt; 20</w:t>
      </w:r>
    </w:p>
    <w:p>
      <w:pPr>
        <w:keepNext/>
        <w:spacing w:after="60" w:before="120"/>
        <w:jc w:val="center"/>
      </w:pPr>
      <w:r>
        <w:drawing>
          <wp:inline distT="0" distB="0" distL="0" distR="0">
            <wp:extent cx="5760720" cy="299848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60720" cy="2998482"/>
                    </a:xfrm>
                    <a:prstGeom prst="rect">
                      <a:avLst/>
                    </a:prstGeom>
                  </pic:spPr>
                </pic:pic>
              </a:graphicData>
            </a:graphic>
          </wp:inline>
        </w:drawing>
      </w:r>
    </w:p>
    <w:p>
      <w:pPr>
        <w:spacing w:after="200"/>
        <w:jc w:val="left"/>
      </w:pPr>
      <w:r>
        <w:rPr>
          <w:rFonts w:ascii="Calibri" w:cs="Calibri" w:eastAsia="Calibri" w:hAnsi="Calibri"/>
          <w:i/>
          <w:iCs/>
          <w:color w:val="595959"/>
          <w:sz w:val="17"/>
          <w:szCs w:val="17"/>
        </w:rPr>
        <w:t xml:space="preserve">Exhibit 9. Average Directional Index with DMI (14) on NSE:LT, Mar 2025 – Sep 2026. ▲ = buy signal, ▼ = sell signal, as plotted by 07_ADX_DMI.pine.</w:t>
      </w:r>
    </w:p>
    <w:p>
      <w:pPr>
        <w:pStyle w:val="Heading2"/>
        <w:keepNext/>
        <w:spacing w:after="120" w:before="240"/>
      </w:pPr>
      <w:r>
        <w:rPr>
          <w:rFonts w:ascii="Calibri" w:cs="Calibri" w:eastAsia="Calibri" w:hAnsi="Calibri"/>
          <w:b/>
          <w:bCs/>
          <w:color w:val="1F4E79"/>
          <w:sz w:val="26"/>
          <w:szCs w:val="26"/>
        </w:rPr>
        <w:t xml:space="preserve">3.8 On-Balance Volume (OBV) with EMA 20</w:t>
      </w:r>
    </w:p>
    <w:p>
      <w:pPr>
        <w:spacing w:after="120" w:before="0" w:line="276"/>
        <w:jc w:val="both"/>
      </w:pPr>
      <w:r>
        <w:rPr>
          <w:rFonts w:ascii="Calibri" w:cs="Calibri" w:eastAsia="Calibri" w:hAnsi="Calibri"/>
          <w:sz w:val="21"/>
          <w:szCs w:val="21"/>
        </w:rPr>
        <w:t xml:space="preserve">A running total that adds the day's volume when the close rises and subtracts it when the close falls. OBV crossing above its 20-day EMA signals accumulation; a new price high without a new OBV high (shaded) is a bearish divergence. Together with MFI (3.11) it is one of only two indicators in the set that use volume, which matters for the confirmation-bias test in Section 5.1.</w:t>
      </w:r>
    </w:p>
    <w:p>
      <w:pPr>
        <w:spacing w:after="120" w:before="0" w:line="276"/>
        <w:jc w:val="both"/>
      </w:pPr>
      <w:r>
        <w:rPr>
          <w:rFonts w:ascii="Calibri" w:cs="Calibri" w:eastAsia="Calibri" w:hAnsi="Calibri"/>
          <w:b/>
          <w:bCs/>
          <w:sz w:val="21"/>
          <w:szCs w:val="21"/>
        </w:rPr>
        <w:t xml:space="preserve">Formula: </w:t>
      </w:r>
      <w:r>
        <w:rPr>
          <w:rFonts w:ascii="Consolas" w:cs="Consolas" w:eastAsia="Consolas" w:hAnsi="Consolas"/>
          <w:sz w:val="19"/>
          <w:szCs w:val="19"/>
        </w:rPr>
        <w:t xml:space="preserve">OBVₜ = OBVₜ₋₁ + sign(Cₜ − Cₜ₋₁)·Vₜ</w:t>
      </w:r>
    </w:p>
    <w:p>
      <w:pPr>
        <w:keepNext/>
        <w:spacing w:after="120" w:before="0" w:line="276"/>
        <w:jc w:val="both"/>
      </w:pPr>
      <w:r>
        <w:rPr>
          <w:rFonts w:ascii="Calibri" w:cs="Calibri" w:eastAsia="Calibri" w:hAnsi="Calibri"/>
          <w:b/>
          <w:bCs/>
          <w:sz w:val="21"/>
          <w:szCs w:val="21"/>
        </w:rPr>
        <w:t xml:space="preserve">Pine Script core </w:t>
      </w:r>
      <w:r>
        <w:rPr>
          <w:rFonts w:ascii="Calibri" w:cs="Calibri" w:eastAsia="Calibri" w:hAnsi="Calibri"/>
          <w:sz w:val="21"/>
          <w:szCs w:val="21"/>
        </w:rPr>
        <w:t xml:space="preserve">(full script: </w:t>
      </w:r>
      <w:r>
        <w:rPr>
          <w:rFonts w:ascii="Consolas" w:cs="Consolas" w:eastAsia="Consolas" w:hAnsi="Consolas"/>
          <w:sz w:val="19"/>
          <w:szCs w:val="19"/>
        </w:rPr>
        <w:t xml:space="preserve">08_OBV.pine</w:t>
      </w:r>
      <w:r>
        <w:rPr>
          <w:rFonts w:ascii="Calibri" w:cs="Calibri" w:eastAsia="Calibri" w:hAnsi="Calibri"/>
          <w:sz w:val="21"/>
          <w:szCs w:val="21"/>
        </w:rPr>
        <w:t xml:space="preserve">):</w:t>
      </w:r>
    </w:p>
    <w:p>
      <w:pPr>
        <w:keepNext/>
        <w:keepLines/>
        <w:shd w:fill="F4F4F2" w:color="auto" w:val="clear"/>
        <w:spacing w:after="0" w:line="228"/>
        <w:ind w:left="120" w:right="120"/>
      </w:pPr>
      <w:r>
        <w:rPr>
          <w:rFonts w:ascii="Consolas" w:cs="Consolas" w:eastAsia="Consolas" w:hAnsi="Consolas"/>
          <w:color w:val="1A1A1A"/>
          <w:sz w:val="16"/>
          <w:szCs w:val="16"/>
        </w:rPr>
        <w:t xml:space="preserve">obv = ta.obv</w:t>
      </w:r>
    </w:p>
    <w:p>
      <w:pPr>
        <w:keepNext/>
        <w:keepLines/>
        <w:shd w:fill="F4F4F2" w:color="auto" w:val="clear"/>
        <w:spacing w:after="0" w:line="228"/>
        <w:ind w:left="120" w:right="120"/>
      </w:pPr>
      <w:r>
        <w:rPr>
          <w:rFonts w:ascii="Consolas" w:cs="Consolas" w:eastAsia="Consolas" w:hAnsi="Consolas"/>
          <w:color w:val="1A1A1A"/>
          <w:sz w:val="16"/>
          <w:szCs w:val="16"/>
        </w:rPr>
        <w:t xml:space="preserve">sig = ta.ema(obv, 20)</w:t>
      </w:r>
    </w:p>
    <w:p>
      <w:pPr>
        <w:keepNext w:val="false"/>
        <w:keepLines/>
        <w:shd w:fill="F4F4F2" w:color="auto" w:val="clear"/>
        <w:spacing w:after="0" w:line="228"/>
        <w:ind w:left="120" w:right="120"/>
      </w:pPr>
      <w:r>
        <w:rPr>
          <w:rFonts w:ascii="Consolas" w:cs="Consolas" w:eastAsia="Consolas" w:hAnsi="Consolas"/>
          <w:color w:val="1A1A1A"/>
          <w:sz w:val="16"/>
          <w:szCs w:val="16"/>
        </w:rPr>
        <w:t xml:space="preserve">bull = ta.crossover(obv, sig)</w:t>
      </w:r>
    </w:p>
    <w:p>
      <w:pPr>
        <w:keepNext/>
        <w:spacing w:after="60" w:before="120"/>
        <w:jc w:val="center"/>
      </w:pPr>
      <w:r>
        <w:drawing>
          <wp:inline distT="0" distB="0" distL="0" distR="0">
            <wp:extent cx="5760720" cy="270033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60720" cy="2700337"/>
                    </a:xfrm>
                    <a:prstGeom prst="rect">
                      <a:avLst/>
                    </a:prstGeom>
                  </pic:spPr>
                </pic:pic>
              </a:graphicData>
            </a:graphic>
          </wp:inline>
        </w:drawing>
      </w:r>
    </w:p>
    <w:p>
      <w:pPr>
        <w:spacing w:after="200"/>
        <w:jc w:val="left"/>
      </w:pPr>
      <w:r>
        <w:rPr>
          <w:rFonts w:ascii="Calibri" w:cs="Calibri" w:eastAsia="Calibri" w:hAnsi="Calibri"/>
          <w:i/>
          <w:iCs/>
          <w:color w:val="595959"/>
          <w:sz w:val="17"/>
          <w:szCs w:val="17"/>
        </w:rPr>
        <w:t xml:space="preserve">Exhibit 10. On-Balance Volume (OBV) with EMA 20 on NSE:RELIANCE, Mar 2025 – Sep 2026. ▲ = buy signal, ▼ = sell signal, as plotted by 08_OBV.pine.</w:t>
      </w:r>
    </w:p>
    <w:p>
      <w:pPr>
        <w:pStyle w:val="Heading2"/>
        <w:keepNext/>
        <w:spacing w:after="120" w:before="240"/>
      </w:pPr>
      <w:r>
        <w:rPr>
          <w:rFonts w:ascii="Calibri" w:cs="Calibri" w:eastAsia="Calibri" w:hAnsi="Calibri"/>
          <w:b/>
          <w:bCs/>
          <w:color w:val="1F4E79"/>
          <w:sz w:val="26"/>
          <w:szCs w:val="26"/>
        </w:rPr>
        <w:t xml:space="preserve">3.9 Supertrend (ATR 10, multiplier 3)</w:t>
      </w:r>
    </w:p>
    <w:p>
      <w:pPr>
        <w:spacing w:after="120" w:before="0" w:line="276"/>
        <w:jc w:val="both"/>
      </w:pPr>
      <w:r>
        <w:rPr>
          <w:rFonts w:ascii="Calibri" w:cs="Calibri" w:eastAsia="Calibri" w:hAnsi="Calibri"/>
          <w:sz w:val="21"/>
          <w:szCs w:val="21"/>
        </w:rPr>
        <w:t xml:space="preserve">An ATR-based trailing line. It sits 3 × ATR below the mid-price (hl2) in an up-trend and 3 × ATR above it in a down-trend, ratcheting only in the trend's direction; a close through the line flips the trend. Because the band width scales with volatility, it gives a volatility-adjusted trend state and a ready-made trailing stop.</w:t>
      </w:r>
    </w:p>
    <w:p>
      <w:pPr>
        <w:spacing w:after="120" w:before="0" w:line="276"/>
        <w:jc w:val="both"/>
      </w:pPr>
      <w:r>
        <w:rPr>
          <w:rFonts w:ascii="Calibri" w:cs="Calibri" w:eastAsia="Calibri" w:hAnsi="Calibri"/>
          <w:b/>
          <w:bCs/>
          <w:sz w:val="21"/>
          <w:szCs w:val="21"/>
        </w:rPr>
        <w:t xml:space="preserve">Formula: </w:t>
      </w:r>
      <w:r>
        <w:rPr>
          <w:rFonts w:ascii="Consolas" w:cs="Consolas" w:eastAsia="Consolas" w:hAnsi="Consolas"/>
          <w:sz w:val="19"/>
          <w:szCs w:val="19"/>
        </w:rPr>
        <w:t xml:space="preserve">Lower band = hl2 − 3·ATR₁₀ (ratchets up only);  Upper band = hl2 + 3·ATR₁₀ (ratchets down only)</w:t>
      </w:r>
    </w:p>
    <w:p>
      <w:pPr>
        <w:keepNext/>
        <w:spacing w:after="120" w:before="0" w:line="276"/>
        <w:jc w:val="both"/>
      </w:pPr>
      <w:r>
        <w:rPr>
          <w:rFonts w:ascii="Calibri" w:cs="Calibri" w:eastAsia="Calibri" w:hAnsi="Calibri"/>
          <w:b/>
          <w:bCs/>
          <w:sz w:val="21"/>
          <w:szCs w:val="21"/>
        </w:rPr>
        <w:t xml:space="preserve">Pine Script core </w:t>
      </w:r>
      <w:r>
        <w:rPr>
          <w:rFonts w:ascii="Calibri" w:cs="Calibri" w:eastAsia="Calibri" w:hAnsi="Calibri"/>
          <w:sz w:val="21"/>
          <w:szCs w:val="21"/>
        </w:rPr>
        <w:t xml:space="preserve">(full script: </w:t>
      </w:r>
      <w:r>
        <w:rPr>
          <w:rFonts w:ascii="Consolas" w:cs="Consolas" w:eastAsia="Consolas" w:hAnsi="Consolas"/>
          <w:sz w:val="19"/>
          <w:szCs w:val="19"/>
        </w:rPr>
        <w:t xml:space="preserve">09_Supertrend.pine</w:t>
      </w:r>
      <w:r>
        <w:rPr>
          <w:rFonts w:ascii="Calibri" w:cs="Calibri" w:eastAsia="Calibri" w:hAnsi="Calibri"/>
          <w:sz w:val="21"/>
          <w:szCs w:val="21"/>
        </w:rPr>
        <w:t xml:space="preserve">):</w:t>
      </w:r>
    </w:p>
    <w:p>
      <w:pPr>
        <w:keepNext/>
        <w:keepLines/>
        <w:shd w:fill="F4F4F2" w:color="auto" w:val="clear"/>
        <w:spacing w:after="0" w:line="228"/>
        <w:ind w:left="120" w:right="120"/>
      </w:pPr>
      <w:r>
        <w:rPr>
          <w:rFonts w:ascii="Consolas" w:cs="Consolas" w:eastAsia="Consolas" w:hAnsi="Consolas"/>
          <w:color w:val="1A1A1A"/>
          <w:sz w:val="16"/>
          <w:szCs w:val="16"/>
        </w:rPr>
        <w:t xml:space="preserve">[st, dir] = ta.supertrend(3.0, 10)   // dir = -1 up-trend</w:t>
      </w:r>
    </w:p>
    <w:p>
      <w:pPr>
        <w:keepNext/>
        <w:keepLines/>
        <w:shd w:fill="F4F4F2" w:color="auto" w:val="clear"/>
        <w:spacing w:after="0" w:line="228"/>
        <w:ind w:left="120" w:right="120"/>
      </w:pPr>
      <w:r>
        <w:rPr>
          <w:rFonts w:ascii="Consolas" w:cs="Consolas" w:eastAsia="Consolas" w:hAnsi="Consolas"/>
          <w:color w:val="1A1A1A"/>
          <w:sz w:val="16"/>
          <w:szCs w:val="16"/>
        </w:rPr>
        <w:t xml:space="preserve">buy  = ta.change(dir) &lt; 0</w:t>
      </w:r>
    </w:p>
    <w:p>
      <w:pPr>
        <w:keepNext w:val="false"/>
        <w:keepLines/>
        <w:shd w:fill="F4F4F2" w:color="auto" w:val="clear"/>
        <w:spacing w:after="0" w:line="228"/>
        <w:ind w:left="120" w:right="120"/>
      </w:pPr>
      <w:r>
        <w:rPr>
          <w:rFonts w:ascii="Consolas" w:cs="Consolas" w:eastAsia="Consolas" w:hAnsi="Consolas"/>
          <w:color w:val="1A1A1A"/>
          <w:sz w:val="16"/>
          <w:szCs w:val="16"/>
        </w:rPr>
        <w:t xml:space="preserve">sell = ta.change(dir) &gt; 0</w:t>
      </w:r>
    </w:p>
    <w:p>
      <w:pPr>
        <w:keepNext/>
        <w:spacing w:after="60" w:before="120"/>
        <w:jc w:val="center"/>
      </w:pPr>
      <w:r>
        <w:drawing>
          <wp:inline distT="0" distB="0" distL="0" distR="0">
            <wp:extent cx="5760720" cy="234426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60720" cy="2344268"/>
                    </a:xfrm>
                    <a:prstGeom prst="rect">
                      <a:avLst/>
                    </a:prstGeom>
                  </pic:spPr>
                </pic:pic>
              </a:graphicData>
            </a:graphic>
          </wp:inline>
        </w:drawing>
      </w:r>
    </w:p>
    <w:p>
      <w:pPr>
        <w:spacing w:after="200"/>
        <w:jc w:val="left"/>
      </w:pPr>
      <w:r>
        <w:rPr>
          <w:rFonts w:ascii="Calibri" w:cs="Calibri" w:eastAsia="Calibri" w:hAnsi="Calibri"/>
          <w:i/>
          <w:iCs/>
          <w:color w:val="595959"/>
          <w:sz w:val="17"/>
          <w:szCs w:val="17"/>
        </w:rPr>
        <w:t xml:space="preserve">Exhibit 11. Supertrend (ATR 10, multiplier 3) on NSE:MARUTI, Mar 2025 – Sep 2026. ▲ = buy signal, ▼ = sell signal, as plotted by 09_Supertrend.pine.</w:t>
      </w:r>
    </w:p>
    <w:p>
      <w:pPr>
        <w:pStyle w:val="Heading2"/>
        <w:keepNext/>
        <w:spacing w:after="120" w:before="240"/>
      </w:pPr>
      <w:r>
        <w:rPr>
          <w:rFonts w:ascii="Calibri" w:cs="Calibri" w:eastAsia="Calibri" w:hAnsi="Calibri"/>
          <w:b/>
          <w:bCs/>
          <w:color w:val="1F4E79"/>
          <w:sz w:val="26"/>
          <w:szCs w:val="26"/>
        </w:rPr>
        <w:t xml:space="preserve">3.10 Commodity Channel Index (CCI 20)</w:t>
      </w:r>
    </w:p>
    <w:p>
      <w:pPr>
        <w:spacing w:after="120" w:before="0" w:line="276"/>
        <w:jc w:val="both"/>
      </w:pPr>
      <w:r>
        <w:rPr>
          <w:rFonts w:ascii="Calibri" w:cs="Calibri" w:eastAsia="Calibri" w:hAnsi="Calibri"/>
          <w:sz w:val="21"/>
          <w:szCs w:val="21"/>
        </w:rPr>
        <w:t xml:space="preserve">Lambert's oscillator measures how far the typical price (H+L+C)/3 is from its 20-day average, in units of its mean absolute deviation scaled by 0.015 so that most readings fall between −100 and +100. A cross back above −100 is the canonical oversold buy signal. It is unbounded, which makes extreme readings stand out.</w:t>
      </w:r>
    </w:p>
    <w:p>
      <w:pPr>
        <w:spacing w:after="120" w:before="0" w:line="276"/>
        <w:jc w:val="both"/>
      </w:pPr>
      <w:r>
        <w:rPr>
          <w:rFonts w:ascii="Calibri" w:cs="Calibri" w:eastAsia="Calibri" w:hAnsi="Calibri"/>
          <w:b/>
          <w:bCs/>
          <w:sz w:val="21"/>
          <w:szCs w:val="21"/>
        </w:rPr>
        <w:t xml:space="preserve">Formula: </w:t>
      </w:r>
      <w:r>
        <w:rPr>
          <w:rFonts w:ascii="Consolas" w:cs="Consolas" w:eastAsia="Consolas" w:hAnsi="Consolas"/>
          <w:sz w:val="19"/>
          <w:szCs w:val="19"/>
        </w:rPr>
        <w:t xml:space="preserve">CCI = (TP − SMA₂₀(TP)) / (0.015 · MeanDev₂₀(TP)),  TP = (H + L + C)/3</w:t>
      </w:r>
    </w:p>
    <w:p>
      <w:pPr>
        <w:keepNext/>
        <w:spacing w:after="120" w:before="0" w:line="276"/>
        <w:jc w:val="both"/>
      </w:pPr>
      <w:r>
        <w:rPr>
          <w:rFonts w:ascii="Calibri" w:cs="Calibri" w:eastAsia="Calibri" w:hAnsi="Calibri"/>
          <w:b/>
          <w:bCs/>
          <w:sz w:val="21"/>
          <w:szCs w:val="21"/>
        </w:rPr>
        <w:t xml:space="preserve">Pine Script core </w:t>
      </w:r>
      <w:r>
        <w:rPr>
          <w:rFonts w:ascii="Calibri" w:cs="Calibri" w:eastAsia="Calibri" w:hAnsi="Calibri"/>
          <w:sz w:val="21"/>
          <w:szCs w:val="21"/>
        </w:rPr>
        <w:t xml:space="preserve">(full script: </w:t>
      </w:r>
      <w:r>
        <w:rPr>
          <w:rFonts w:ascii="Consolas" w:cs="Consolas" w:eastAsia="Consolas" w:hAnsi="Consolas"/>
          <w:sz w:val="19"/>
          <w:szCs w:val="19"/>
        </w:rPr>
        <w:t xml:space="preserve">10_CCI.pine</w:t>
      </w:r>
      <w:r>
        <w:rPr>
          <w:rFonts w:ascii="Calibri" w:cs="Calibri" w:eastAsia="Calibri" w:hAnsi="Calibri"/>
          <w:sz w:val="21"/>
          <w:szCs w:val="21"/>
        </w:rPr>
        <w:t xml:space="preserve">):</w:t>
      </w:r>
    </w:p>
    <w:p>
      <w:pPr>
        <w:keepNext/>
        <w:keepLines/>
        <w:shd w:fill="F4F4F2" w:color="auto" w:val="clear"/>
        <w:spacing w:after="0" w:line="228"/>
        <w:ind w:left="120" w:right="120"/>
      </w:pPr>
      <w:r>
        <w:rPr>
          <w:rFonts w:ascii="Consolas" w:cs="Consolas" w:eastAsia="Consolas" w:hAnsi="Consolas"/>
          <w:color w:val="1A1A1A"/>
          <w:sz w:val="16"/>
          <w:szCs w:val="16"/>
        </w:rPr>
        <w:t xml:space="preserve">cci  = ta.cci(hlc3, 20)</w:t>
      </w:r>
    </w:p>
    <w:p>
      <w:pPr>
        <w:keepNext/>
        <w:keepLines/>
        <w:shd w:fill="F4F4F2" w:color="auto" w:val="clear"/>
        <w:spacing w:after="0" w:line="228"/>
        <w:ind w:left="120" w:right="120"/>
      </w:pPr>
      <w:r>
        <w:rPr>
          <w:rFonts w:ascii="Consolas" w:cs="Consolas" w:eastAsia="Consolas" w:hAnsi="Consolas"/>
          <w:color w:val="1A1A1A"/>
          <w:sz w:val="16"/>
          <w:szCs w:val="16"/>
        </w:rPr>
        <w:t xml:space="preserve">buy  = ta.crossover(cci, -100)</w:t>
      </w:r>
    </w:p>
    <w:p>
      <w:pPr>
        <w:keepNext w:val="false"/>
        <w:keepLines/>
        <w:shd w:fill="F4F4F2" w:color="auto" w:val="clear"/>
        <w:spacing w:after="0" w:line="228"/>
        <w:ind w:left="120" w:right="120"/>
      </w:pPr>
      <w:r>
        <w:rPr>
          <w:rFonts w:ascii="Consolas" w:cs="Consolas" w:eastAsia="Consolas" w:hAnsi="Consolas"/>
          <w:color w:val="1A1A1A"/>
          <w:sz w:val="16"/>
          <w:szCs w:val="16"/>
        </w:rPr>
        <w:t xml:space="preserve">sell = ta.crossunder(cci, 100)</w:t>
      </w:r>
    </w:p>
    <w:p>
      <w:pPr>
        <w:keepNext/>
        <w:spacing w:after="60" w:before="120"/>
        <w:jc w:val="center"/>
      </w:pPr>
      <w:r>
        <w:drawing>
          <wp:inline distT="0" distB="0" distL="0" distR="0">
            <wp:extent cx="5760720" cy="260773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60720" cy="2607733"/>
                    </a:xfrm>
                    <a:prstGeom prst="rect">
                      <a:avLst/>
                    </a:prstGeom>
                  </pic:spPr>
                </pic:pic>
              </a:graphicData>
            </a:graphic>
          </wp:inline>
        </w:drawing>
      </w:r>
    </w:p>
    <w:p>
      <w:pPr>
        <w:spacing w:after="200"/>
        <w:jc w:val="left"/>
      </w:pPr>
      <w:r>
        <w:rPr>
          <w:rFonts w:ascii="Calibri" w:cs="Calibri" w:eastAsia="Calibri" w:hAnsi="Calibri"/>
          <w:i/>
          <w:iCs/>
          <w:color w:val="595959"/>
          <w:sz w:val="17"/>
          <w:szCs w:val="17"/>
        </w:rPr>
        <w:t xml:space="preserve">Exhibit 12.  Commodity Channel Index (CCI 20) on NSE:SUNPHARMA, Mar 2025 – Sep 2026. ▲ = buy signal, ▼ = sell signal, as plotted by 10_CCI.pine.</w:t>
      </w:r>
    </w:p>
    <w:p>
      <w:pPr>
        <w:pStyle w:val="Heading2"/>
        <w:keepNext/>
        <w:spacing w:after="120" w:before="240"/>
      </w:pPr>
      <w:r>
        <w:rPr>
          <w:rFonts w:ascii="Calibri" w:cs="Calibri" w:eastAsia="Calibri" w:hAnsi="Calibri"/>
          <w:b/>
          <w:bCs/>
          <w:color w:val="1F4E79"/>
          <w:sz w:val="26"/>
          <w:szCs w:val="26"/>
        </w:rPr>
        <w:t xml:space="preserve">3.11 Money Flow Index (MFI 14)</w:t>
      </w:r>
    </w:p>
    <w:p>
      <w:pPr>
        <w:spacing w:after="120" w:before="0" w:line="276"/>
        <w:jc w:val="both"/>
      </w:pPr>
      <w:r>
        <w:rPr>
          <w:rFonts w:ascii="Calibri" w:cs="Calibri" w:eastAsia="Calibri" w:hAnsi="Calibri"/>
          <w:sz w:val="21"/>
          <w:szCs w:val="21"/>
        </w:rPr>
        <w:t xml:space="preserve">A volume-weighted RSI: money flow (typical price × volume) on up-days is compared with money flow on down-days over 14 sessions and mapped to 0–100. Readings below 20 are oversold and above 80 overbought. Because it uses volume, it can diverge from RSI when a move is not supported by turnover (shaded in the script).</w:t>
      </w:r>
    </w:p>
    <w:p>
      <w:pPr>
        <w:spacing w:after="120" w:before="0" w:line="276"/>
        <w:jc w:val="both"/>
      </w:pPr>
      <w:r>
        <w:rPr>
          <w:rFonts w:ascii="Calibri" w:cs="Calibri" w:eastAsia="Calibri" w:hAnsi="Calibri"/>
          <w:b/>
          <w:bCs/>
          <w:sz w:val="21"/>
          <w:szCs w:val="21"/>
        </w:rPr>
        <w:t xml:space="preserve">Formula: </w:t>
      </w:r>
      <w:r>
        <w:rPr>
          <w:rFonts w:ascii="Consolas" w:cs="Consolas" w:eastAsia="Consolas" w:hAnsi="Consolas"/>
          <w:sz w:val="19"/>
          <w:szCs w:val="19"/>
        </w:rPr>
        <w:t xml:space="preserve">MFI = 100 − 100 / (1 + Σ₁₄ positive money flow / Σ₁₄ negative money flow)</w:t>
      </w:r>
    </w:p>
    <w:p>
      <w:pPr>
        <w:keepNext/>
        <w:spacing w:after="120" w:before="0" w:line="276"/>
        <w:jc w:val="both"/>
      </w:pPr>
      <w:r>
        <w:rPr>
          <w:rFonts w:ascii="Calibri" w:cs="Calibri" w:eastAsia="Calibri" w:hAnsi="Calibri"/>
          <w:b/>
          <w:bCs/>
          <w:sz w:val="21"/>
          <w:szCs w:val="21"/>
        </w:rPr>
        <w:t xml:space="preserve">Pine Script core </w:t>
      </w:r>
      <w:r>
        <w:rPr>
          <w:rFonts w:ascii="Calibri" w:cs="Calibri" w:eastAsia="Calibri" w:hAnsi="Calibri"/>
          <w:sz w:val="21"/>
          <w:szCs w:val="21"/>
        </w:rPr>
        <w:t xml:space="preserve">(full script: </w:t>
      </w:r>
      <w:r>
        <w:rPr>
          <w:rFonts w:ascii="Consolas" w:cs="Consolas" w:eastAsia="Consolas" w:hAnsi="Consolas"/>
          <w:sz w:val="19"/>
          <w:szCs w:val="19"/>
        </w:rPr>
        <w:t xml:space="preserve">11_MFI.pine</w:t>
      </w:r>
      <w:r>
        <w:rPr>
          <w:rFonts w:ascii="Calibri" w:cs="Calibri" w:eastAsia="Calibri" w:hAnsi="Calibri"/>
          <w:sz w:val="21"/>
          <w:szCs w:val="21"/>
        </w:rPr>
        <w:t xml:space="preserve">):</w:t>
      </w:r>
    </w:p>
    <w:p>
      <w:pPr>
        <w:keepNext/>
        <w:keepLines/>
        <w:shd w:fill="F4F4F2" w:color="auto" w:val="clear"/>
        <w:spacing w:after="0" w:line="228"/>
        <w:ind w:left="120" w:right="120"/>
      </w:pPr>
      <w:r>
        <w:rPr>
          <w:rFonts w:ascii="Consolas" w:cs="Consolas" w:eastAsia="Consolas" w:hAnsi="Consolas"/>
          <w:color w:val="1A1A1A"/>
          <w:sz w:val="16"/>
          <w:szCs w:val="16"/>
        </w:rPr>
        <w:t xml:space="preserve">mfi  = ta.mfi(hlc3, 14)</w:t>
      </w:r>
    </w:p>
    <w:p>
      <w:pPr>
        <w:keepNext/>
        <w:keepLines/>
        <w:shd w:fill="F4F4F2" w:color="auto" w:val="clear"/>
        <w:spacing w:after="0" w:line="228"/>
        <w:ind w:left="120" w:right="120"/>
      </w:pPr>
      <w:r>
        <w:rPr>
          <w:rFonts w:ascii="Consolas" w:cs="Consolas" w:eastAsia="Consolas" w:hAnsi="Consolas"/>
          <w:color w:val="1A1A1A"/>
          <w:sz w:val="16"/>
          <w:szCs w:val="16"/>
        </w:rPr>
        <w:t xml:space="preserve">buy  = ta.crossover(mfi, 20)</w:t>
      </w:r>
    </w:p>
    <w:p>
      <w:pPr>
        <w:keepNext w:val="false"/>
        <w:keepLines/>
        <w:shd w:fill="F4F4F2" w:color="auto" w:val="clear"/>
        <w:spacing w:after="0" w:line="228"/>
        <w:ind w:left="120" w:right="120"/>
      </w:pPr>
      <w:r>
        <w:rPr>
          <w:rFonts w:ascii="Consolas" w:cs="Consolas" w:eastAsia="Consolas" w:hAnsi="Consolas"/>
          <w:color w:val="1A1A1A"/>
          <w:sz w:val="16"/>
          <w:szCs w:val="16"/>
        </w:rPr>
        <w:t xml:space="preserve">sell = ta.crossunder(mfi, 80)</w:t>
      </w:r>
    </w:p>
    <w:p>
      <w:pPr>
        <w:keepNext/>
        <w:spacing w:after="60" w:before="120"/>
        <w:jc w:val="center"/>
      </w:pPr>
      <w:r>
        <w:drawing>
          <wp:inline distT="0" distB="0" distL="0" distR="0">
            <wp:extent cx="5760720" cy="299848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60720" cy="2998482"/>
                    </a:xfrm>
                    <a:prstGeom prst="rect">
                      <a:avLst/>
                    </a:prstGeom>
                  </pic:spPr>
                </pic:pic>
              </a:graphicData>
            </a:graphic>
          </wp:inline>
        </w:drawing>
      </w:r>
    </w:p>
    <w:p>
      <w:pPr>
        <w:spacing w:after="200"/>
        <w:jc w:val="left"/>
      </w:pPr>
      <w:r>
        <w:rPr>
          <w:rFonts w:ascii="Calibri" w:cs="Calibri" w:eastAsia="Calibri" w:hAnsi="Calibri"/>
          <w:i/>
          <w:iCs/>
          <w:color w:val="595959"/>
          <w:sz w:val="17"/>
          <w:szCs w:val="17"/>
        </w:rPr>
        <w:t xml:space="preserve">Exhibit 13.  Money Flow Index (MFI 14) on NSE:ITC, Mar 2025 – Sep 2026. ▲ = buy signal, ▼ = sell signal, as plotted by 11_MFI.pine.</w:t>
      </w:r>
    </w:p>
    <w:p>
      <w:pPr>
        <w:pStyle w:val="Heading2"/>
        <w:keepNext/>
        <w:spacing w:after="120" w:before="240"/>
      </w:pPr>
      <w:r>
        <w:rPr>
          <w:rFonts w:ascii="Calibri" w:cs="Calibri" w:eastAsia="Calibri" w:hAnsi="Calibri"/>
          <w:b/>
          <w:bCs/>
          <w:color w:val="1F4E79"/>
          <w:sz w:val="26"/>
          <w:szCs w:val="26"/>
        </w:rPr>
        <w:t xml:space="preserve">3.12 Donchian Channel (20)</w:t>
      </w:r>
    </w:p>
    <w:p>
      <w:pPr>
        <w:spacing w:after="120" w:before="0" w:line="276"/>
        <w:jc w:val="both"/>
      </w:pPr>
      <w:r>
        <w:rPr>
          <w:rFonts w:ascii="Calibri" w:cs="Calibri" w:eastAsia="Calibri" w:hAnsi="Calibri"/>
          <w:sz w:val="21"/>
          <w:szCs w:val="21"/>
        </w:rPr>
        <w:t xml:space="preserve">The highest high and lowest low of the last 20 sessions, with their mid-point. A close above the prior 20-day high is the classic 'Turtle' breakout entry; a close below the prior 20-day low is the breakdown. It is the most visible breakout rule on any chart, which makes it the natural test case for herding (Section 5.7).</w:t>
      </w:r>
    </w:p>
    <w:p>
      <w:pPr>
        <w:spacing w:after="120" w:before="0" w:line="276"/>
        <w:jc w:val="both"/>
      </w:pPr>
      <w:r>
        <w:rPr>
          <w:rFonts w:ascii="Calibri" w:cs="Calibri" w:eastAsia="Calibri" w:hAnsi="Calibri"/>
          <w:b/>
          <w:bCs/>
          <w:sz w:val="21"/>
          <w:szCs w:val="21"/>
        </w:rPr>
        <w:t xml:space="preserve">Formula: </w:t>
      </w:r>
      <w:r>
        <w:rPr>
          <w:rFonts w:ascii="Consolas" w:cs="Consolas" w:eastAsia="Consolas" w:hAnsi="Consolas"/>
          <w:sz w:val="19"/>
          <w:szCs w:val="19"/>
        </w:rPr>
        <w:t xml:space="preserve">Upper = max(H, 20);  Lower = min(L, 20);  Mid = (Upper + Lower)/2</w:t>
      </w:r>
    </w:p>
    <w:p>
      <w:pPr>
        <w:keepNext/>
        <w:spacing w:after="120" w:before="0" w:line="276"/>
        <w:jc w:val="both"/>
      </w:pPr>
      <w:r>
        <w:rPr>
          <w:rFonts w:ascii="Calibri" w:cs="Calibri" w:eastAsia="Calibri" w:hAnsi="Calibri"/>
          <w:b/>
          <w:bCs/>
          <w:sz w:val="21"/>
          <w:szCs w:val="21"/>
        </w:rPr>
        <w:t xml:space="preserve">Pine Script core </w:t>
      </w:r>
      <w:r>
        <w:rPr>
          <w:rFonts w:ascii="Calibri" w:cs="Calibri" w:eastAsia="Calibri" w:hAnsi="Calibri"/>
          <w:sz w:val="21"/>
          <w:szCs w:val="21"/>
        </w:rPr>
        <w:t xml:space="preserve">(full script: </w:t>
      </w:r>
      <w:r>
        <w:rPr>
          <w:rFonts w:ascii="Consolas" w:cs="Consolas" w:eastAsia="Consolas" w:hAnsi="Consolas"/>
          <w:sz w:val="19"/>
          <w:szCs w:val="19"/>
        </w:rPr>
        <w:t xml:space="preserve">12_Donchian_Channel.pine</w:t>
      </w:r>
      <w:r>
        <w:rPr>
          <w:rFonts w:ascii="Calibri" w:cs="Calibri" w:eastAsia="Calibri" w:hAnsi="Calibri"/>
          <w:sz w:val="21"/>
          <w:szCs w:val="21"/>
        </w:rPr>
        <w:t xml:space="preserve">):</w:t>
      </w:r>
    </w:p>
    <w:p>
      <w:pPr>
        <w:keepNext/>
        <w:keepLines/>
        <w:shd w:fill="F4F4F2" w:color="auto" w:val="clear"/>
        <w:spacing w:after="0" w:line="228"/>
        <w:ind w:left="120" w:right="120"/>
      </w:pPr>
      <w:r>
        <w:rPr>
          <w:rFonts w:ascii="Consolas" w:cs="Consolas" w:eastAsia="Consolas" w:hAnsi="Consolas"/>
          <w:color w:val="1A1A1A"/>
          <w:sz w:val="16"/>
          <w:szCs w:val="16"/>
        </w:rPr>
        <w:t xml:space="preserve">up  = ta.highest(high, 20)</w:t>
      </w:r>
    </w:p>
    <w:p>
      <w:pPr>
        <w:keepNext/>
        <w:keepLines/>
        <w:shd w:fill="F4F4F2" w:color="auto" w:val="clear"/>
        <w:spacing w:after="0" w:line="228"/>
        <w:ind w:left="120" w:right="120"/>
      </w:pPr>
      <w:r>
        <w:rPr>
          <w:rFonts w:ascii="Consolas" w:cs="Consolas" w:eastAsia="Consolas" w:hAnsi="Consolas"/>
          <w:color w:val="1A1A1A"/>
          <w:sz w:val="16"/>
          <w:szCs w:val="16"/>
        </w:rPr>
        <w:t xml:space="preserve">lo  = ta.lowest(low, 20)</w:t>
      </w:r>
    </w:p>
    <w:p>
      <w:pPr>
        <w:keepNext w:val="false"/>
        <w:keepLines/>
        <w:shd w:fill="F4F4F2" w:color="auto" w:val="clear"/>
        <w:spacing w:after="0" w:line="228"/>
        <w:ind w:left="120" w:right="120"/>
      </w:pPr>
      <w:r>
        <w:rPr>
          <w:rFonts w:ascii="Consolas" w:cs="Consolas" w:eastAsia="Consolas" w:hAnsi="Consolas"/>
          <w:color w:val="1A1A1A"/>
          <w:sz w:val="16"/>
          <w:szCs w:val="16"/>
        </w:rPr>
        <w:t xml:space="preserve">buy = ta.crossover(close, up[1])</w:t>
      </w:r>
    </w:p>
    <w:p>
      <w:pPr>
        <w:keepNext/>
        <w:spacing w:after="60" w:before="120"/>
        <w:jc w:val="center"/>
      </w:pPr>
      <w:r>
        <w:drawing>
          <wp:inline distT="0" distB="0" distL="0" distR="0">
            <wp:extent cx="5760720" cy="234426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60720" cy="2344268"/>
                    </a:xfrm>
                    <a:prstGeom prst="rect">
                      <a:avLst/>
                    </a:prstGeom>
                  </pic:spPr>
                </pic:pic>
              </a:graphicData>
            </a:graphic>
          </wp:inline>
        </w:drawing>
      </w:r>
    </w:p>
    <w:p>
      <w:pPr>
        <w:spacing w:after="200"/>
        <w:jc w:val="left"/>
      </w:pPr>
      <w:r>
        <w:rPr>
          <w:rFonts w:ascii="Calibri" w:cs="Calibri" w:eastAsia="Calibri" w:hAnsi="Calibri"/>
          <w:i/>
          <w:iCs/>
          <w:color w:val="595959"/>
          <w:sz w:val="17"/>
          <w:szCs w:val="17"/>
        </w:rPr>
        <w:t xml:space="preserve">Exhibit 14.  Donchian Channel (20) on NSE:INFY, Mar 2025 – Sep 2026. ▲ = buy signal, ▼ = sell signal, as plotted by 12_Donchian_Channel.pine.</w:t>
      </w:r>
    </w:p>
    <w:p>
      <w:pPr>
        <w:pStyle w:val="Heading2"/>
        <w:keepNext/>
        <w:spacing w:after="120" w:before="240"/>
      </w:pPr>
      <w:r>
        <w:rPr>
          <w:rFonts w:ascii="Calibri" w:cs="Calibri" w:eastAsia="Calibri" w:hAnsi="Calibri"/>
          <w:b/>
          <w:bCs/>
          <w:color w:val="1F4E79"/>
          <w:sz w:val="26"/>
          <w:szCs w:val="26"/>
        </w:rPr>
        <w:t xml:space="preserve">3.13 Implementation on all seven stocks</w:t>
      </w:r>
    </w:p>
    <w:p>
      <w:pPr>
        <w:spacing w:after="120" w:before="0" w:line="276"/>
        <w:jc w:val="both"/>
      </w:pPr>
      <w:r>
        <w:rPr>
          <w:rFonts w:ascii="Calibri" w:cs="Calibri" w:eastAsia="Calibri" w:hAnsi="Calibri"/>
          <w:sz w:val="21"/>
          <w:szCs w:val="21"/>
        </w:rPr>
        <w:t xml:space="preserve">Requirement 1 asks for each indicator to be implemented on at least seven stocks. We do this in two ways. First, all twelve indicator scripts are symbol-agnostic and were applied to each of the seven daily charts. Second, a single dashboard script (</w:t>
      </w:r>
      <w:r>
        <w:rPr>
          <w:rFonts w:ascii="Consolas" w:cs="Consolas" w:eastAsia="Consolas" w:hAnsi="Consolas"/>
          <w:sz w:val="19"/>
          <w:szCs w:val="19"/>
        </w:rPr>
        <w:t xml:space="preserve">13_SevenStock_Dashboard.pine</w:t>
      </w:r>
      <w:r>
        <w:rPr>
          <w:rFonts w:ascii="Calibri" w:cs="Calibri" w:eastAsia="Calibri" w:hAnsi="Calibri"/>
          <w:sz w:val="21"/>
          <w:szCs w:val="21"/>
        </w:rPr>
        <w:t xml:space="preserve">) uses </w:t>
      </w:r>
      <w:r>
        <w:rPr>
          <w:rFonts w:ascii="Consolas" w:cs="Consolas" w:eastAsia="Consolas" w:hAnsi="Consolas"/>
          <w:sz w:val="19"/>
          <w:szCs w:val="19"/>
        </w:rPr>
        <w:t xml:space="preserve">request.security()</w:t>
      </w:r>
      <w:r>
        <w:rPr>
          <w:rFonts w:ascii="Calibri" w:cs="Calibri" w:eastAsia="Calibri" w:hAnsi="Calibri"/>
          <w:sz w:val="21"/>
          <w:szCs w:val="21"/>
        </w:rPr>
        <w:t xml:space="preserve"> to compute all twelve indicators for all seven stocks at once (seven calls, each returning a 14-value tuple) and print their state in a table on any chart. Exhibit 16 reproduces that table as at the last bar of our sample.</w:t>
      </w:r>
    </w:p>
    <w:p>
      <w:pPr>
        <w:keepNext/>
        <w:spacing w:after="80" w:before="160"/>
      </w:pPr>
      <w:r>
        <w:rPr>
          <w:rFonts w:ascii="Calibri" w:cs="Calibri" w:eastAsia="Calibri" w:hAnsi="Calibri"/>
          <w:b/>
          <w:bCs/>
          <w:color w:val="2E2E2E"/>
          <w:sz w:val="19"/>
          <w:szCs w:val="19"/>
        </w:rPr>
        <w:t xml:space="preserve">Exhibit 16. 12 × 7 indicator dashboard as at 2026-09-25 (▲ bullish state, ▼ bearish state; as rendered by 13_SevenStock_Dashboard.pine)</w:t>
      </w:r>
    </w:p>
    <w:tbl>
      <w:tblPr>
        <w:tblW w:type="dxa" w:w="8966"/>
        <w:tblBorders>
          <w:top w:val="single" w:color="auto" w:sz="4"/>
          <w:left w:val="single" w:color="auto" w:sz="4"/>
          <w:bottom w:val="single" w:color="auto" w:sz="4"/>
          <w:right w:val="single" w:color="auto" w:sz="4"/>
          <w:insideH w:val="single" w:color="auto" w:sz="4"/>
          <w:insideV w:val="single" w:color="auto" w:sz="4"/>
        </w:tblBorders>
      </w:tblPr>
      <w:tblGrid>
        <w:gridCol w:w="1180"/>
        <w:gridCol w:w="560"/>
        <w:gridCol w:w="560"/>
        <w:gridCol w:w="560"/>
        <w:gridCol w:w="600"/>
        <w:gridCol w:w="520"/>
        <w:gridCol w:w="620"/>
        <w:gridCol w:w="560"/>
        <w:gridCol w:w="560"/>
        <w:gridCol w:w="600"/>
        <w:gridCol w:w="560"/>
        <w:gridCol w:w="560"/>
        <w:gridCol w:w="680"/>
        <w:gridCol w:w="846"/>
      </w:tblGrid>
      <w:tr>
        <w:trPr>
          <w:cantSplit/>
          <w:tblHeader/>
        </w:trPr>
        <w:tc>
          <w:tcPr>
            <w:tcW w:type="dxa" w:w="118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Stock</w:t>
            </w:r>
          </w:p>
        </w:tc>
        <w:tc>
          <w:tcPr>
            <w:tcW w:type="dxa" w:w="56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tcPr>
          <w:p>
            <w:pPr>
              <w:jc w:val="center"/>
            </w:pPr>
            <w:r>
              <w:rPr>
                <w:rFonts w:ascii="Calibri" w:cs="Calibri" w:eastAsia="Calibri" w:hAnsi="Calibri"/>
                <w:b/>
                <w:bCs/>
                <w:color w:val="FFFFFF"/>
                <w:sz w:val="16"/>
                <w:szCs w:val="16"/>
              </w:rPr>
              <w:t xml:space="preserve">SMA</w:t>
            </w:r>
          </w:p>
        </w:tc>
        <w:tc>
          <w:tcPr>
            <w:tcW w:type="dxa" w:w="56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tcPr>
          <w:p>
            <w:pPr>
              <w:jc w:val="center"/>
            </w:pPr>
            <w:r>
              <w:rPr>
                <w:rFonts w:ascii="Calibri" w:cs="Calibri" w:eastAsia="Calibri" w:hAnsi="Calibri"/>
                <w:b/>
                <w:bCs/>
                <w:color w:val="FFFFFF"/>
                <w:sz w:val="16"/>
                <w:szCs w:val="16"/>
              </w:rPr>
              <w:t xml:space="preserve">EMA</w:t>
            </w:r>
          </w:p>
        </w:tc>
        <w:tc>
          <w:tcPr>
            <w:tcW w:type="dxa" w:w="56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tcPr>
          <w:p>
            <w:pPr>
              <w:jc w:val="center"/>
            </w:pPr>
            <w:r>
              <w:rPr>
                <w:rFonts w:ascii="Calibri" w:cs="Calibri" w:eastAsia="Calibri" w:hAnsi="Calibri"/>
                <w:b/>
                <w:bCs/>
                <w:color w:val="FFFFFF"/>
                <w:sz w:val="16"/>
                <w:szCs w:val="16"/>
              </w:rPr>
              <w:t xml:space="preserve">RSI</w:t>
            </w:r>
          </w:p>
        </w:tc>
        <w:tc>
          <w:tcPr>
            <w:tcW w:type="dxa" w:w="6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tcPr>
          <w:p>
            <w:pPr>
              <w:jc w:val="center"/>
            </w:pPr>
            <w:r>
              <w:rPr>
                <w:rFonts w:ascii="Calibri" w:cs="Calibri" w:eastAsia="Calibri" w:hAnsi="Calibri"/>
                <w:b/>
                <w:bCs/>
                <w:color w:val="FFFFFF"/>
                <w:sz w:val="16"/>
                <w:szCs w:val="16"/>
              </w:rPr>
              <w:t xml:space="preserve">MACD</w:t>
            </w:r>
          </w:p>
        </w:tc>
        <w:tc>
          <w:tcPr>
            <w:tcW w:type="dxa" w:w="52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tcPr>
          <w:p>
            <w:pPr>
              <w:jc w:val="center"/>
            </w:pPr>
            <w:r>
              <w:rPr>
                <w:rFonts w:ascii="Calibri" w:cs="Calibri" w:eastAsia="Calibri" w:hAnsi="Calibri"/>
                <w:b/>
                <w:bCs/>
                <w:color w:val="FFFFFF"/>
                <w:sz w:val="16"/>
                <w:szCs w:val="16"/>
              </w:rPr>
              <w:t xml:space="preserve">BB</w:t>
            </w:r>
          </w:p>
        </w:tc>
        <w:tc>
          <w:tcPr>
            <w:tcW w:type="dxa" w:w="62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tcPr>
          <w:p>
            <w:pPr>
              <w:jc w:val="center"/>
            </w:pPr>
            <w:r>
              <w:rPr>
                <w:rFonts w:ascii="Calibri" w:cs="Calibri" w:eastAsia="Calibri" w:hAnsi="Calibri"/>
                <w:b/>
                <w:bCs/>
                <w:color w:val="FFFFFF"/>
                <w:sz w:val="16"/>
                <w:szCs w:val="16"/>
              </w:rPr>
              <w:t xml:space="preserve">Stoch</w:t>
            </w:r>
          </w:p>
        </w:tc>
        <w:tc>
          <w:tcPr>
            <w:tcW w:type="dxa" w:w="56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tcPr>
          <w:p>
            <w:pPr>
              <w:jc w:val="center"/>
            </w:pPr>
            <w:r>
              <w:rPr>
                <w:rFonts w:ascii="Calibri" w:cs="Calibri" w:eastAsia="Calibri" w:hAnsi="Calibri"/>
                <w:b/>
                <w:bCs/>
                <w:color w:val="FFFFFF"/>
                <w:sz w:val="16"/>
                <w:szCs w:val="16"/>
              </w:rPr>
              <w:t xml:space="preserve">ADX</w:t>
            </w:r>
          </w:p>
        </w:tc>
        <w:tc>
          <w:tcPr>
            <w:tcW w:type="dxa" w:w="56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tcPr>
          <w:p>
            <w:pPr>
              <w:jc w:val="center"/>
            </w:pPr>
            <w:r>
              <w:rPr>
                <w:rFonts w:ascii="Calibri" w:cs="Calibri" w:eastAsia="Calibri" w:hAnsi="Calibri"/>
                <w:b/>
                <w:bCs/>
                <w:color w:val="FFFFFF"/>
                <w:sz w:val="16"/>
                <w:szCs w:val="16"/>
              </w:rPr>
              <w:t xml:space="preserve">OBV</w:t>
            </w:r>
          </w:p>
        </w:tc>
        <w:tc>
          <w:tcPr>
            <w:tcW w:type="dxa" w:w="6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tcPr>
          <w:p>
            <w:pPr>
              <w:jc w:val="center"/>
            </w:pPr>
            <w:r>
              <w:rPr>
                <w:rFonts w:ascii="Calibri" w:cs="Calibri" w:eastAsia="Calibri" w:hAnsi="Calibri"/>
                <w:b/>
                <w:bCs/>
                <w:color w:val="FFFFFF"/>
                <w:sz w:val="16"/>
                <w:szCs w:val="16"/>
              </w:rPr>
              <w:t xml:space="preserve">SupT</w:t>
            </w:r>
          </w:p>
        </w:tc>
        <w:tc>
          <w:tcPr>
            <w:tcW w:type="dxa" w:w="56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tcPr>
          <w:p>
            <w:pPr>
              <w:jc w:val="center"/>
            </w:pPr>
            <w:r>
              <w:rPr>
                <w:rFonts w:ascii="Calibri" w:cs="Calibri" w:eastAsia="Calibri" w:hAnsi="Calibri"/>
                <w:b/>
                <w:bCs/>
                <w:color w:val="FFFFFF"/>
                <w:sz w:val="16"/>
                <w:szCs w:val="16"/>
              </w:rPr>
              <w:t xml:space="preserve">CCI</w:t>
            </w:r>
          </w:p>
        </w:tc>
        <w:tc>
          <w:tcPr>
            <w:tcW w:type="dxa" w:w="56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tcPr>
          <w:p>
            <w:pPr>
              <w:jc w:val="center"/>
            </w:pPr>
            <w:r>
              <w:rPr>
                <w:rFonts w:ascii="Calibri" w:cs="Calibri" w:eastAsia="Calibri" w:hAnsi="Calibri"/>
                <w:b/>
                <w:bCs/>
                <w:color w:val="FFFFFF"/>
                <w:sz w:val="16"/>
                <w:szCs w:val="16"/>
              </w:rPr>
              <w:t xml:space="preserve">MFI</w:t>
            </w:r>
          </w:p>
        </w:tc>
        <w:tc>
          <w:tcPr>
            <w:tcW w:type="dxa" w:w="68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tcPr>
          <w:p>
            <w:pPr>
              <w:jc w:val="center"/>
            </w:pPr>
            <w:r>
              <w:rPr>
                <w:rFonts w:ascii="Calibri" w:cs="Calibri" w:eastAsia="Calibri" w:hAnsi="Calibri"/>
                <w:b/>
                <w:bCs/>
                <w:color w:val="FFFFFF"/>
                <w:sz w:val="16"/>
                <w:szCs w:val="16"/>
              </w:rPr>
              <w:t xml:space="preserve">Donch</w:t>
            </w:r>
          </w:p>
        </w:tc>
        <w:tc>
          <w:tcPr>
            <w:tcW w:type="dxa" w:w="846"/>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tcPr>
          <w:p>
            <w:pPr>
              <w:jc w:val="center"/>
            </w:pPr>
            <w:r>
              <w:rPr>
                <w:rFonts w:ascii="Calibri" w:cs="Calibri" w:eastAsia="Calibri" w:hAnsi="Calibri"/>
                <w:b/>
                <w:bCs/>
                <w:color w:val="FFFFFF"/>
                <w:sz w:val="16"/>
                <w:szCs w:val="16"/>
              </w:rPr>
              <w:t xml:space="preserve">Score</w:t>
            </w:r>
          </w:p>
        </w:tc>
      </w:tr>
      <w:tr>
        <w:trPr>
          <w:cantSplit/>
        </w:trPr>
        <w:tc>
          <w:tcPr>
            <w:tcW w:type="dxa" w:w="11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6"/>
                <w:szCs w:val="16"/>
              </w:rPr>
              <w:t xml:space="preserve">RELIANCE</w:t>
            </w:r>
          </w:p>
        </w:tc>
        <w:tc>
          <w:tcPr>
            <w:tcW w:type="dxa" w:w="560"/>
            <w:tcBorders>
              <w:top w:val="single" w:color="BFBFBF" w:sz="4"/>
              <w:left w:val="single" w:color="BFBFBF" w:sz="4"/>
              <w:bottom w:val="single" w:color="BFBFBF" w:sz="4"/>
              <w:right w:val="single" w:color="BFBFBF" w:sz="4"/>
            </w:tcBorders>
            <w:shd w:fill="F6D5D5" w:color="auto" w:val="clear"/>
            <w:tcMar>
              <w:top w:type="dxa" w:w="50"/>
              <w:left w:type="dxa" w:w="80"/>
              <w:bottom w:type="dxa" w:w="50"/>
              <w:right w:type="dxa" w:w="80"/>
            </w:tcMar>
          </w:tcPr>
          <w:p>
            <w:pPr>
              <w:jc w:val="center"/>
            </w:pPr>
            <w:r>
              <w:rPr>
                <w:rFonts w:ascii="Calibri" w:cs="Calibri" w:eastAsia="Calibri" w:hAnsi="Calibri"/>
                <w:color w:val="000000"/>
                <w:sz w:val="16"/>
                <w:szCs w:val="16"/>
              </w:rPr>
              <w:t xml:space="preserve">▼</w:t>
            </w:r>
          </w:p>
        </w:tc>
        <w:tc>
          <w:tcPr>
            <w:tcW w:type="dxa" w:w="560"/>
            <w:tcBorders>
              <w:top w:val="single" w:color="BFBFBF" w:sz="4"/>
              <w:left w:val="single" w:color="BFBFBF" w:sz="4"/>
              <w:bottom w:val="single" w:color="BFBFBF" w:sz="4"/>
              <w:right w:val="single" w:color="BFBFBF" w:sz="4"/>
            </w:tcBorders>
            <w:shd w:fill="F6D5D5" w:color="auto" w:val="clear"/>
            <w:tcMar>
              <w:top w:type="dxa" w:w="50"/>
              <w:left w:type="dxa" w:w="80"/>
              <w:bottom w:type="dxa" w:w="50"/>
              <w:right w:type="dxa" w:w="80"/>
            </w:tcMar>
          </w:tcPr>
          <w:p>
            <w:pPr>
              <w:jc w:val="center"/>
            </w:pPr>
            <w:r>
              <w:rPr>
                <w:rFonts w:ascii="Calibri" w:cs="Calibri" w:eastAsia="Calibri" w:hAnsi="Calibri"/>
                <w:color w:val="000000"/>
                <w:sz w:val="16"/>
                <w:szCs w:val="16"/>
              </w:rPr>
              <w:t xml:space="preserve">▼</w:t>
            </w:r>
          </w:p>
        </w:tc>
        <w:tc>
          <w:tcPr>
            <w:tcW w:type="dxa" w:w="560"/>
            <w:tcBorders>
              <w:top w:val="single" w:color="BFBFBF" w:sz="4"/>
              <w:left w:val="single" w:color="BFBFBF" w:sz="4"/>
              <w:bottom w:val="single" w:color="BFBFBF" w:sz="4"/>
              <w:right w:val="single" w:color="BFBFBF" w:sz="4"/>
            </w:tcBorders>
            <w:shd w:fill="F6D5D5" w:color="auto" w:val="clear"/>
            <w:tcMar>
              <w:top w:type="dxa" w:w="50"/>
              <w:left w:type="dxa" w:w="80"/>
              <w:bottom w:type="dxa" w:w="50"/>
              <w:right w:type="dxa" w:w="80"/>
            </w:tcMar>
          </w:tcPr>
          <w:p>
            <w:pPr>
              <w:jc w:val="center"/>
            </w:pPr>
            <w:r>
              <w:rPr>
                <w:rFonts w:ascii="Calibri" w:cs="Calibri" w:eastAsia="Calibri" w:hAnsi="Calibri"/>
                <w:color w:val="000000"/>
                <w:sz w:val="16"/>
                <w:szCs w:val="16"/>
              </w:rPr>
              <w:t xml:space="preserve">▼</w:t>
            </w:r>
          </w:p>
        </w:tc>
        <w:tc>
          <w:tcPr>
            <w:tcW w:type="dxa" w:w="600"/>
            <w:tcBorders>
              <w:top w:val="single" w:color="BFBFBF" w:sz="4"/>
              <w:left w:val="single" w:color="BFBFBF" w:sz="4"/>
              <w:bottom w:val="single" w:color="BFBFBF" w:sz="4"/>
              <w:right w:val="single" w:color="BFBFBF" w:sz="4"/>
            </w:tcBorders>
            <w:shd w:fill="F6D5D5" w:color="auto" w:val="clear"/>
            <w:tcMar>
              <w:top w:type="dxa" w:w="50"/>
              <w:left w:type="dxa" w:w="80"/>
              <w:bottom w:type="dxa" w:w="50"/>
              <w:right w:type="dxa" w:w="80"/>
            </w:tcMar>
          </w:tcPr>
          <w:p>
            <w:pPr>
              <w:jc w:val="center"/>
            </w:pPr>
            <w:r>
              <w:rPr>
                <w:rFonts w:ascii="Calibri" w:cs="Calibri" w:eastAsia="Calibri" w:hAnsi="Calibri"/>
                <w:color w:val="000000"/>
                <w:sz w:val="16"/>
                <w:szCs w:val="16"/>
              </w:rPr>
              <w:t xml:space="preserve">▼</w:t>
            </w:r>
          </w:p>
        </w:tc>
        <w:tc>
          <w:tcPr>
            <w:tcW w:type="dxa" w:w="520"/>
            <w:tcBorders>
              <w:top w:val="single" w:color="BFBFBF" w:sz="4"/>
              <w:left w:val="single" w:color="BFBFBF" w:sz="4"/>
              <w:bottom w:val="single" w:color="BFBFBF" w:sz="4"/>
              <w:right w:val="single" w:color="BFBFBF" w:sz="4"/>
            </w:tcBorders>
            <w:shd w:fill="F6D5D5" w:color="auto" w:val="clear"/>
            <w:tcMar>
              <w:top w:type="dxa" w:w="50"/>
              <w:left w:type="dxa" w:w="80"/>
              <w:bottom w:type="dxa" w:w="50"/>
              <w:right w:type="dxa" w:w="80"/>
            </w:tcMar>
          </w:tcPr>
          <w:p>
            <w:pPr>
              <w:jc w:val="center"/>
            </w:pPr>
            <w:r>
              <w:rPr>
                <w:rFonts w:ascii="Calibri" w:cs="Calibri" w:eastAsia="Calibri" w:hAnsi="Calibri"/>
                <w:color w:val="000000"/>
                <w:sz w:val="16"/>
                <w:szCs w:val="16"/>
              </w:rPr>
              <w:t xml:space="preserve">▼</w:t>
            </w:r>
          </w:p>
        </w:tc>
        <w:tc>
          <w:tcPr>
            <w:tcW w:type="dxa" w:w="620"/>
            <w:tcBorders>
              <w:top w:val="single" w:color="BFBFBF" w:sz="4"/>
              <w:left w:val="single" w:color="BFBFBF" w:sz="4"/>
              <w:bottom w:val="single" w:color="BFBFBF" w:sz="4"/>
              <w:right w:val="single" w:color="BFBFBF" w:sz="4"/>
            </w:tcBorders>
            <w:shd w:fill="F6D5D5" w:color="auto" w:val="clear"/>
            <w:tcMar>
              <w:top w:type="dxa" w:w="50"/>
              <w:left w:type="dxa" w:w="80"/>
              <w:bottom w:type="dxa" w:w="50"/>
              <w:right w:type="dxa" w:w="80"/>
            </w:tcMar>
          </w:tcPr>
          <w:p>
            <w:pPr>
              <w:jc w:val="center"/>
            </w:pPr>
            <w:r>
              <w:rPr>
                <w:rFonts w:ascii="Calibri" w:cs="Calibri" w:eastAsia="Calibri" w:hAnsi="Calibri"/>
                <w:color w:val="000000"/>
                <w:sz w:val="16"/>
                <w:szCs w:val="16"/>
              </w:rPr>
              <w:t xml:space="preserve">▼</w:t>
            </w:r>
          </w:p>
        </w:tc>
        <w:tc>
          <w:tcPr>
            <w:tcW w:type="dxa" w:w="560"/>
            <w:tcBorders>
              <w:top w:val="single" w:color="BFBFBF" w:sz="4"/>
              <w:left w:val="single" w:color="BFBFBF" w:sz="4"/>
              <w:bottom w:val="single" w:color="BFBFBF" w:sz="4"/>
              <w:right w:val="single" w:color="BFBFBF" w:sz="4"/>
            </w:tcBorders>
            <w:shd w:fill="F6D5D5" w:color="auto" w:val="clear"/>
            <w:tcMar>
              <w:top w:type="dxa" w:w="50"/>
              <w:left w:type="dxa" w:w="80"/>
              <w:bottom w:type="dxa" w:w="50"/>
              <w:right w:type="dxa" w:w="80"/>
            </w:tcMar>
          </w:tcPr>
          <w:p>
            <w:pPr>
              <w:jc w:val="center"/>
            </w:pPr>
            <w:r>
              <w:rPr>
                <w:rFonts w:ascii="Calibri" w:cs="Calibri" w:eastAsia="Calibri" w:hAnsi="Calibri"/>
                <w:color w:val="000000"/>
                <w:sz w:val="16"/>
                <w:szCs w:val="16"/>
              </w:rPr>
              <w:t xml:space="preserve">▼</w:t>
            </w:r>
          </w:p>
        </w:tc>
        <w:tc>
          <w:tcPr>
            <w:tcW w:type="dxa" w:w="560"/>
            <w:tcBorders>
              <w:top w:val="single" w:color="BFBFBF" w:sz="4"/>
              <w:left w:val="single" w:color="BFBFBF" w:sz="4"/>
              <w:bottom w:val="single" w:color="BFBFBF" w:sz="4"/>
              <w:right w:val="single" w:color="BFBFBF" w:sz="4"/>
            </w:tcBorders>
            <w:shd w:fill="F6D5D5" w:color="auto" w:val="clear"/>
            <w:tcMar>
              <w:top w:type="dxa" w:w="50"/>
              <w:left w:type="dxa" w:w="80"/>
              <w:bottom w:type="dxa" w:w="50"/>
              <w:right w:type="dxa" w:w="80"/>
            </w:tcMar>
          </w:tcPr>
          <w:p>
            <w:pPr>
              <w:jc w:val="center"/>
            </w:pPr>
            <w:r>
              <w:rPr>
                <w:rFonts w:ascii="Calibri" w:cs="Calibri" w:eastAsia="Calibri" w:hAnsi="Calibri"/>
                <w:color w:val="000000"/>
                <w:sz w:val="16"/>
                <w:szCs w:val="16"/>
              </w:rPr>
              <w:t xml:space="preserve">▼</w:t>
            </w:r>
          </w:p>
        </w:tc>
        <w:tc>
          <w:tcPr>
            <w:tcW w:type="dxa" w:w="600"/>
            <w:tcBorders>
              <w:top w:val="single" w:color="BFBFBF" w:sz="4"/>
              <w:left w:val="single" w:color="BFBFBF" w:sz="4"/>
              <w:bottom w:val="single" w:color="BFBFBF" w:sz="4"/>
              <w:right w:val="single" w:color="BFBFBF" w:sz="4"/>
            </w:tcBorders>
            <w:shd w:fill="F6D5D5" w:color="auto" w:val="clear"/>
            <w:tcMar>
              <w:top w:type="dxa" w:w="50"/>
              <w:left w:type="dxa" w:w="80"/>
              <w:bottom w:type="dxa" w:w="50"/>
              <w:right w:type="dxa" w:w="80"/>
            </w:tcMar>
          </w:tcPr>
          <w:p>
            <w:pPr>
              <w:jc w:val="center"/>
            </w:pPr>
            <w:r>
              <w:rPr>
                <w:rFonts w:ascii="Calibri" w:cs="Calibri" w:eastAsia="Calibri" w:hAnsi="Calibri"/>
                <w:color w:val="000000"/>
                <w:sz w:val="16"/>
                <w:szCs w:val="16"/>
              </w:rPr>
              <w:t xml:space="preserve">▼</w:t>
            </w:r>
          </w:p>
        </w:tc>
        <w:tc>
          <w:tcPr>
            <w:tcW w:type="dxa" w:w="560"/>
            <w:tcBorders>
              <w:top w:val="single" w:color="BFBFBF" w:sz="4"/>
              <w:left w:val="single" w:color="BFBFBF" w:sz="4"/>
              <w:bottom w:val="single" w:color="BFBFBF" w:sz="4"/>
              <w:right w:val="single" w:color="BFBFBF" w:sz="4"/>
            </w:tcBorders>
            <w:shd w:fill="F6D5D5" w:color="auto" w:val="clear"/>
            <w:tcMar>
              <w:top w:type="dxa" w:w="50"/>
              <w:left w:type="dxa" w:w="80"/>
              <w:bottom w:type="dxa" w:w="50"/>
              <w:right w:type="dxa" w:w="80"/>
            </w:tcMar>
          </w:tcPr>
          <w:p>
            <w:pPr>
              <w:jc w:val="center"/>
            </w:pPr>
            <w:r>
              <w:rPr>
                <w:rFonts w:ascii="Calibri" w:cs="Calibri" w:eastAsia="Calibri" w:hAnsi="Calibri"/>
                <w:color w:val="000000"/>
                <w:sz w:val="16"/>
                <w:szCs w:val="16"/>
              </w:rPr>
              <w:t xml:space="preserve">▼</w:t>
            </w:r>
          </w:p>
        </w:tc>
        <w:tc>
          <w:tcPr>
            <w:tcW w:type="dxa" w:w="560"/>
            <w:tcBorders>
              <w:top w:val="single" w:color="BFBFBF" w:sz="4"/>
              <w:left w:val="single" w:color="BFBFBF" w:sz="4"/>
              <w:bottom w:val="single" w:color="BFBFBF" w:sz="4"/>
              <w:right w:val="single" w:color="BFBFBF" w:sz="4"/>
            </w:tcBorders>
            <w:shd w:fill="F6D5D5" w:color="auto" w:val="clear"/>
            <w:tcMar>
              <w:top w:type="dxa" w:w="50"/>
              <w:left w:type="dxa" w:w="80"/>
              <w:bottom w:type="dxa" w:w="50"/>
              <w:right w:type="dxa" w:w="80"/>
            </w:tcMar>
          </w:tcPr>
          <w:p>
            <w:pPr>
              <w:jc w:val="center"/>
            </w:pPr>
            <w:r>
              <w:rPr>
                <w:rFonts w:ascii="Calibri" w:cs="Calibri" w:eastAsia="Calibri" w:hAnsi="Calibri"/>
                <w:color w:val="000000"/>
                <w:sz w:val="16"/>
                <w:szCs w:val="16"/>
              </w:rPr>
              <w:t xml:space="preserve">▼</w:t>
            </w:r>
          </w:p>
        </w:tc>
        <w:tc>
          <w:tcPr>
            <w:tcW w:type="dxa" w:w="680"/>
            <w:tcBorders>
              <w:top w:val="single" w:color="BFBFBF" w:sz="4"/>
              <w:left w:val="single" w:color="BFBFBF" w:sz="4"/>
              <w:bottom w:val="single" w:color="BFBFBF" w:sz="4"/>
              <w:right w:val="single" w:color="BFBFBF" w:sz="4"/>
            </w:tcBorders>
            <w:shd w:fill="F6D5D5" w:color="auto" w:val="clear"/>
            <w:tcMar>
              <w:top w:type="dxa" w:w="50"/>
              <w:left w:type="dxa" w:w="80"/>
              <w:bottom w:type="dxa" w:w="50"/>
              <w:right w:type="dxa" w:w="80"/>
            </w:tcMar>
          </w:tcPr>
          <w:p>
            <w:pPr>
              <w:jc w:val="center"/>
            </w:pPr>
            <w:r>
              <w:rPr>
                <w:rFonts w:ascii="Calibri" w:cs="Calibri" w:eastAsia="Calibri" w:hAnsi="Calibri"/>
                <w:color w:val="000000"/>
                <w:sz w:val="16"/>
                <w:szCs w:val="16"/>
              </w:rPr>
              <w:t xml:space="preserve">▼</w:t>
            </w:r>
          </w:p>
        </w:tc>
        <w:tc>
          <w:tcPr>
            <w:tcW w:type="dxa" w:w="84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6"/>
                <w:szCs w:val="16"/>
              </w:rPr>
              <w:t xml:space="preserve">0/12</w:t>
            </w:r>
          </w:p>
        </w:tc>
      </w:tr>
      <w:tr>
        <w:trPr>
          <w:cantSplit/>
        </w:trPr>
        <w:tc>
          <w:tcPr>
            <w:tcW w:type="dxa" w:w="118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color w:val="000000"/>
                <w:sz w:val="16"/>
                <w:szCs w:val="16"/>
              </w:rPr>
              <w:t xml:space="preserve">HDFCBANK</w:t>
            </w:r>
          </w:p>
        </w:tc>
        <w:tc>
          <w:tcPr>
            <w:tcW w:type="dxa" w:w="560"/>
            <w:tcBorders>
              <w:top w:val="single" w:color="BFBFBF" w:sz="4"/>
              <w:left w:val="single" w:color="BFBFBF" w:sz="4"/>
              <w:bottom w:val="single" w:color="BFBFBF" w:sz="4"/>
              <w:right w:val="single" w:color="BFBFBF" w:sz="4"/>
            </w:tcBorders>
            <w:shd w:fill="F6D5D5" w:color="auto" w:val="clear"/>
            <w:tcMar>
              <w:top w:type="dxa" w:w="50"/>
              <w:left w:type="dxa" w:w="80"/>
              <w:bottom w:type="dxa" w:w="50"/>
              <w:right w:type="dxa" w:w="80"/>
            </w:tcMar>
          </w:tcPr>
          <w:p>
            <w:pPr>
              <w:jc w:val="center"/>
            </w:pPr>
            <w:r>
              <w:rPr>
                <w:rFonts w:ascii="Calibri" w:cs="Calibri" w:eastAsia="Calibri" w:hAnsi="Calibri"/>
                <w:color w:val="000000"/>
                <w:sz w:val="16"/>
                <w:szCs w:val="16"/>
              </w:rPr>
              <w:t xml:space="preserve">▼</w:t>
            </w:r>
          </w:p>
        </w:tc>
        <w:tc>
          <w:tcPr>
            <w:tcW w:type="dxa" w:w="560"/>
            <w:tcBorders>
              <w:top w:val="single" w:color="BFBFBF" w:sz="4"/>
              <w:left w:val="single" w:color="BFBFBF" w:sz="4"/>
              <w:bottom w:val="single" w:color="BFBFBF" w:sz="4"/>
              <w:right w:val="single" w:color="BFBFBF" w:sz="4"/>
            </w:tcBorders>
            <w:shd w:fill="D5EBD5" w:color="auto" w:val="clear"/>
            <w:tcMar>
              <w:top w:type="dxa" w:w="50"/>
              <w:left w:type="dxa" w:w="80"/>
              <w:bottom w:type="dxa" w:w="50"/>
              <w:right w:type="dxa" w:w="80"/>
            </w:tcMar>
          </w:tcPr>
          <w:p>
            <w:pPr>
              <w:jc w:val="center"/>
            </w:pPr>
            <w:r>
              <w:rPr>
                <w:rFonts w:ascii="Calibri" w:cs="Calibri" w:eastAsia="Calibri" w:hAnsi="Calibri"/>
                <w:color w:val="000000"/>
                <w:sz w:val="16"/>
                <w:szCs w:val="16"/>
              </w:rPr>
              <w:t xml:space="preserve">▲</w:t>
            </w:r>
          </w:p>
        </w:tc>
        <w:tc>
          <w:tcPr>
            <w:tcW w:type="dxa" w:w="560"/>
            <w:tcBorders>
              <w:top w:val="single" w:color="BFBFBF" w:sz="4"/>
              <w:left w:val="single" w:color="BFBFBF" w:sz="4"/>
              <w:bottom w:val="single" w:color="BFBFBF" w:sz="4"/>
              <w:right w:val="single" w:color="BFBFBF" w:sz="4"/>
            </w:tcBorders>
            <w:shd w:fill="D5EBD5" w:color="auto" w:val="clear"/>
            <w:tcMar>
              <w:top w:type="dxa" w:w="50"/>
              <w:left w:type="dxa" w:w="80"/>
              <w:bottom w:type="dxa" w:w="50"/>
              <w:right w:type="dxa" w:w="80"/>
            </w:tcMar>
          </w:tcPr>
          <w:p>
            <w:pPr>
              <w:jc w:val="center"/>
            </w:pPr>
            <w:r>
              <w:rPr>
                <w:rFonts w:ascii="Calibri" w:cs="Calibri" w:eastAsia="Calibri" w:hAnsi="Calibri"/>
                <w:color w:val="000000"/>
                <w:sz w:val="16"/>
                <w:szCs w:val="16"/>
              </w:rPr>
              <w:t xml:space="preserve">▲</w:t>
            </w:r>
          </w:p>
        </w:tc>
        <w:tc>
          <w:tcPr>
            <w:tcW w:type="dxa" w:w="600"/>
            <w:tcBorders>
              <w:top w:val="single" w:color="BFBFBF" w:sz="4"/>
              <w:left w:val="single" w:color="BFBFBF" w:sz="4"/>
              <w:bottom w:val="single" w:color="BFBFBF" w:sz="4"/>
              <w:right w:val="single" w:color="BFBFBF" w:sz="4"/>
            </w:tcBorders>
            <w:shd w:fill="D5EBD5" w:color="auto" w:val="clear"/>
            <w:tcMar>
              <w:top w:type="dxa" w:w="50"/>
              <w:left w:type="dxa" w:w="80"/>
              <w:bottom w:type="dxa" w:w="50"/>
              <w:right w:type="dxa" w:w="80"/>
            </w:tcMar>
          </w:tcPr>
          <w:p>
            <w:pPr>
              <w:jc w:val="center"/>
            </w:pPr>
            <w:r>
              <w:rPr>
                <w:rFonts w:ascii="Calibri" w:cs="Calibri" w:eastAsia="Calibri" w:hAnsi="Calibri"/>
                <w:color w:val="000000"/>
                <w:sz w:val="16"/>
                <w:szCs w:val="16"/>
              </w:rPr>
              <w:t xml:space="preserve">▲</w:t>
            </w:r>
          </w:p>
        </w:tc>
        <w:tc>
          <w:tcPr>
            <w:tcW w:type="dxa" w:w="520"/>
            <w:tcBorders>
              <w:top w:val="single" w:color="BFBFBF" w:sz="4"/>
              <w:left w:val="single" w:color="BFBFBF" w:sz="4"/>
              <w:bottom w:val="single" w:color="BFBFBF" w:sz="4"/>
              <w:right w:val="single" w:color="BFBFBF" w:sz="4"/>
            </w:tcBorders>
            <w:shd w:fill="D5EBD5" w:color="auto" w:val="clear"/>
            <w:tcMar>
              <w:top w:type="dxa" w:w="50"/>
              <w:left w:type="dxa" w:w="80"/>
              <w:bottom w:type="dxa" w:w="50"/>
              <w:right w:type="dxa" w:w="80"/>
            </w:tcMar>
          </w:tcPr>
          <w:p>
            <w:pPr>
              <w:jc w:val="center"/>
            </w:pPr>
            <w:r>
              <w:rPr>
                <w:rFonts w:ascii="Calibri" w:cs="Calibri" w:eastAsia="Calibri" w:hAnsi="Calibri"/>
                <w:color w:val="000000"/>
                <w:sz w:val="16"/>
                <w:szCs w:val="16"/>
              </w:rPr>
              <w:t xml:space="preserve">▲</w:t>
            </w:r>
          </w:p>
        </w:tc>
        <w:tc>
          <w:tcPr>
            <w:tcW w:type="dxa" w:w="620"/>
            <w:tcBorders>
              <w:top w:val="single" w:color="BFBFBF" w:sz="4"/>
              <w:left w:val="single" w:color="BFBFBF" w:sz="4"/>
              <w:bottom w:val="single" w:color="BFBFBF" w:sz="4"/>
              <w:right w:val="single" w:color="BFBFBF" w:sz="4"/>
            </w:tcBorders>
            <w:shd w:fill="F6D5D5" w:color="auto" w:val="clear"/>
            <w:tcMar>
              <w:top w:type="dxa" w:w="50"/>
              <w:left w:type="dxa" w:w="80"/>
              <w:bottom w:type="dxa" w:w="50"/>
              <w:right w:type="dxa" w:w="80"/>
            </w:tcMar>
          </w:tcPr>
          <w:p>
            <w:pPr>
              <w:jc w:val="center"/>
            </w:pPr>
            <w:r>
              <w:rPr>
                <w:rFonts w:ascii="Calibri" w:cs="Calibri" w:eastAsia="Calibri" w:hAnsi="Calibri"/>
                <w:color w:val="000000"/>
                <w:sz w:val="16"/>
                <w:szCs w:val="16"/>
              </w:rPr>
              <w:t xml:space="preserve">▼</w:t>
            </w:r>
          </w:p>
        </w:tc>
        <w:tc>
          <w:tcPr>
            <w:tcW w:type="dxa" w:w="560"/>
            <w:tcBorders>
              <w:top w:val="single" w:color="BFBFBF" w:sz="4"/>
              <w:left w:val="single" w:color="BFBFBF" w:sz="4"/>
              <w:bottom w:val="single" w:color="BFBFBF" w:sz="4"/>
              <w:right w:val="single" w:color="BFBFBF" w:sz="4"/>
            </w:tcBorders>
            <w:shd w:fill="D5EBD5" w:color="auto" w:val="clear"/>
            <w:tcMar>
              <w:top w:type="dxa" w:w="50"/>
              <w:left w:type="dxa" w:w="80"/>
              <w:bottom w:type="dxa" w:w="50"/>
              <w:right w:type="dxa" w:w="80"/>
            </w:tcMar>
          </w:tcPr>
          <w:p>
            <w:pPr>
              <w:jc w:val="center"/>
            </w:pPr>
            <w:r>
              <w:rPr>
                <w:rFonts w:ascii="Calibri" w:cs="Calibri" w:eastAsia="Calibri" w:hAnsi="Calibri"/>
                <w:color w:val="000000"/>
                <w:sz w:val="16"/>
                <w:szCs w:val="16"/>
              </w:rPr>
              <w:t xml:space="preserve">▲</w:t>
            </w:r>
          </w:p>
        </w:tc>
        <w:tc>
          <w:tcPr>
            <w:tcW w:type="dxa" w:w="560"/>
            <w:tcBorders>
              <w:top w:val="single" w:color="BFBFBF" w:sz="4"/>
              <w:left w:val="single" w:color="BFBFBF" w:sz="4"/>
              <w:bottom w:val="single" w:color="BFBFBF" w:sz="4"/>
              <w:right w:val="single" w:color="BFBFBF" w:sz="4"/>
            </w:tcBorders>
            <w:shd w:fill="D5EBD5" w:color="auto" w:val="clear"/>
            <w:tcMar>
              <w:top w:type="dxa" w:w="50"/>
              <w:left w:type="dxa" w:w="80"/>
              <w:bottom w:type="dxa" w:w="50"/>
              <w:right w:type="dxa" w:w="80"/>
            </w:tcMar>
          </w:tcPr>
          <w:p>
            <w:pPr>
              <w:jc w:val="center"/>
            </w:pPr>
            <w:r>
              <w:rPr>
                <w:rFonts w:ascii="Calibri" w:cs="Calibri" w:eastAsia="Calibri" w:hAnsi="Calibri"/>
                <w:color w:val="000000"/>
                <w:sz w:val="16"/>
                <w:szCs w:val="16"/>
              </w:rPr>
              <w:t xml:space="preserve">▲</w:t>
            </w:r>
          </w:p>
        </w:tc>
        <w:tc>
          <w:tcPr>
            <w:tcW w:type="dxa" w:w="600"/>
            <w:tcBorders>
              <w:top w:val="single" w:color="BFBFBF" w:sz="4"/>
              <w:left w:val="single" w:color="BFBFBF" w:sz="4"/>
              <w:bottom w:val="single" w:color="BFBFBF" w:sz="4"/>
              <w:right w:val="single" w:color="BFBFBF" w:sz="4"/>
            </w:tcBorders>
            <w:shd w:fill="D5EBD5" w:color="auto" w:val="clear"/>
            <w:tcMar>
              <w:top w:type="dxa" w:w="50"/>
              <w:left w:type="dxa" w:w="80"/>
              <w:bottom w:type="dxa" w:w="50"/>
              <w:right w:type="dxa" w:w="80"/>
            </w:tcMar>
          </w:tcPr>
          <w:p>
            <w:pPr>
              <w:jc w:val="center"/>
            </w:pPr>
            <w:r>
              <w:rPr>
                <w:rFonts w:ascii="Calibri" w:cs="Calibri" w:eastAsia="Calibri" w:hAnsi="Calibri"/>
                <w:color w:val="000000"/>
                <w:sz w:val="16"/>
                <w:szCs w:val="16"/>
              </w:rPr>
              <w:t xml:space="preserve">▲</w:t>
            </w:r>
          </w:p>
        </w:tc>
        <w:tc>
          <w:tcPr>
            <w:tcW w:type="dxa" w:w="560"/>
            <w:tcBorders>
              <w:top w:val="single" w:color="BFBFBF" w:sz="4"/>
              <w:left w:val="single" w:color="BFBFBF" w:sz="4"/>
              <w:bottom w:val="single" w:color="BFBFBF" w:sz="4"/>
              <w:right w:val="single" w:color="BFBFBF" w:sz="4"/>
            </w:tcBorders>
            <w:shd w:fill="D5EBD5" w:color="auto" w:val="clear"/>
            <w:tcMar>
              <w:top w:type="dxa" w:w="50"/>
              <w:left w:type="dxa" w:w="80"/>
              <w:bottom w:type="dxa" w:w="50"/>
              <w:right w:type="dxa" w:w="80"/>
            </w:tcMar>
          </w:tcPr>
          <w:p>
            <w:pPr>
              <w:jc w:val="center"/>
            </w:pPr>
            <w:r>
              <w:rPr>
                <w:rFonts w:ascii="Calibri" w:cs="Calibri" w:eastAsia="Calibri" w:hAnsi="Calibri"/>
                <w:color w:val="000000"/>
                <w:sz w:val="16"/>
                <w:szCs w:val="16"/>
              </w:rPr>
              <w:t xml:space="preserve">▲</w:t>
            </w:r>
          </w:p>
        </w:tc>
        <w:tc>
          <w:tcPr>
            <w:tcW w:type="dxa" w:w="560"/>
            <w:tcBorders>
              <w:top w:val="single" w:color="BFBFBF" w:sz="4"/>
              <w:left w:val="single" w:color="BFBFBF" w:sz="4"/>
              <w:bottom w:val="single" w:color="BFBFBF" w:sz="4"/>
              <w:right w:val="single" w:color="BFBFBF" w:sz="4"/>
            </w:tcBorders>
            <w:shd w:fill="D5EBD5" w:color="auto" w:val="clear"/>
            <w:tcMar>
              <w:top w:type="dxa" w:w="50"/>
              <w:left w:type="dxa" w:w="80"/>
              <w:bottom w:type="dxa" w:w="50"/>
              <w:right w:type="dxa" w:w="80"/>
            </w:tcMar>
          </w:tcPr>
          <w:p>
            <w:pPr>
              <w:jc w:val="center"/>
            </w:pPr>
            <w:r>
              <w:rPr>
                <w:rFonts w:ascii="Calibri" w:cs="Calibri" w:eastAsia="Calibri" w:hAnsi="Calibri"/>
                <w:color w:val="000000"/>
                <w:sz w:val="16"/>
                <w:szCs w:val="16"/>
              </w:rPr>
              <w:t xml:space="preserve">▲</w:t>
            </w:r>
          </w:p>
        </w:tc>
        <w:tc>
          <w:tcPr>
            <w:tcW w:type="dxa" w:w="680"/>
            <w:tcBorders>
              <w:top w:val="single" w:color="BFBFBF" w:sz="4"/>
              <w:left w:val="single" w:color="BFBFBF" w:sz="4"/>
              <w:bottom w:val="single" w:color="BFBFBF" w:sz="4"/>
              <w:right w:val="single" w:color="BFBFBF" w:sz="4"/>
            </w:tcBorders>
            <w:shd w:fill="D5EBD5" w:color="auto" w:val="clear"/>
            <w:tcMar>
              <w:top w:type="dxa" w:w="50"/>
              <w:left w:type="dxa" w:w="80"/>
              <w:bottom w:type="dxa" w:w="50"/>
              <w:right w:type="dxa" w:w="80"/>
            </w:tcMar>
          </w:tcPr>
          <w:p>
            <w:pPr>
              <w:jc w:val="center"/>
            </w:pPr>
            <w:r>
              <w:rPr>
                <w:rFonts w:ascii="Calibri" w:cs="Calibri" w:eastAsia="Calibri" w:hAnsi="Calibri"/>
                <w:color w:val="000000"/>
                <w:sz w:val="16"/>
                <w:szCs w:val="16"/>
              </w:rPr>
              <w:t xml:space="preserve">▲</w:t>
            </w:r>
          </w:p>
        </w:tc>
        <w:tc>
          <w:tcPr>
            <w:tcW w:type="dxa" w:w="846"/>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6"/>
                <w:szCs w:val="16"/>
              </w:rPr>
              <w:t xml:space="preserve">10/12</w:t>
            </w:r>
          </w:p>
        </w:tc>
      </w:tr>
      <w:tr>
        <w:trPr>
          <w:cantSplit/>
        </w:trPr>
        <w:tc>
          <w:tcPr>
            <w:tcW w:type="dxa" w:w="11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6"/>
                <w:szCs w:val="16"/>
              </w:rPr>
              <w:t xml:space="preserve">INFY</w:t>
            </w:r>
          </w:p>
        </w:tc>
        <w:tc>
          <w:tcPr>
            <w:tcW w:type="dxa" w:w="560"/>
            <w:tcBorders>
              <w:top w:val="single" w:color="BFBFBF" w:sz="4"/>
              <w:left w:val="single" w:color="BFBFBF" w:sz="4"/>
              <w:bottom w:val="single" w:color="BFBFBF" w:sz="4"/>
              <w:right w:val="single" w:color="BFBFBF" w:sz="4"/>
            </w:tcBorders>
            <w:shd w:fill="F6D5D5" w:color="auto" w:val="clear"/>
            <w:tcMar>
              <w:top w:type="dxa" w:w="50"/>
              <w:left w:type="dxa" w:w="80"/>
              <w:bottom w:type="dxa" w:w="50"/>
              <w:right w:type="dxa" w:w="80"/>
            </w:tcMar>
          </w:tcPr>
          <w:p>
            <w:pPr>
              <w:jc w:val="center"/>
            </w:pPr>
            <w:r>
              <w:rPr>
                <w:rFonts w:ascii="Calibri" w:cs="Calibri" w:eastAsia="Calibri" w:hAnsi="Calibri"/>
                <w:color w:val="000000"/>
                <w:sz w:val="16"/>
                <w:szCs w:val="16"/>
              </w:rPr>
              <w:t xml:space="preserve">▼</w:t>
            </w:r>
          </w:p>
        </w:tc>
        <w:tc>
          <w:tcPr>
            <w:tcW w:type="dxa" w:w="560"/>
            <w:tcBorders>
              <w:top w:val="single" w:color="BFBFBF" w:sz="4"/>
              <w:left w:val="single" w:color="BFBFBF" w:sz="4"/>
              <w:bottom w:val="single" w:color="BFBFBF" w:sz="4"/>
              <w:right w:val="single" w:color="BFBFBF" w:sz="4"/>
            </w:tcBorders>
            <w:shd w:fill="F6D5D5" w:color="auto" w:val="clear"/>
            <w:tcMar>
              <w:top w:type="dxa" w:w="50"/>
              <w:left w:type="dxa" w:w="80"/>
              <w:bottom w:type="dxa" w:w="50"/>
              <w:right w:type="dxa" w:w="80"/>
            </w:tcMar>
          </w:tcPr>
          <w:p>
            <w:pPr>
              <w:jc w:val="center"/>
            </w:pPr>
            <w:r>
              <w:rPr>
                <w:rFonts w:ascii="Calibri" w:cs="Calibri" w:eastAsia="Calibri" w:hAnsi="Calibri"/>
                <w:color w:val="000000"/>
                <w:sz w:val="16"/>
                <w:szCs w:val="16"/>
              </w:rPr>
              <w:t xml:space="preserve">▼</w:t>
            </w:r>
          </w:p>
        </w:tc>
        <w:tc>
          <w:tcPr>
            <w:tcW w:type="dxa" w:w="560"/>
            <w:tcBorders>
              <w:top w:val="single" w:color="BFBFBF" w:sz="4"/>
              <w:left w:val="single" w:color="BFBFBF" w:sz="4"/>
              <w:bottom w:val="single" w:color="BFBFBF" w:sz="4"/>
              <w:right w:val="single" w:color="BFBFBF" w:sz="4"/>
            </w:tcBorders>
            <w:shd w:fill="F6D5D5" w:color="auto" w:val="clear"/>
            <w:tcMar>
              <w:top w:type="dxa" w:w="50"/>
              <w:left w:type="dxa" w:w="80"/>
              <w:bottom w:type="dxa" w:w="50"/>
              <w:right w:type="dxa" w:w="80"/>
            </w:tcMar>
          </w:tcPr>
          <w:p>
            <w:pPr>
              <w:jc w:val="center"/>
            </w:pPr>
            <w:r>
              <w:rPr>
                <w:rFonts w:ascii="Calibri" w:cs="Calibri" w:eastAsia="Calibri" w:hAnsi="Calibri"/>
                <w:color w:val="000000"/>
                <w:sz w:val="16"/>
                <w:szCs w:val="16"/>
              </w:rPr>
              <w:t xml:space="preserve">▼</w:t>
            </w:r>
          </w:p>
        </w:tc>
        <w:tc>
          <w:tcPr>
            <w:tcW w:type="dxa" w:w="600"/>
            <w:tcBorders>
              <w:top w:val="single" w:color="BFBFBF" w:sz="4"/>
              <w:left w:val="single" w:color="BFBFBF" w:sz="4"/>
              <w:bottom w:val="single" w:color="BFBFBF" w:sz="4"/>
              <w:right w:val="single" w:color="BFBFBF" w:sz="4"/>
            </w:tcBorders>
            <w:shd w:fill="F6D5D5" w:color="auto" w:val="clear"/>
            <w:tcMar>
              <w:top w:type="dxa" w:w="50"/>
              <w:left w:type="dxa" w:w="80"/>
              <w:bottom w:type="dxa" w:w="50"/>
              <w:right w:type="dxa" w:w="80"/>
            </w:tcMar>
          </w:tcPr>
          <w:p>
            <w:pPr>
              <w:jc w:val="center"/>
            </w:pPr>
            <w:r>
              <w:rPr>
                <w:rFonts w:ascii="Calibri" w:cs="Calibri" w:eastAsia="Calibri" w:hAnsi="Calibri"/>
                <w:color w:val="000000"/>
                <w:sz w:val="16"/>
                <w:szCs w:val="16"/>
              </w:rPr>
              <w:t xml:space="preserve">▼</w:t>
            </w:r>
          </w:p>
        </w:tc>
        <w:tc>
          <w:tcPr>
            <w:tcW w:type="dxa" w:w="520"/>
            <w:tcBorders>
              <w:top w:val="single" w:color="BFBFBF" w:sz="4"/>
              <w:left w:val="single" w:color="BFBFBF" w:sz="4"/>
              <w:bottom w:val="single" w:color="BFBFBF" w:sz="4"/>
              <w:right w:val="single" w:color="BFBFBF" w:sz="4"/>
            </w:tcBorders>
            <w:shd w:fill="F6D5D5" w:color="auto" w:val="clear"/>
            <w:tcMar>
              <w:top w:type="dxa" w:w="50"/>
              <w:left w:type="dxa" w:w="80"/>
              <w:bottom w:type="dxa" w:w="50"/>
              <w:right w:type="dxa" w:w="80"/>
            </w:tcMar>
          </w:tcPr>
          <w:p>
            <w:pPr>
              <w:jc w:val="center"/>
            </w:pPr>
            <w:r>
              <w:rPr>
                <w:rFonts w:ascii="Calibri" w:cs="Calibri" w:eastAsia="Calibri" w:hAnsi="Calibri"/>
                <w:color w:val="000000"/>
                <w:sz w:val="16"/>
                <w:szCs w:val="16"/>
              </w:rPr>
              <w:t xml:space="preserve">▼</w:t>
            </w:r>
          </w:p>
        </w:tc>
        <w:tc>
          <w:tcPr>
            <w:tcW w:type="dxa" w:w="620"/>
            <w:tcBorders>
              <w:top w:val="single" w:color="BFBFBF" w:sz="4"/>
              <w:left w:val="single" w:color="BFBFBF" w:sz="4"/>
              <w:bottom w:val="single" w:color="BFBFBF" w:sz="4"/>
              <w:right w:val="single" w:color="BFBFBF" w:sz="4"/>
            </w:tcBorders>
            <w:shd w:fill="F6D5D5" w:color="auto" w:val="clear"/>
            <w:tcMar>
              <w:top w:type="dxa" w:w="50"/>
              <w:left w:type="dxa" w:w="80"/>
              <w:bottom w:type="dxa" w:w="50"/>
              <w:right w:type="dxa" w:w="80"/>
            </w:tcMar>
          </w:tcPr>
          <w:p>
            <w:pPr>
              <w:jc w:val="center"/>
            </w:pPr>
            <w:r>
              <w:rPr>
                <w:rFonts w:ascii="Calibri" w:cs="Calibri" w:eastAsia="Calibri" w:hAnsi="Calibri"/>
                <w:color w:val="000000"/>
                <w:sz w:val="16"/>
                <w:szCs w:val="16"/>
              </w:rPr>
              <w:t xml:space="preserve">▼</w:t>
            </w:r>
          </w:p>
        </w:tc>
        <w:tc>
          <w:tcPr>
            <w:tcW w:type="dxa" w:w="560"/>
            <w:tcBorders>
              <w:top w:val="single" w:color="BFBFBF" w:sz="4"/>
              <w:left w:val="single" w:color="BFBFBF" w:sz="4"/>
              <w:bottom w:val="single" w:color="BFBFBF" w:sz="4"/>
              <w:right w:val="single" w:color="BFBFBF" w:sz="4"/>
            </w:tcBorders>
            <w:shd w:fill="F6D5D5" w:color="auto" w:val="clear"/>
            <w:tcMar>
              <w:top w:type="dxa" w:w="50"/>
              <w:left w:type="dxa" w:w="80"/>
              <w:bottom w:type="dxa" w:w="50"/>
              <w:right w:type="dxa" w:w="80"/>
            </w:tcMar>
          </w:tcPr>
          <w:p>
            <w:pPr>
              <w:jc w:val="center"/>
            </w:pPr>
            <w:r>
              <w:rPr>
                <w:rFonts w:ascii="Calibri" w:cs="Calibri" w:eastAsia="Calibri" w:hAnsi="Calibri"/>
                <w:color w:val="000000"/>
                <w:sz w:val="16"/>
                <w:szCs w:val="16"/>
              </w:rPr>
              <w:t xml:space="preserve">▼</w:t>
            </w:r>
          </w:p>
        </w:tc>
        <w:tc>
          <w:tcPr>
            <w:tcW w:type="dxa" w:w="560"/>
            <w:tcBorders>
              <w:top w:val="single" w:color="BFBFBF" w:sz="4"/>
              <w:left w:val="single" w:color="BFBFBF" w:sz="4"/>
              <w:bottom w:val="single" w:color="BFBFBF" w:sz="4"/>
              <w:right w:val="single" w:color="BFBFBF" w:sz="4"/>
            </w:tcBorders>
            <w:shd w:fill="F6D5D5" w:color="auto" w:val="clear"/>
            <w:tcMar>
              <w:top w:type="dxa" w:w="50"/>
              <w:left w:type="dxa" w:w="80"/>
              <w:bottom w:type="dxa" w:w="50"/>
              <w:right w:type="dxa" w:w="80"/>
            </w:tcMar>
          </w:tcPr>
          <w:p>
            <w:pPr>
              <w:jc w:val="center"/>
            </w:pPr>
            <w:r>
              <w:rPr>
                <w:rFonts w:ascii="Calibri" w:cs="Calibri" w:eastAsia="Calibri" w:hAnsi="Calibri"/>
                <w:color w:val="000000"/>
                <w:sz w:val="16"/>
                <w:szCs w:val="16"/>
              </w:rPr>
              <w:t xml:space="preserve">▼</w:t>
            </w:r>
          </w:p>
        </w:tc>
        <w:tc>
          <w:tcPr>
            <w:tcW w:type="dxa" w:w="600"/>
            <w:tcBorders>
              <w:top w:val="single" w:color="BFBFBF" w:sz="4"/>
              <w:left w:val="single" w:color="BFBFBF" w:sz="4"/>
              <w:bottom w:val="single" w:color="BFBFBF" w:sz="4"/>
              <w:right w:val="single" w:color="BFBFBF" w:sz="4"/>
            </w:tcBorders>
            <w:shd w:fill="F6D5D5" w:color="auto" w:val="clear"/>
            <w:tcMar>
              <w:top w:type="dxa" w:w="50"/>
              <w:left w:type="dxa" w:w="80"/>
              <w:bottom w:type="dxa" w:w="50"/>
              <w:right w:type="dxa" w:w="80"/>
            </w:tcMar>
          </w:tcPr>
          <w:p>
            <w:pPr>
              <w:jc w:val="center"/>
            </w:pPr>
            <w:r>
              <w:rPr>
                <w:rFonts w:ascii="Calibri" w:cs="Calibri" w:eastAsia="Calibri" w:hAnsi="Calibri"/>
                <w:color w:val="000000"/>
                <w:sz w:val="16"/>
                <w:szCs w:val="16"/>
              </w:rPr>
              <w:t xml:space="preserve">▼</w:t>
            </w:r>
          </w:p>
        </w:tc>
        <w:tc>
          <w:tcPr>
            <w:tcW w:type="dxa" w:w="560"/>
            <w:tcBorders>
              <w:top w:val="single" w:color="BFBFBF" w:sz="4"/>
              <w:left w:val="single" w:color="BFBFBF" w:sz="4"/>
              <w:bottom w:val="single" w:color="BFBFBF" w:sz="4"/>
              <w:right w:val="single" w:color="BFBFBF" w:sz="4"/>
            </w:tcBorders>
            <w:shd w:fill="F6D5D5" w:color="auto" w:val="clear"/>
            <w:tcMar>
              <w:top w:type="dxa" w:w="50"/>
              <w:left w:type="dxa" w:w="80"/>
              <w:bottom w:type="dxa" w:w="50"/>
              <w:right w:type="dxa" w:w="80"/>
            </w:tcMar>
          </w:tcPr>
          <w:p>
            <w:pPr>
              <w:jc w:val="center"/>
            </w:pPr>
            <w:r>
              <w:rPr>
                <w:rFonts w:ascii="Calibri" w:cs="Calibri" w:eastAsia="Calibri" w:hAnsi="Calibri"/>
                <w:color w:val="000000"/>
                <w:sz w:val="16"/>
                <w:szCs w:val="16"/>
              </w:rPr>
              <w:t xml:space="preserve">▼</w:t>
            </w:r>
          </w:p>
        </w:tc>
        <w:tc>
          <w:tcPr>
            <w:tcW w:type="dxa" w:w="560"/>
            <w:tcBorders>
              <w:top w:val="single" w:color="BFBFBF" w:sz="4"/>
              <w:left w:val="single" w:color="BFBFBF" w:sz="4"/>
              <w:bottom w:val="single" w:color="BFBFBF" w:sz="4"/>
              <w:right w:val="single" w:color="BFBFBF" w:sz="4"/>
            </w:tcBorders>
            <w:shd w:fill="F6D5D5" w:color="auto" w:val="clear"/>
            <w:tcMar>
              <w:top w:type="dxa" w:w="50"/>
              <w:left w:type="dxa" w:w="80"/>
              <w:bottom w:type="dxa" w:w="50"/>
              <w:right w:type="dxa" w:w="80"/>
            </w:tcMar>
          </w:tcPr>
          <w:p>
            <w:pPr>
              <w:jc w:val="center"/>
            </w:pPr>
            <w:r>
              <w:rPr>
                <w:rFonts w:ascii="Calibri" w:cs="Calibri" w:eastAsia="Calibri" w:hAnsi="Calibri"/>
                <w:color w:val="000000"/>
                <w:sz w:val="16"/>
                <w:szCs w:val="16"/>
              </w:rPr>
              <w:t xml:space="preserve">▼</w:t>
            </w:r>
          </w:p>
        </w:tc>
        <w:tc>
          <w:tcPr>
            <w:tcW w:type="dxa" w:w="680"/>
            <w:tcBorders>
              <w:top w:val="single" w:color="BFBFBF" w:sz="4"/>
              <w:left w:val="single" w:color="BFBFBF" w:sz="4"/>
              <w:bottom w:val="single" w:color="BFBFBF" w:sz="4"/>
              <w:right w:val="single" w:color="BFBFBF" w:sz="4"/>
            </w:tcBorders>
            <w:shd w:fill="F6D5D5" w:color="auto" w:val="clear"/>
            <w:tcMar>
              <w:top w:type="dxa" w:w="50"/>
              <w:left w:type="dxa" w:w="80"/>
              <w:bottom w:type="dxa" w:w="50"/>
              <w:right w:type="dxa" w:w="80"/>
            </w:tcMar>
          </w:tcPr>
          <w:p>
            <w:pPr>
              <w:jc w:val="center"/>
            </w:pPr>
            <w:r>
              <w:rPr>
                <w:rFonts w:ascii="Calibri" w:cs="Calibri" w:eastAsia="Calibri" w:hAnsi="Calibri"/>
                <w:color w:val="000000"/>
                <w:sz w:val="16"/>
                <w:szCs w:val="16"/>
              </w:rPr>
              <w:t xml:space="preserve">▼</w:t>
            </w:r>
          </w:p>
        </w:tc>
        <w:tc>
          <w:tcPr>
            <w:tcW w:type="dxa" w:w="84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6"/>
                <w:szCs w:val="16"/>
              </w:rPr>
              <w:t xml:space="preserve">0/12</w:t>
            </w:r>
          </w:p>
        </w:tc>
      </w:tr>
      <w:tr>
        <w:trPr>
          <w:cantSplit/>
        </w:trPr>
        <w:tc>
          <w:tcPr>
            <w:tcW w:type="dxa" w:w="118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color w:val="000000"/>
                <w:sz w:val="16"/>
                <w:szCs w:val="16"/>
              </w:rPr>
              <w:t xml:space="preserve">ITC</w:t>
            </w:r>
          </w:p>
        </w:tc>
        <w:tc>
          <w:tcPr>
            <w:tcW w:type="dxa" w:w="560"/>
            <w:tcBorders>
              <w:top w:val="single" w:color="BFBFBF" w:sz="4"/>
              <w:left w:val="single" w:color="BFBFBF" w:sz="4"/>
              <w:bottom w:val="single" w:color="BFBFBF" w:sz="4"/>
              <w:right w:val="single" w:color="BFBFBF" w:sz="4"/>
            </w:tcBorders>
            <w:shd w:fill="F6D5D5" w:color="auto" w:val="clear"/>
            <w:tcMar>
              <w:top w:type="dxa" w:w="50"/>
              <w:left w:type="dxa" w:w="80"/>
              <w:bottom w:type="dxa" w:w="50"/>
              <w:right w:type="dxa" w:w="80"/>
            </w:tcMar>
          </w:tcPr>
          <w:p>
            <w:pPr>
              <w:jc w:val="center"/>
            </w:pPr>
            <w:r>
              <w:rPr>
                <w:rFonts w:ascii="Calibri" w:cs="Calibri" w:eastAsia="Calibri" w:hAnsi="Calibri"/>
                <w:color w:val="000000"/>
                <w:sz w:val="16"/>
                <w:szCs w:val="16"/>
              </w:rPr>
              <w:t xml:space="preserve">▼</w:t>
            </w:r>
          </w:p>
        </w:tc>
        <w:tc>
          <w:tcPr>
            <w:tcW w:type="dxa" w:w="560"/>
            <w:tcBorders>
              <w:top w:val="single" w:color="BFBFBF" w:sz="4"/>
              <w:left w:val="single" w:color="BFBFBF" w:sz="4"/>
              <w:bottom w:val="single" w:color="BFBFBF" w:sz="4"/>
              <w:right w:val="single" w:color="BFBFBF" w:sz="4"/>
            </w:tcBorders>
            <w:shd w:fill="F6D5D5" w:color="auto" w:val="clear"/>
            <w:tcMar>
              <w:top w:type="dxa" w:w="50"/>
              <w:left w:type="dxa" w:w="80"/>
              <w:bottom w:type="dxa" w:w="50"/>
              <w:right w:type="dxa" w:w="80"/>
            </w:tcMar>
          </w:tcPr>
          <w:p>
            <w:pPr>
              <w:jc w:val="center"/>
            </w:pPr>
            <w:r>
              <w:rPr>
                <w:rFonts w:ascii="Calibri" w:cs="Calibri" w:eastAsia="Calibri" w:hAnsi="Calibri"/>
                <w:color w:val="000000"/>
                <w:sz w:val="16"/>
                <w:szCs w:val="16"/>
              </w:rPr>
              <w:t xml:space="preserve">▼</w:t>
            </w:r>
          </w:p>
        </w:tc>
        <w:tc>
          <w:tcPr>
            <w:tcW w:type="dxa" w:w="560"/>
            <w:tcBorders>
              <w:top w:val="single" w:color="BFBFBF" w:sz="4"/>
              <w:left w:val="single" w:color="BFBFBF" w:sz="4"/>
              <w:bottom w:val="single" w:color="BFBFBF" w:sz="4"/>
              <w:right w:val="single" w:color="BFBFBF" w:sz="4"/>
            </w:tcBorders>
            <w:shd w:fill="D5EBD5" w:color="auto" w:val="clear"/>
            <w:tcMar>
              <w:top w:type="dxa" w:w="50"/>
              <w:left w:type="dxa" w:w="80"/>
              <w:bottom w:type="dxa" w:w="50"/>
              <w:right w:type="dxa" w:w="80"/>
            </w:tcMar>
          </w:tcPr>
          <w:p>
            <w:pPr>
              <w:jc w:val="center"/>
            </w:pPr>
            <w:r>
              <w:rPr>
                <w:rFonts w:ascii="Calibri" w:cs="Calibri" w:eastAsia="Calibri" w:hAnsi="Calibri"/>
                <w:color w:val="000000"/>
                <w:sz w:val="16"/>
                <w:szCs w:val="16"/>
              </w:rPr>
              <w:t xml:space="preserve">▲</w:t>
            </w:r>
          </w:p>
        </w:tc>
        <w:tc>
          <w:tcPr>
            <w:tcW w:type="dxa" w:w="600"/>
            <w:tcBorders>
              <w:top w:val="single" w:color="BFBFBF" w:sz="4"/>
              <w:left w:val="single" w:color="BFBFBF" w:sz="4"/>
              <w:bottom w:val="single" w:color="BFBFBF" w:sz="4"/>
              <w:right w:val="single" w:color="BFBFBF" w:sz="4"/>
            </w:tcBorders>
            <w:shd w:fill="D5EBD5" w:color="auto" w:val="clear"/>
            <w:tcMar>
              <w:top w:type="dxa" w:w="50"/>
              <w:left w:type="dxa" w:w="80"/>
              <w:bottom w:type="dxa" w:w="50"/>
              <w:right w:type="dxa" w:w="80"/>
            </w:tcMar>
          </w:tcPr>
          <w:p>
            <w:pPr>
              <w:jc w:val="center"/>
            </w:pPr>
            <w:r>
              <w:rPr>
                <w:rFonts w:ascii="Calibri" w:cs="Calibri" w:eastAsia="Calibri" w:hAnsi="Calibri"/>
                <w:color w:val="000000"/>
                <w:sz w:val="16"/>
                <w:szCs w:val="16"/>
              </w:rPr>
              <w:t xml:space="preserve">▲</w:t>
            </w:r>
          </w:p>
        </w:tc>
        <w:tc>
          <w:tcPr>
            <w:tcW w:type="dxa" w:w="520"/>
            <w:tcBorders>
              <w:top w:val="single" w:color="BFBFBF" w:sz="4"/>
              <w:left w:val="single" w:color="BFBFBF" w:sz="4"/>
              <w:bottom w:val="single" w:color="BFBFBF" w:sz="4"/>
              <w:right w:val="single" w:color="BFBFBF" w:sz="4"/>
            </w:tcBorders>
            <w:shd w:fill="D5EBD5" w:color="auto" w:val="clear"/>
            <w:tcMar>
              <w:top w:type="dxa" w:w="50"/>
              <w:left w:type="dxa" w:w="80"/>
              <w:bottom w:type="dxa" w:w="50"/>
              <w:right w:type="dxa" w:w="80"/>
            </w:tcMar>
          </w:tcPr>
          <w:p>
            <w:pPr>
              <w:jc w:val="center"/>
            </w:pPr>
            <w:r>
              <w:rPr>
                <w:rFonts w:ascii="Calibri" w:cs="Calibri" w:eastAsia="Calibri" w:hAnsi="Calibri"/>
                <w:color w:val="000000"/>
                <w:sz w:val="16"/>
                <w:szCs w:val="16"/>
              </w:rPr>
              <w:t xml:space="preserve">▲</w:t>
            </w:r>
          </w:p>
        </w:tc>
        <w:tc>
          <w:tcPr>
            <w:tcW w:type="dxa" w:w="620"/>
            <w:tcBorders>
              <w:top w:val="single" w:color="BFBFBF" w:sz="4"/>
              <w:left w:val="single" w:color="BFBFBF" w:sz="4"/>
              <w:bottom w:val="single" w:color="BFBFBF" w:sz="4"/>
              <w:right w:val="single" w:color="BFBFBF" w:sz="4"/>
            </w:tcBorders>
            <w:shd w:fill="D5EBD5" w:color="auto" w:val="clear"/>
            <w:tcMar>
              <w:top w:type="dxa" w:w="50"/>
              <w:left w:type="dxa" w:w="80"/>
              <w:bottom w:type="dxa" w:w="50"/>
              <w:right w:type="dxa" w:w="80"/>
            </w:tcMar>
          </w:tcPr>
          <w:p>
            <w:pPr>
              <w:jc w:val="center"/>
            </w:pPr>
            <w:r>
              <w:rPr>
                <w:rFonts w:ascii="Calibri" w:cs="Calibri" w:eastAsia="Calibri" w:hAnsi="Calibri"/>
                <w:color w:val="000000"/>
                <w:sz w:val="16"/>
                <w:szCs w:val="16"/>
              </w:rPr>
              <w:t xml:space="preserve">▲</w:t>
            </w:r>
          </w:p>
        </w:tc>
        <w:tc>
          <w:tcPr>
            <w:tcW w:type="dxa" w:w="560"/>
            <w:tcBorders>
              <w:top w:val="single" w:color="BFBFBF" w:sz="4"/>
              <w:left w:val="single" w:color="BFBFBF" w:sz="4"/>
              <w:bottom w:val="single" w:color="BFBFBF" w:sz="4"/>
              <w:right w:val="single" w:color="BFBFBF" w:sz="4"/>
            </w:tcBorders>
            <w:shd w:fill="F6D5D5" w:color="auto" w:val="clear"/>
            <w:tcMar>
              <w:top w:type="dxa" w:w="50"/>
              <w:left w:type="dxa" w:w="80"/>
              <w:bottom w:type="dxa" w:w="50"/>
              <w:right w:type="dxa" w:w="80"/>
            </w:tcMar>
          </w:tcPr>
          <w:p>
            <w:pPr>
              <w:jc w:val="center"/>
            </w:pPr>
            <w:r>
              <w:rPr>
                <w:rFonts w:ascii="Calibri" w:cs="Calibri" w:eastAsia="Calibri" w:hAnsi="Calibri"/>
                <w:color w:val="000000"/>
                <w:sz w:val="16"/>
                <w:szCs w:val="16"/>
              </w:rPr>
              <w:t xml:space="preserve">▼</w:t>
            </w:r>
          </w:p>
        </w:tc>
        <w:tc>
          <w:tcPr>
            <w:tcW w:type="dxa" w:w="560"/>
            <w:tcBorders>
              <w:top w:val="single" w:color="BFBFBF" w:sz="4"/>
              <w:left w:val="single" w:color="BFBFBF" w:sz="4"/>
              <w:bottom w:val="single" w:color="BFBFBF" w:sz="4"/>
              <w:right w:val="single" w:color="BFBFBF" w:sz="4"/>
            </w:tcBorders>
            <w:shd w:fill="F6D5D5" w:color="auto" w:val="clear"/>
            <w:tcMar>
              <w:top w:type="dxa" w:w="50"/>
              <w:left w:type="dxa" w:w="80"/>
              <w:bottom w:type="dxa" w:w="50"/>
              <w:right w:type="dxa" w:w="80"/>
            </w:tcMar>
          </w:tcPr>
          <w:p>
            <w:pPr>
              <w:jc w:val="center"/>
            </w:pPr>
            <w:r>
              <w:rPr>
                <w:rFonts w:ascii="Calibri" w:cs="Calibri" w:eastAsia="Calibri" w:hAnsi="Calibri"/>
                <w:color w:val="000000"/>
                <w:sz w:val="16"/>
                <w:szCs w:val="16"/>
              </w:rPr>
              <w:t xml:space="preserve">▼</w:t>
            </w:r>
          </w:p>
        </w:tc>
        <w:tc>
          <w:tcPr>
            <w:tcW w:type="dxa" w:w="600"/>
            <w:tcBorders>
              <w:top w:val="single" w:color="BFBFBF" w:sz="4"/>
              <w:left w:val="single" w:color="BFBFBF" w:sz="4"/>
              <w:bottom w:val="single" w:color="BFBFBF" w:sz="4"/>
              <w:right w:val="single" w:color="BFBFBF" w:sz="4"/>
            </w:tcBorders>
            <w:shd w:fill="F6D5D5" w:color="auto" w:val="clear"/>
            <w:tcMar>
              <w:top w:type="dxa" w:w="50"/>
              <w:left w:type="dxa" w:w="80"/>
              <w:bottom w:type="dxa" w:w="50"/>
              <w:right w:type="dxa" w:w="80"/>
            </w:tcMar>
          </w:tcPr>
          <w:p>
            <w:pPr>
              <w:jc w:val="center"/>
            </w:pPr>
            <w:r>
              <w:rPr>
                <w:rFonts w:ascii="Calibri" w:cs="Calibri" w:eastAsia="Calibri" w:hAnsi="Calibri"/>
                <w:color w:val="000000"/>
                <w:sz w:val="16"/>
                <w:szCs w:val="16"/>
              </w:rPr>
              <w:t xml:space="preserve">▼</w:t>
            </w:r>
          </w:p>
        </w:tc>
        <w:tc>
          <w:tcPr>
            <w:tcW w:type="dxa" w:w="560"/>
            <w:tcBorders>
              <w:top w:val="single" w:color="BFBFBF" w:sz="4"/>
              <w:left w:val="single" w:color="BFBFBF" w:sz="4"/>
              <w:bottom w:val="single" w:color="BFBFBF" w:sz="4"/>
              <w:right w:val="single" w:color="BFBFBF" w:sz="4"/>
            </w:tcBorders>
            <w:shd w:fill="D5EBD5" w:color="auto" w:val="clear"/>
            <w:tcMar>
              <w:top w:type="dxa" w:w="50"/>
              <w:left w:type="dxa" w:w="80"/>
              <w:bottom w:type="dxa" w:w="50"/>
              <w:right w:type="dxa" w:w="80"/>
            </w:tcMar>
          </w:tcPr>
          <w:p>
            <w:pPr>
              <w:jc w:val="center"/>
            </w:pPr>
            <w:r>
              <w:rPr>
                <w:rFonts w:ascii="Calibri" w:cs="Calibri" w:eastAsia="Calibri" w:hAnsi="Calibri"/>
                <w:color w:val="000000"/>
                <w:sz w:val="16"/>
                <w:szCs w:val="16"/>
              </w:rPr>
              <w:t xml:space="preserve">▲</w:t>
            </w:r>
          </w:p>
        </w:tc>
        <w:tc>
          <w:tcPr>
            <w:tcW w:type="dxa" w:w="560"/>
            <w:tcBorders>
              <w:top w:val="single" w:color="BFBFBF" w:sz="4"/>
              <w:left w:val="single" w:color="BFBFBF" w:sz="4"/>
              <w:bottom w:val="single" w:color="BFBFBF" w:sz="4"/>
              <w:right w:val="single" w:color="BFBFBF" w:sz="4"/>
            </w:tcBorders>
            <w:shd w:fill="D5EBD5" w:color="auto" w:val="clear"/>
            <w:tcMar>
              <w:top w:type="dxa" w:w="50"/>
              <w:left w:type="dxa" w:w="80"/>
              <w:bottom w:type="dxa" w:w="50"/>
              <w:right w:type="dxa" w:w="80"/>
            </w:tcMar>
          </w:tcPr>
          <w:p>
            <w:pPr>
              <w:jc w:val="center"/>
            </w:pPr>
            <w:r>
              <w:rPr>
                <w:rFonts w:ascii="Calibri" w:cs="Calibri" w:eastAsia="Calibri" w:hAnsi="Calibri"/>
                <w:color w:val="000000"/>
                <w:sz w:val="16"/>
                <w:szCs w:val="16"/>
              </w:rPr>
              <w:t xml:space="preserve">▲</w:t>
            </w:r>
          </w:p>
        </w:tc>
        <w:tc>
          <w:tcPr>
            <w:tcW w:type="dxa" w:w="680"/>
            <w:tcBorders>
              <w:top w:val="single" w:color="BFBFBF" w:sz="4"/>
              <w:left w:val="single" w:color="BFBFBF" w:sz="4"/>
              <w:bottom w:val="single" w:color="BFBFBF" w:sz="4"/>
              <w:right w:val="single" w:color="BFBFBF" w:sz="4"/>
            </w:tcBorders>
            <w:shd w:fill="D5EBD5" w:color="auto" w:val="clear"/>
            <w:tcMar>
              <w:top w:type="dxa" w:w="50"/>
              <w:left w:type="dxa" w:w="80"/>
              <w:bottom w:type="dxa" w:w="50"/>
              <w:right w:type="dxa" w:w="80"/>
            </w:tcMar>
          </w:tcPr>
          <w:p>
            <w:pPr>
              <w:jc w:val="center"/>
            </w:pPr>
            <w:r>
              <w:rPr>
                <w:rFonts w:ascii="Calibri" w:cs="Calibri" w:eastAsia="Calibri" w:hAnsi="Calibri"/>
                <w:color w:val="000000"/>
                <w:sz w:val="16"/>
                <w:szCs w:val="16"/>
              </w:rPr>
              <w:t xml:space="preserve">▲</w:t>
            </w:r>
          </w:p>
        </w:tc>
        <w:tc>
          <w:tcPr>
            <w:tcW w:type="dxa" w:w="846"/>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6"/>
                <w:szCs w:val="16"/>
              </w:rPr>
              <w:t xml:space="preserve">7/12</w:t>
            </w:r>
          </w:p>
        </w:tc>
      </w:tr>
      <w:tr>
        <w:trPr>
          <w:cantSplit/>
        </w:trPr>
        <w:tc>
          <w:tcPr>
            <w:tcW w:type="dxa" w:w="11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6"/>
                <w:szCs w:val="16"/>
              </w:rPr>
              <w:t xml:space="preserve">MARUTI</w:t>
            </w:r>
          </w:p>
        </w:tc>
        <w:tc>
          <w:tcPr>
            <w:tcW w:type="dxa" w:w="560"/>
            <w:tcBorders>
              <w:top w:val="single" w:color="BFBFBF" w:sz="4"/>
              <w:left w:val="single" w:color="BFBFBF" w:sz="4"/>
              <w:bottom w:val="single" w:color="BFBFBF" w:sz="4"/>
              <w:right w:val="single" w:color="BFBFBF" w:sz="4"/>
            </w:tcBorders>
            <w:shd w:fill="F6D5D5" w:color="auto" w:val="clear"/>
            <w:tcMar>
              <w:top w:type="dxa" w:w="50"/>
              <w:left w:type="dxa" w:w="80"/>
              <w:bottom w:type="dxa" w:w="50"/>
              <w:right w:type="dxa" w:w="80"/>
            </w:tcMar>
          </w:tcPr>
          <w:p>
            <w:pPr>
              <w:jc w:val="center"/>
            </w:pPr>
            <w:r>
              <w:rPr>
                <w:rFonts w:ascii="Calibri" w:cs="Calibri" w:eastAsia="Calibri" w:hAnsi="Calibri"/>
                <w:color w:val="000000"/>
                <w:sz w:val="16"/>
                <w:szCs w:val="16"/>
              </w:rPr>
              <w:t xml:space="preserve">▼</w:t>
            </w:r>
          </w:p>
        </w:tc>
        <w:tc>
          <w:tcPr>
            <w:tcW w:type="dxa" w:w="560"/>
            <w:tcBorders>
              <w:top w:val="single" w:color="BFBFBF" w:sz="4"/>
              <w:left w:val="single" w:color="BFBFBF" w:sz="4"/>
              <w:bottom w:val="single" w:color="BFBFBF" w:sz="4"/>
              <w:right w:val="single" w:color="BFBFBF" w:sz="4"/>
            </w:tcBorders>
            <w:shd w:fill="F6D5D5" w:color="auto" w:val="clear"/>
            <w:tcMar>
              <w:top w:type="dxa" w:w="50"/>
              <w:left w:type="dxa" w:w="80"/>
              <w:bottom w:type="dxa" w:w="50"/>
              <w:right w:type="dxa" w:w="80"/>
            </w:tcMar>
          </w:tcPr>
          <w:p>
            <w:pPr>
              <w:jc w:val="center"/>
            </w:pPr>
            <w:r>
              <w:rPr>
                <w:rFonts w:ascii="Calibri" w:cs="Calibri" w:eastAsia="Calibri" w:hAnsi="Calibri"/>
                <w:color w:val="000000"/>
                <w:sz w:val="16"/>
                <w:szCs w:val="16"/>
              </w:rPr>
              <w:t xml:space="preserve">▼</w:t>
            </w:r>
          </w:p>
        </w:tc>
        <w:tc>
          <w:tcPr>
            <w:tcW w:type="dxa" w:w="560"/>
            <w:tcBorders>
              <w:top w:val="single" w:color="BFBFBF" w:sz="4"/>
              <w:left w:val="single" w:color="BFBFBF" w:sz="4"/>
              <w:bottom w:val="single" w:color="BFBFBF" w:sz="4"/>
              <w:right w:val="single" w:color="BFBFBF" w:sz="4"/>
            </w:tcBorders>
            <w:shd w:fill="F6D5D5" w:color="auto" w:val="clear"/>
            <w:tcMar>
              <w:top w:type="dxa" w:w="50"/>
              <w:left w:type="dxa" w:w="80"/>
              <w:bottom w:type="dxa" w:w="50"/>
              <w:right w:type="dxa" w:w="80"/>
            </w:tcMar>
          </w:tcPr>
          <w:p>
            <w:pPr>
              <w:jc w:val="center"/>
            </w:pPr>
            <w:r>
              <w:rPr>
                <w:rFonts w:ascii="Calibri" w:cs="Calibri" w:eastAsia="Calibri" w:hAnsi="Calibri"/>
                <w:color w:val="000000"/>
                <w:sz w:val="16"/>
                <w:szCs w:val="16"/>
              </w:rPr>
              <w:t xml:space="preserve">▼</w:t>
            </w:r>
          </w:p>
        </w:tc>
        <w:tc>
          <w:tcPr>
            <w:tcW w:type="dxa" w:w="600"/>
            <w:tcBorders>
              <w:top w:val="single" w:color="BFBFBF" w:sz="4"/>
              <w:left w:val="single" w:color="BFBFBF" w:sz="4"/>
              <w:bottom w:val="single" w:color="BFBFBF" w:sz="4"/>
              <w:right w:val="single" w:color="BFBFBF" w:sz="4"/>
            </w:tcBorders>
            <w:shd w:fill="F6D5D5" w:color="auto" w:val="clear"/>
            <w:tcMar>
              <w:top w:type="dxa" w:w="50"/>
              <w:left w:type="dxa" w:w="80"/>
              <w:bottom w:type="dxa" w:w="50"/>
              <w:right w:type="dxa" w:w="80"/>
            </w:tcMar>
          </w:tcPr>
          <w:p>
            <w:pPr>
              <w:jc w:val="center"/>
            </w:pPr>
            <w:r>
              <w:rPr>
                <w:rFonts w:ascii="Calibri" w:cs="Calibri" w:eastAsia="Calibri" w:hAnsi="Calibri"/>
                <w:color w:val="000000"/>
                <w:sz w:val="16"/>
                <w:szCs w:val="16"/>
              </w:rPr>
              <w:t xml:space="preserve">▼</w:t>
            </w:r>
          </w:p>
        </w:tc>
        <w:tc>
          <w:tcPr>
            <w:tcW w:type="dxa" w:w="520"/>
            <w:tcBorders>
              <w:top w:val="single" w:color="BFBFBF" w:sz="4"/>
              <w:left w:val="single" w:color="BFBFBF" w:sz="4"/>
              <w:bottom w:val="single" w:color="BFBFBF" w:sz="4"/>
              <w:right w:val="single" w:color="BFBFBF" w:sz="4"/>
            </w:tcBorders>
            <w:shd w:fill="F6D5D5" w:color="auto" w:val="clear"/>
            <w:tcMar>
              <w:top w:type="dxa" w:w="50"/>
              <w:left w:type="dxa" w:w="80"/>
              <w:bottom w:type="dxa" w:w="50"/>
              <w:right w:type="dxa" w:w="80"/>
            </w:tcMar>
          </w:tcPr>
          <w:p>
            <w:pPr>
              <w:jc w:val="center"/>
            </w:pPr>
            <w:r>
              <w:rPr>
                <w:rFonts w:ascii="Calibri" w:cs="Calibri" w:eastAsia="Calibri" w:hAnsi="Calibri"/>
                <w:color w:val="000000"/>
                <w:sz w:val="16"/>
                <w:szCs w:val="16"/>
              </w:rPr>
              <w:t xml:space="preserve">▼</w:t>
            </w:r>
          </w:p>
        </w:tc>
        <w:tc>
          <w:tcPr>
            <w:tcW w:type="dxa" w:w="620"/>
            <w:tcBorders>
              <w:top w:val="single" w:color="BFBFBF" w:sz="4"/>
              <w:left w:val="single" w:color="BFBFBF" w:sz="4"/>
              <w:bottom w:val="single" w:color="BFBFBF" w:sz="4"/>
              <w:right w:val="single" w:color="BFBFBF" w:sz="4"/>
            </w:tcBorders>
            <w:shd w:fill="F6D5D5" w:color="auto" w:val="clear"/>
            <w:tcMar>
              <w:top w:type="dxa" w:w="50"/>
              <w:left w:type="dxa" w:w="80"/>
              <w:bottom w:type="dxa" w:w="50"/>
              <w:right w:type="dxa" w:w="80"/>
            </w:tcMar>
          </w:tcPr>
          <w:p>
            <w:pPr>
              <w:jc w:val="center"/>
            </w:pPr>
            <w:r>
              <w:rPr>
                <w:rFonts w:ascii="Calibri" w:cs="Calibri" w:eastAsia="Calibri" w:hAnsi="Calibri"/>
                <w:color w:val="000000"/>
                <w:sz w:val="16"/>
                <w:szCs w:val="16"/>
              </w:rPr>
              <w:t xml:space="preserve">▼</w:t>
            </w:r>
          </w:p>
        </w:tc>
        <w:tc>
          <w:tcPr>
            <w:tcW w:type="dxa" w:w="560"/>
            <w:tcBorders>
              <w:top w:val="single" w:color="BFBFBF" w:sz="4"/>
              <w:left w:val="single" w:color="BFBFBF" w:sz="4"/>
              <w:bottom w:val="single" w:color="BFBFBF" w:sz="4"/>
              <w:right w:val="single" w:color="BFBFBF" w:sz="4"/>
            </w:tcBorders>
            <w:shd w:fill="F6D5D5" w:color="auto" w:val="clear"/>
            <w:tcMar>
              <w:top w:type="dxa" w:w="50"/>
              <w:left w:type="dxa" w:w="80"/>
              <w:bottom w:type="dxa" w:w="50"/>
              <w:right w:type="dxa" w:w="80"/>
            </w:tcMar>
          </w:tcPr>
          <w:p>
            <w:pPr>
              <w:jc w:val="center"/>
            </w:pPr>
            <w:r>
              <w:rPr>
                <w:rFonts w:ascii="Calibri" w:cs="Calibri" w:eastAsia="Calibri" w:hAnsi="Calibri"/>
                <w:color w:val="000000"/>
                <w:sz w:val="16"/>
                <w:szCs w:val="16"/>
              </w:rPr>
              <w:t xml:space="preserve">▼</w:t>
            </w:r>
          </w:p>
        </w:tc>
        <w:tc>
          <w:tcPr>
            <w:tcW w:type="dxa" w:w="560"/>
            <w:tcBorders>
              <w:top w:val="single" w:color="BFBFBF" w:sz="4"/>
              <w:left w:val="single" w:color="BFBFBF" w:sz="4"/>
              <w:bottom w:val="single" w:color="BFBFBF" w:sz="4"/>
              <w:right w:val="single" w:color="BFBFBF" w:sz="4"/>
            </w:tcBorders>
            <w:shd w:fill="F6D5D5" w:color="auto" w:val="clear"/>
            <w:tcMar>
              <w:top w:type="dxa" w:w="50"/>
              <w:left w:type="dxa" w:w="80"/>
              <w:bottom w:type="dxa" w:w="50"/>
              <w:right w:type="dxa" w:w="80"/>
            </w:tcMar>
          </w:tcPr>
          <w:p>
            <w:pPr>
              <w:jc w:val="center"/>
            </w:pPr>
            <w:r>
              <w:rPr>
                <w:rFonts w:ascii="Calibri" w:cs="Calibri" w:eastAsia="Calibri" w:hAnsi="Calibri"/>
                <w:color w:val="000000"/>
                <w:sz w:val="16"/>
                <w:szCs w:val="16"/>
              </w:rPr>
              <w:t xml:space="preserve">▼</w:t>
            </w:r>
          </w:p>
        </w:tc>
        <w:tc>
          <w:tcPr>
            <w:tcW w:type="dxa" w:w="600"/>
            <w:tcBorders>
              <w:top w:val="single" w:color="BFBFBF" w:sz="4"/>
              <w:left w:val="single" w:color="BFBFBF" w:sz="4"/>
              <w:bottom w:val="single" w:color="BFBFBF" w:sz="4"/>
              <w:right w:val="single" w:color="BFBFBF" w:sz="4"/>
            </w:tcBorders>
            <w:shd w:fill="F6D5D5" w:color="auto" w:val="clear"/>
            <w:tcMar>
              <w:top w:type="dxa" w:w="50"/>
              <w:left w:type="dxa" w:w="80"/>
              <w:bottom w:type="dxa" w:w="50"/>
              <w:right w:type="dxa" w:w="80"/>
            </w:tcMar>
          </w:tcPr>
          <w:p>
            <w:pPr>
              <w:jc w:val="center"/>
            </w:pPr>
            <w:r>
              <w:rPr>
                <w:rFonts w:ascii="Calibri" w:cs="Calibri" w:eastAsia="Calibri" w:hAnsi="Calibri"/>
                <w:color w:val="000000"/>
                <w:sz w:val="16"/>
                <w:szCs w:val="16"/>
              </w:rPr>
              <w:t xml:space="preserve">▼</w:t>
            </w:r>
          </w:p>
        </w:tc>
        <w:tc>
          <w:tcPr>
            <w:tcW w:type="dxa" w:w="560"/>
            <w:tcBorders>
              <w:top w:val="single" w:color="BFBFBF" w:sz="4"/>
              <w:left w:val="single" w:color="BFBFBF" w:sz="4"/>
              <w:bottom w:val="single" w:color="BFBFBF" w:sz="4"/>
              <w:right w:val="single" w:color="BFBFBF" w:sz="4"/>
            </w:tcBorders>
            <w:shd w:fill="F6D5D5" w:color="auto" w:val="clear"/>
            <w:tcMar>
              <w:top w:type="dxa" w:w="50"/>
              <w:left w:type="dxa" w:w="80"/>
              <w:bottom w:type="dxa" w:w="50"/>
              <w:right w:type="dxa" w:w="80"/>
            </w:tcMar>
          </w:tcPr>
          <w:p>
            <w:pPr>
              <w:jc w:val="center"/>
            </w:pPr>
            <w:r>
              <w:rPr>
                <w:rFonts w:ascii="Calibri" w:cs="Calibri" w:eastAsia="Calibri" w:hAnsi="Calibri"/>
                <w:color w:val="000000"/>
                <w:sz w:val="16"/>
                <w:szCs w:val="16"/>
              </w:rPr>
              <w:t xml:space="preserve">▼</w:t>
            </w:r>
          </w:p>
        </w:tc>
        <w:tc>
          <w:tcPr>
            <w:tcW w:type="dxa" w:w="560"/>
            <w:tcBorders>
              <w:top w:val="single" w:color="BFBFBF" w:sz="4"/>
              <w:left w:val="single" w:color="BFBFBF" w:sz="4"/>
              <w:bottom w:val="single" w:color="BFBFBF" w:sz="4"/>
              <w:right w:val="single" w:color="BFBFBF" w:sz="4"/>
            </w:tcBorders>
            <w:shd w:fill="F6D5D5" w:color="auto" w:val="clear"/>
            <w:tcMar>
              <w:top w:type="dxa" w:w="50"/>
              <w:left w:type="dxa" w:w="80"/>
              <w:bottom w:type="dxa" w:w="50"/>
              <w:right w:type="dxa" w:w="80"/>
            </w:tcMar>
          </w:tcPr>
          <w:p>
            <w:pPr>
              <w:jc w:val="center"/>
            </w:pPr>
            <w:r>
              <w:rPr>
                <w:rFonts w:ascii="Calibri" w:cs="Calibri" w:eastAsia="Calibri" w:hAnsi="Calibri"/>
                <w:color w:val="000000"/>
                <w:sz w:val="16"/>
                <w:szCs w:val="16"/>
              </w:rPr>
              <w:t xml:space="preserve">▼</w:t>
            </w:r>
          </w:p>
        </w:tc>
        <w:tc>
          <w:tcPr>
            <w:tcW w:type="dxa" w:w="680"/>
            <w:tcBorders>
              <w:top w:val="single" w:color="BFBFBF" w:sz="4"/>
              <w:left w:val="single" w:color="BFBFBF" w:sz="4"/>
              <w:bottom w:val="single" w:color="BFBFBF" w:sz="4"/>
              <w:right w:val="single" w:color="BFBFBF" w:sz="4"/>
            </w:tcBorders>
            <w:shd w:fill="F6D5D5" w:color="auto" w:val="clear"/>
            <w:tcMar>
              <w:top w:type="dxa" w:w="50"/>
              <w:left w:type="dxa" w:w="80"/>
              <w:bottom w:type="dxa" w:w="50"/>
              <w:right w:type="dxa" w:w="80"/>
            </w:tcMar>
          </w:tcPr>
          <w:p>
            <w:pPr>
              <w:jc w:val="center"/>
            </w:pPr>
            <w:r>
              <w:rPr>
                <w:rFonts w:ascii="Calibri" w:cs="Calibri" w:eastAsia="Calibri" w:hAnsi="Calibri"/>
                <w:color w:val="000000"/>
                <w:sz w:val="16"/>
                <w:szCs w:val="16"/>
              </w:rPr>
              <w:t xml:space="preserve">▼</w:t>
            </w:r>
          </w:p>
        </w:tc>
        <w:tc>
          <w:tcPr>
            <w:tcW w:type="dxa" w:w="84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6"/>
                <w:szCs w:val="16"/>
              </w:rPr>
              <w:t xml:space="preserve">0/12</w:t>
            </w:r>
          </w:p>
        </w:tc>
      </w:tr>
      <w:tr>
        <w:trPr>
          <w:cantSplit/>
        </w:trPr>
        <w:tc>
          <w:tcPr>
            <w:tcW w:type="dxa" w:w="118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color w:val="000000"/>
                <w:sz w:val="16"/>
                <w:szCs w:val="16"/>
              </w:rPr>
              <w:t xml:space="preserve">SUNPHARMA</w:t>
            </w:r>
          </w:p>
        </w:tc>
        <w:tc>
          <w:tcPr>
            <w:tcW w:type="dxa" w:w="560"/>
            <w:tcBorders>
              <w:top w:val="single" w:color="BFBFBF" w:sz="4"/>
              <w:left w:val="single" w:color="BFBFBF" w:sz="4"/>
              <w:bottom w:val="single" w:color="BFBFBF" w:sz="4"/>
              <w:right w:val="single" w:color="BFBFBF" w:sz="4"/>
            </w:tcBorders>
            <w:shd w:fill="F6D5D5" w:color="auto" w:val="clear"/>
            <w:tcMar>
              <w:top w:type="dxa" w:w="50"/>
              <w:left w:type="dxa" w:w="80"/>
              <w:bottom w:type="dxa" w:w="50"/>
              <w:right w:type="dxa" w:w="80"/>
            </w:tcMar>
          </w:tcPr>
          <w:p>
            <w:pPr>
              <w:jc w:val="center"/>
            </w:pPr>
            <w:r>
              <w:rPr>
                <w:rFonts w:ascii="Calibri" w:cs="Calibri" w:eastAsia="Calibri" w:hAnsi="Calibri"/>
                <w:color w:val="000000"/>
                <w:sz w:val="16"/>
                <w:szCs w:val="16"/>
              </w:rPr>
              <w:t xml:space="preserve">▼</w:t>
            </w:r>
          </w:p>
        </w:tc>
        <w:tc>
          <w:tcPr>
            <w:tcW w:type="dxa" w:w="560"/>
            <w:tcBorders>
              <w:top w:val="single" w:color="BFBFBF" w:sz="4"/>
              <w:left w:val="single" w:color="BFBFBF" w:sz="4"/>
              <w:bottom w:val="single" w:color="BFBFBF" w:sz="4"/>
              <w:right w:val="single" w:color="BFBFBF" w:sz="4"/>
            </w:tcBorders>
            <w:shd w:fill="F6D5D5" w:color="auto" w:val="clear"/>
            <w:tcMar>
              <w:top w:type="dxa" w:w="50"/>
              <w:left w:type="dxa" w:w="80"/>
              <w:bottom w:type="dxa" w:w="50"/>
              <w:right w:type="dxa" w:w="80"/>
            </w:tcMar>
          </w:tcPr>
          <w:p>
            <w:pPr>
              <w:jc w:val="center"/>
            </w:pPr>
            <w:r>
              <w:rPr>
                <w:rFonts w:ascii="Calibri" w:cs="Calibri" w:eastAsia="Calibri" w:hAnsi="Calibri"/>
                <w:color w:val="000000"/>
                <w:sz w:val="16"/>
                <w:szCs w:val="16"/>
              </w:rPr>
              <w:t xml:space="preserve">▼</w:t>
            </w:r>
          </w:p>
        </w:tc>
        <w:tc>
          <w:tcPr>
            <w:tcW w:type="dxa" w:w="560"/>
            <w:tcBorders>
              <w:top w:val="single" w:color="BFBFBF" w:sz="4"/>
              <w:left w:val="single" w:color="BFBFBF" w:sz="4"/>
              <w:bottom w:val="single" w:color="BFBFBF" w:sz="4"/>
              <w:right w:val="single" w:color="BFBFBF" w:sz="4"/>
            </w:tcBorders>
            <w:shd w:fill="F6D5D5" w:color="auto" w:val="clear"/>
            <w:tcMar>
              <w:top w:type="dxa" w:w="50"/>
              <w:left w:type="dxa" w:w="80"/>
              <w:bottom w:type="dxa" w:w="50"/>
              <w:right w:type="dxa" w:w="80"/>
            </w:tcMar>
          </w:tcPr>
          <w:p>
            <w:pPr>
              <w:jc w:val="center"/>
            </w:pPr>
            <w:r>
              <w:rPr>
                <w:rFonts w:ascii="Calibri" w:cs="Calibri" w:eastAsia="Calibri" w:hAnsi="Calibri"/>
                <w:color w:val="000000"/>
                <w:sz w:val="16"/>
                <w:szCs w:val="16"/>
              </w:rPr>
              <w:t xml:space="preserve">▼</w:t>
            </w:r>
          </w:p>
        </w:tc>
        <w:tc>
          <w:tcPr>
            <w:tcW w:type="dxa" w:w="600"/>
            <w:tcBorders>
              <w:top w:val="single" w:color="BFBFBF" w:sz="4"/>
              <w:left w:val="single" w:color="BFBFBF" w:sz="4"/>
              <w:bottom w:val="single" w:color="BFBFBF" w:sz="4"/>
              <w:right w:val="single" w:color="BFBFBF" w:sz="4"/>
            </w:tcBorders>
            <w:shd w:fill="F6D5D5" w:color="auto" w:val="clear"/>
            <w:tcMar>
              <w:top w:type="dxa" w:w="50"/>
              <w:left w:type="dxa" w:w="80"/>
              <w:bottom w:type="dxa" w:w="50"/>
              <w:right w:type="dxa" w:w="80"/>
            </w:tcMar>
          </w:tcPr>
          <w:p>
            <w:pPr>
              <w:jc w:val="center"/>
            </w:pPr>
            <w:r>
              <w:rPr>
                <w:rFonts w:ascii="Calibri" w:cs="Calibri" w:eastAsia="Calibri" w:hAnsi="Calibri"/>
                <w:color w:val="000000"/>
                <w:sz w:val="16"/>
                <w:szCs w:val="16"/>
              </w:rPr>
              <w:t xml:space="preserve">▼</w:t>
            </w:r>
          </w:p>
        </w:tc>
        <w:tc>
          <w:tcPr>
            <w:tcW w:type="dxa" w:w="520"/>
            <w:tcBorders>
              <w:top w:val="single" w:color="BFBFBF" w:sz="4"/>
              <w:left w:val="single" w:color="BFBFBF" w:sz="4"/>
              <w:bottom w:val="single" w:color="BFBFBF" w:sz="4"/>
              <w:right w:val="single" w:color="BFBFBF" w:sz="4"/>
            </w:tcBorders>
            <w:shd w:fill="F6D5D5" w:color="auto" w:val="clear"/>
            <w:tcMar>
              <w:top w:type="dxa" w:w="50"/>
              <w:left w:type="dxa" w:w="80"/>
              <w:bottom w:type="dxa" w:w="50"/>
              <w:right w:type="dxa" w:w="80"/>
            </w:tcMar>
          </w:tcPr>
          <w:p>
            <w:pPr>
              <w:jc w:val="center"/>
            </w:pPr>
            <w:r>
              <w:rPr>
                <w:rFonts w:ascii="Calibri" w:cs="Calibri" w:eastAsia="Calibri" w:hAnsi="Calibri"/>
                <w:color w:val="000000"/>
                <w:sz w:val="16"/>
                <w:szCs w:val="16"/>
              </w:rPr>
              <w:t xml:space="preserve">▼</w:t>
            </w:r>
          </w:p>
        </w:tc>
        <w:tc>
          <w:tcPr>
            <w:tcW w:type="dxa" w:w="620"/>
            <w:tcBorders>
              <w:top w:val="single" w:color="BFBFBF" w:sz="4"/>
              <w:left w:val="single" w:color="BFBFBF" w:sz="4"/>
              <w:bottom w:val="single" w:color="BFBFBF" w:sz="4"/>
              <w:right w:val="single" w:color="BFBFBF" w:sz="4"/>
            </w:tcBorders>
            <w:shd w:fill="D5EBD5" w:color="auto" w:val="clear"/>
            <w:tcMar>
              <w:top w:type="dxa" w:w="50"/>
              <w:left w:type="dxa" w:w="80"/>
              <w:bottom w:type="dxa" w:w="50"/>
              <w:right w:type="dxa" w:w="80"/>
            </w:tcMar>
          </w:tcPr>
          <w:p>
            <w:pPr>
              <w:jc w:val="center"/>
            </w:pPr>
            <w:r>
              <w:rPr>
                <w:rFonts w:ascii="Calibri" w:cs="Calibri" w:eastAsia="Calibri" w:hAnsi="Calibri"/>
                <w:color w:val="000000"/>
                <w:sz w:val="16"/>
                <w:szCs w:val="16"/>
              </w:rPr>
              <w:t xml:space="preserve">▲</w:t>
            </w:r>
          </w:p>
        </w:tc>
        <w:tc>
          <w:tcPr>
            <w:tcW w:type="dxa" w:w="560"/>
            <w:tcBorders>
              <w:top w:val="single" w:color="BFBFBF" w:sz="4"/>
              <w:left w:val="single" w:color="BFBFBF" w:sz="4"/>
              <w:bottom w:val="single" w:color="BFBFBF" w:sz="4"/>
              <w:right w:val="single" w:color="BFBFBF" w:sz="4"/>
            </w:tcBorders>
            <w:shd w:fill="F6D5D5" w:color="auto" w:val="clear"/>
            <w:tcMar>
              <w:top w:type="dxa" w:w="50"/>
              <w:left w:type="dxa" w:w="80"/>
              <w:bottom w:type="dxa" w:w="50"/>
              <w:right w:type="dxa" w:w="80"/>
            </w:tcMar>
          </w:tcPr>
          <w:p>
            <w:pPr>
              <w:jc w:val="center"/>
            </w:pPr>
            <w:r>
              <w:rPr>
                <w:rFonts w:ascii="Calibri" w:cs="Calibri" w:eastAsia="Calibri" w:hAnsi="Calibri"/>
                <w:color w:val="000000"/>
                <w:sz w:val="16"/>
                <w:szCs w:val="16"/>
              </w:rPr>
              <w:t xml:space="preserve">▼</w:t>
            </w:r>
          </w:p>
        </w:tc>
        <w:tc>
          <w:tcPr>
            <w:tcW w:type="dxa" w:w="560"/>
            <w:tcBorders>
              <w:top w:val="single" w:color="BFBFBF" w:sz="4"/>
              <w:left w:val="single" w:color="BFBFBF" w:sz="4"/>
              <w:bottom w:val="single" w:color="BFBFBF" w:sz="4"/>
              <w:right w:val="single" w:color="BFBFBF" w:sz="4"/>
            </w:tcBorders>
            <w:shd w:fill="F6D5D5" w:color="auto" w:val="clear"/>
            <w:tcMar>
              <w:top w:type="dxa" w:w="50"/>
              <w:left w:type="dxa" w:w="80"/>
              <w:bottom w:type="dxa" w:w="50"/>
              <w:right w:type="dxa" w:w="80"/>
            </w:tcMar>
          </w:tcPr>
          <w:p>
            <w:pPr>
              <w:jc w:val="center"/>
            </w:pPr>
            <w:r>
              <w:rPr>
                <w:rFonts w:ascii="Calibri" w:cs="Calibri" w:eastAsia="Calibri" w:hAnsi="Calibri"/>
                <w:color w:val="000000"/>
                <w:sz w:val="16"/>
                <w:szCs w:val="16"/>
              </w:rPr>
              <w:t xml:space="preserve">▼</w:t>
            </w:r>
          </w:p>
        </w:tc>
        <w:tc>
          <w:tcPr>
            <w:tcW w:type="dxa" w:w="600"/>
            <w:tcBorders>
              <w:top w:val="single" w:color="BFBFBF" w:sz="4"/>
              <w:left w:val="single" w:color="BFBFBF" w:sz="4"/>
              <w:bottom w:val="single" w:color="BFBFBF" w:sz="4"/>
              <w:right w:val="single" w:color="BFBFBF" w:sz="4"/>
            </w:tcBorders>
            <w:shd w:fill="F6D5D5" w:color="auto" w:val="clear"/>
            <w:tcMar>
              <w:top w:type="dxa" w:w="50"/>
              <w:left w:type="dxa" w:w="80"/>
              <w:bottom w:type="dxa" w:w="50"/>
              <w:right w:type="dxa" w:w="80"/>
            </w:tcMar>
          </w:tcPr>
          <w:p>
            <w:pPr>
              <w:jc w:val="center"/>
            </w:pPr>
            <w:r>
              <w:rPr>
                <w:rFonts w:ascii="Calibri" w:cs="Calibri" w:eastAsia="Calibri" w:hAnsi="Calibri"/>
                <w:color w:val="000000"/>
                <w:sz w:val="16"/>
                <w:szCs w:val="16"/>
              </w:rPr>
              <w:t xml:space="preserve">▼</w:t>
            </w:r>
          </w:p>
        </w:tc>
        <w:tc>
          <w:tcPr>
            <w:tcW w:type="dxa" w:w="560"/>
            <w:tcBorders>
              <w:top w:val="single" w:color="BFBFBF" w:sz="4"/>
              <w:left w:val="single" w:color="BFBFBF" w:sz="4"/>
              <w:bottom w:val="single" w:color="BFBFBF" w:sz="4"/>
              <w:right w:val="single" w:color="BFBFBF" w:sz="4"/>
            </w:tcBorders>
            <w:shd w:fill="F6D5D5" w:color="auto" w:val="clear"/>
            <w:tcMar>
              <w:top w:type="dxa" w:w="50"/>
              <w:left w:type="dxa" w:w="80"/>
              <w:bottom w:type="dxa" w:w="50"/>
              <w:right w:type="dxa" w:w="80"/>
            </w:tcMar>
          </w:tcPr>
          <w:p>
            <w:pPr>
              <w:jc w:val="center"/>
            </w:pPr>
            <w:r>
              <w:rPr>
                <w:rFonts w:ascii="Calibri" w:cs="Calibri" w:eastAsia="Calibri" w:hAnsi="Calibri"/>
                <w:color w:val="000000"/>
                <w:sz w:val="16"/>
                <w:szCs w:val="16"/>
              </w:rPr>
              <w:t xml:space="preserve">▼</w:t>
            </w:r>
          </w:p>
        </w:tc>
        <w:tc>
          <w:tcPr>
            <w:tcW w:type="dxa" w:w="560"/>
            <w:tcBorders>
              <w:top w:val="single" w:color="BFBFBF" w:sz="4"/>
              <w:left w:val="single" w:color="BFBFBF" w:sz="4"/>
              <w:bottom w:val="single" w:color="BFBFBF" w:sz="4"/>
              <w:right w:val="single" w:color="BFBFBF" w:sz="4"/>
            </w:tcBorders>
            <w:shd w:fill="F6D5D5" w:color="auto" w:val="clear"/>
            <w:tcMar>
              <w:top w:type="dxa" w:w="50"/>
              <w:left w:type="dxa" w:w="80"/>
              <w:bottom w:type="dxa" w:w="50"/>
              <w:right w:type="dxa" w:w="80"/>
            </w:tcMar>
          </w:tcPr>
          <w:p>
            <w:pPr>
              <w:jc w:val="center"/>
            </w:pPr>
            <w:r>
              <w:rPr>
                <w:rFonts w:ascii="Calibri" w:cs="Calibri" w:eastAsia="Calibri" w:hAnsi="Calibri"/>
                <w:color w:val="000000"/>
                <w:sz w:val="16"/>
                <w:szCs w:val="16"/>
              </w:rPr>
              <w:t xml:space="preserve">▼</w:t>
            </w:r>
          </w:p>
        </w:tc>
        <w:tc>
          <w:tcPr>
            <w:tcW w:type="dxa" w:w="680"/>
            <w:tcBorders>
              <w:top w:val="single" w:color="BFBFBF" w:sz="4"/>
              <w:left w:val="single" w:color="BFBFBF" w:sz="4"/>
              <w:bottom w:val="single" w:color="BFBFBF" w:sz="4"/>
              <w:right w:val="single" w:color="BFBFBF" w:sz="4"/>
            </w:tcBorders>
            <w:shd w:fill="F6D5D5" w:color="auto" w:val="clear"/>
            <w:tcMar>
              <w:top w:type="dxa" w:w="50"/>
              <w:left w:type="dxa" w:w="80"/>
              <w:bottom w:type="dxa" w:w="50"/>
              <w:right w:type="dxa" w:w="80"/>
            </w:tcMar>
          </w:tcPr>
          <w:p>
            <w:pPr>
              <w:jc w:val="center"/>
            </w:pPr>
            <w:r>
              <w:rPr>
                <w:rFonts w:ascii="Calibri" w:cs="Calibri" w:eastAsia="Calibri" w:hAnsi="Calibri"/>
                <w:color w:val="000000"/>
                <w:sz w:val="16"/>
                <w:szCs w:val="16"/>
              </w:rPr>
              <w:t xml:space="preserve">▼</w:t>
            </w:r>
          </w:p>
        </w:tc>
        <w:tc>
          <w:tcPr>
            <w:tcW w:type="dxa" w:w="846"/>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6"/>
                <w:szCs w:val="16"/>
              </w:rPr>
              <w:t xml:space="preserve">1/12</w:t>
            </w:r>
          </w:p>
        </w:tc>
      </w:tr>
      <w:tr>
        <w:trPr>
          <w:cantSplit/>
        </w:trPr>
        <w:tc>
          <w:tcPr>
            <w:tcW w:type="dxa" w:w="11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6"/>
                <w:szCs w:val="16"/>
              </w:rPr>
              <w:t xml:space="preserve">LT</w:t>
            </w:r>
          </w:p>
        </w:tc>
        <w:tc>
          <w:tcPr>
            <w:tcW w:type="dxa" w:w="560"/>
            <w:tcBorders>
              <w:top w:val="single" w:color="BFBFBF" w:sz="4"/>
              <w:left w:val="single" w:color="BFBFBF" w:sz="4"/>
              <w:bottom w:val="single" w:color="BFBFBF" w:sz="4"/>
              <w:right w:val="single" w:color="BFBFBF" w:sz="4"/>
            </w:tcBorders>
            <w:shd w:fill="F6D5D5" w:color="auto" w:val="clear"/>
            <w:tcMar>
              <w:top w:type="dxa" w:w="50"/>
              <w:left w:type="dxa" w:w="80"/>
              <w:bottom w:type="dxa" w:w="50"/>
              <w:right w:type="dxa" w:w="80"/>
            </w:tcMar>
          </w:tcPr>
          <w:p>
            <w:pPr>
              <w:jc w:val="center"/>
            </w:pPr>
            <w:r>
              <w:rPr>
                <w:rFonts w:ascii="Calibri" w:cs="Calibri" w:eastAsia="Calibri" w:hAnsi="Calibri"/>
                <w:color w:val="000000"/>
                <w:sz w:val="16"/>
                <w:szCs w:val="16"/>
              </w:rPr>
              <w:t xml:space="preserve">▼</w:t>
            </w:r>
          </w:p>
        </w:tc>
        <w:tc>
          <w:tcPr>
            <w:tcW w:type="dxa" w:w="560"/>
            <w:tcBorders>
              <w:top w:val="single" w:color="BFBFBF" w:sz="4"/>
              <w:left w:val="single" w:color="BFBFBF" w:sz="4"/>
              <w:bottom w:val="single" w:color="BFBFBF" w:sz="4"/>
              <w:right w:val="single" w:color="BFBFBF" w:sz="4"/>
            </w:tcBorders>
            <w:shd w:fill="F6D5D5" w:color="auto" w:val="clear"/>
            <w:tcMar>
              <w:top w:type="dxa" w:w="50"/>
              <w:left w:type="dxa" w:w="80"/>
              <w:bottom w:type="dxa" w:w="50"/>
              <w:right w:type="dxa" w:w="80"/>
            </w:tcMar>
          </w:tcPr>
          <w:p>
            <w:pPr>
              <w:jc w:val="center"/>
            </w:pPr>
            <w:r>
              <w:rPr>
                <w:rFonts w:ascii="Calibri" w:cs="Calibri" w:eastAsia="Calibri" w:hAnsi="Calibri"/>
                <w:color w:val="000000"/>
                <w:sz w:val="16"/>
                <w:szCs w:val="16"/>
              </w:rPr>
              <w:t xml:space="preserve">▼</w:t>
            </w:r>
          </w:p>
        </w:tc>
        <w:tc>
          <w:tcPr>
            <w:tcW w:type="dxa" w:w="560"/>
            <w:tcBorders>
              <w:top w:val="single" w:color="BFBFBF" w:sz="4"/>
              <w:left w:val="single" w:color="BFBFBF" w:sz="4"/>
              <w:bottom w:val="single" w:color="BFBFBF" w:sz="4"/>
              <w:right w:val="single" w:color="BFBFBF" w:sz="4"/>
            </w:tcBorders>
            <w:shd w:fill="F6D5D5" w:color="auto" w:val="clear"/>
            <w:tcMar>
              <w:top w:type="dxa" w:w="50"/>
              <w:left w:type="dxa" w:w="80"/>
              <w:bottom w:type="dxa" w:w="50"/>
              <w:right w:type="dxa" w:w="80"/>
            </w:tcMar>
          </w:tcPr>
          <w:p>
            <w:pPr>
              <w:jc w:val="center"/>
            </w:pPr>
            <w:r>
              <w:rPr>
                <w:rFonts w:ascii="Calibri" w:cs="Calibri" w:eastAsia="Calibri" w:hAnsi="Calibri"/>
                <w:color w:val="000000"/>
                <w:sz w:val="16"/>
                <w:szCs w:val="16"/>
              </w:rPr>
              <w:t xml:space="preserve">▼</w:t>
            </w:r>
          </w:p>
        </w:tc>
        <w:tc>
          <w:tcPr>
            <w:tcW w:type="dxa" w:w="600"/>
            <w:tcBorders>
              <w:top w:val="single" w:color="BFBFBF" w:sz="4"/>
              <w:left w:val="single" w:color="BFBFBF" w:sz="4"/>
              <w:bottom w:val="single" w:color="BFBFBF" w:sz="4"/>
              <w:right w:val="single" w:color="BFBFBF" w:sz="4"/>
            </w:tcBorders>
            <w:shd w:fill="F6D5D5" w:color="auto" w:val="clear"/>
            <w:tcMar>
              <w:top w:type="dxa" w:w="50"/>
              <w:left w:type="dxa" w:w="80"/>
              <w:bottom w:type="dxa" w:w="50"/>
              <w:right w:type="dxa" w:w="80"/>
            </w:tcMar>
          </w:tcPr>
          <w:p>
            <w:pPr>
              <w:jc w:val="center"/>
            </w:pPr>
            <w:r>
              <w:rPr>
                <w:rFonts w:ascii="Calibri" w:cs="Calibri" w:eastAsia="Calibri" w:hAnsi="Calibri"/>
                <w:color w:val="000000"/>
                <w:sz w:val="16"/>
                <w:szCs w:val="16"/>
              </w:rPr>
              <w:t xml:space="preserve">▼</w:t>
            </w:r>
          </w:p>
        </w:tc>
        <w:tc>
          <w:tcPr>
            <w:tcW w:type="dxa" w:w="520"/>
            <w:tcBorders>
              <w:top w:val="single" w:color="BFBFBF" w:sz="4"/>
              <w:left w:val="single" w:color="BFBFBF" w:sz="4"/>
              <w:bottom w:val="single" w:color="BFBFBF" w:sz="4"/>
              <w:right w:val="single" w:color="BFBFBF" w:sz="4"/>
            </w:tcBorders>
            <w:shd w:fill="F6D5D5" w:color="auto" w:val="clear"/>
            <w:tcMar>
              <w:top w:type="dxa" w:w="50"/>
              <w:left w:type="dxa" w:w="80"/>
              <w:bottom w:type="dxa" w:w="50"/>
              <w:right w:type="dxa" w:w="80"/>
            </w:tcMar>
          </w:tcPr>
          <w:p>
            <w:pPr>
              <w:jc w:val="center"/>
            </w:pPr>
            <w:r>
              <w:rPr>
                <w:rFonts w:ascii="Calibri" w:cs="Calibri" w:eastAsia="Calibri" w:hAnsi="Calibri"/>
                <w:color w:val="000000"/>
                <w:sz w:val="16"/>
                <w:szCs w:val="16"/>
              </w:rPr>
              <w:t xml:space="preserve">▼</w:t>
            </w:r>
          </w:p>
        </w:tc>
        <w:tc>
          <w:tcPr>
            <w:tcW w:type="dxa" w:w="620"/>
            <w:tcBorders>
              <w:top w:val="single" w:color="BFBFBF" w:sz="4"/>
              <w:left w:val="single" w:color="BFBFBF" w:sz="4"/>
              <w:bottom w:val="single" w:color="BFBFBF" w:sz="4"/>
              <w:right w:val="single" w:color="BFBFBF" w:sz="4"/>
            </w:tcBorders>
            <w:shd w:fill="F6D5D5" w:color="auto" w:val="clear"/>
            <w:tcMar>
              <w:top w:type="dxa" w:w="50"/>
              <w:left w:type="dxa" w:w="80"/>
              <w:bottom w:type="dxa" w:w="50"/>
              <w:right w:type="dxa" w:w="80"/>
            </w:tcMar>
          </w:tcPr>
          <w:p>
            <w:pPr>
              <w:jc w:val="center"/>
            </w:pPr>
            <w:r>
              <w:rPr>
                <w:rFonts w:ascii="Calibri" w:cs="Calibri" w:eastAsia="Calibri" w:hAnsi="Calibri"/>
                <w:color w:val="000000"/>
                <w:sz w:val="16"/>
                <w:szCs w:val="16"/>
              </w:rPr>
              <w:t xml:space="preserve">▼</w:t>
            </w:r>
          </w:p>
        </w:tc>
        <w:tc>
          <w:tcPr>
            <w:tcW w:type="dxa" w:w="560"/>
            <w:tcBorders>
              <w:top w:val="single" w:color="BFBFBF" w:sz="4"/>
              <w:left w:val="single" w:color="BFBFBF" w:sz="4"/>
              <w:bottom w:val="single" w:color="BFBFBF" w:sz="4"/>
              <w:right w:val="single" w:color="BFBFBF" w:sz="4"/>
            </w:tcBorders>
            <w:shd w:fill="F6D5D5" w:color="auto" w:val="clear"/>
            <w:tcMar>
              <w:top w:type="dxa" w:w="50"/>
              <w:left w:type="dxa" w:w="80"/>
              <w:bottom w:type="dxa" w:w="50"/>
              <w:right w:type="dxa" w:w="80"/>
            </w:tcMar>
          </w:tcPr>
          <w:p>
            <w:pPr>
              <w:jc w:val="center"/>
            </w:pPr>
            <w:r>
              <w:rPr>
                <w:rFonts w:ascii="Calibri" w:cs="Calibri" w:eastAsia="Calibri" w:hAnsi="Calibri"/>
                <w:color w:val="000000"/>
                <w:sz w:val="16"/>
                <w:szCs w:val="16"/>
              </w:rPr>
              <w:t xml:space="preserve">▼</w:t>
            </w:r>
          </w:p>
        </w:tc>
        <w:tc>
          <w:tcPr>
            <w:tcW w:type="dxa" w:w="560"/>
            <w:tcBorders>
              <w:top w:val="single" w:color="BFBFBF" w:sz="4"/>
              <w:left w:val="single" w:color="BFBFBF" w:sz="4"/>
              <w:bottom w:val="single" w:color="BFBFBF" w:sz="4"/>
              <w:right w:val="single" w:color="BFBFBF" w:sz="4"/>
            </w:tcBorders>
            <w:shd w:fill="F6D5D5" w:color="auto" w:val="clear"/>
            <w:tcMar>
              <w:top w:type="dxa" w:w="50"/>
              <w:left w:type="dxa" w:w="80"/>
              <w:bottom w:type="dxa" w:w="50"/>
              <w:right w:type="dxa" w:w="80"/>
            </w:tcMar>
          </w:tcPr>
          <w:p>
            <w:pPr>
              <w:jc w:val="center"/>
            </w:pPr>
            <w:r>
              <w:rPr>
                <w:rFonts w:ascii="Calibri" w:cs="Calibri" w:eastAsia="Calibri" w:hAnsi="Calibri"/>
                <w:color w:val="000000"/>
                <w:sz w:val="16"/>
                <w:szCs w:val="16"/>
              </w:rPr>
              <w:t xml:space="preserve">▼</w:t>
            </w:r>
          </w:p>
        </w:tc>
        <w:tc>
          <w:tcPr>
            <w:tcW w:type="dxa" w:w="600"/>
            <w:tcBorders>
              <w:top w:val="single" w:color="BFBFBF" w:sz="4"/>
              <w:left w:val="single" w:color="BFBFBF" w:sz="4"/>
              <w:bottom w:val="single" w:color="BFBFBF" w:sz="4"/>
              <w:right w:val="single" w:color="BFBFBF" w:sz="4"/>
            </w:tcBorders>
            <w:shd w:fill="F6D5D5" w:color="auto" w:val="clear"/>
            <w:tcMar>
              <w:top w:type="dxa" w:w="50"/>
              <w:left w:type="dxa" w:w="80"/>
              <w:bottom w:type="dxa" w:w="50"/>
              <w:right w:type="dxa" w:w="80"/>
            </w:tcMar>
          </w:tcPr>
          <w:p>
            <w:pPr>
              <w:jc w:val="center"/>
            </w:pPr>
            <w:r>
              <w:rPr>
                <w:rFonts w:ascii="Calibri" w:cs="Calibri" w:eastAsia="Calibri" w:hAnsi="Calibri"/>
                <w:color w:val="000000"/>
                <w:sz w:val="16"/>
                <w:szCs w:val="16"/>
              </w:rPr>
              <w:t xml:space="preserve">▼</w:t>
            </w:r>
          </w:p>
        </w:tc>
        <w:tc>
          <w:tcPr>
            <w:tcW w:type="dxa" w:w="560"/>
            <w:tcBorders>
              <w:top w:val="single" w:color="BFBFBF" w:sz="4"/>
              <w:left w:val="single" w:color="BFBFBF" w:sz="4"/>
              <w:bottom w:val="single" w:color="BFBFBF" w:sz="4"/>
              <w:right w:val="single" w:color="BFBFBF" w:sz="4"/>
            </w:tcBorders>
            <w:shd w:fill="F6D5D5" w:color="auto" w:val="clear"/>
            <w:tcMar>
              <w:top w:type="dxa" w:w="50"/>
              <w:left w:type="dxa" w:w="80"/>
              <w:bottom w:type="dxa" w:w="50"/>
              <w:right w:type="dxa" w:w="80"/>
            </w:tcMar>
          </w:tcPr>
          <w:p>
            <w:pPr>
              <w:jc w:val="center"/>
            </w:pPr>
            <w:r>
              <w:rPr>
                <w:rFonts w:ascii="Calibri" w:cs="Calibri" w:eastAsia="Calibri" w:hAnsi="Calibri"/>
                <w:color w:val="000000"/>
                <w:sz w:val="16"/>
                <w:szCs w:val="16"/>
              </w:rPr>
              <w:t xml:space="preserve">▼</w:t>
            </w:r>
          </w:p>
        </w:tc>
        <w:tc>
          <w:tcPr>
            <w:tcW w:type="dxa" w:w="560"/>
            <w:tcBorders>
              <w:top w:val="single" w:color="BFBFBF" w:sz="4"/>
              <w:left w:val="single" w:color="BFBFBF" w:sz="4"/>
              <w:bottom w:val="single" w:color="BFBFBF" w:sz="4"/>
              <w:right w:val="single" w:color="BFBFBF" w:sz="4"/>
            </w:tcBorders>
            <w:shd w:fill="F6D5D5" w:color="auto" w:val="clear"/>
            <w:tcMar>
              <w:top w:type="dxa" w:w="50"/>
              <w:left w:type="dxa" w:w="80"/>
              <w:bottom w:type="dxa" w:w="50"/>
              <w:right w:type="dxa" w:w="80"/>
            </w:tcMar>
          </w:tcPr>
          <w:p>
            <w:pPr>
              <w:jc w:val="center"/>
            </w:pPr>
            <w:r>
              <w:rPr>
                <w:rFonts w:ascii="Calibri" w:cs="Calibri" w:eastAsia="Calibri" w:hAnsi="Calibri"/>
                <w:color w:val="000000"/>
                <w:sz w:val="16"/>
                <w:szCs w:val="16"/>
              </w:rPr>
              <w:t xml:space="preserve">▼</w:t>
            </w:r>
          </w:p>
        </w:tc>
        <w:tc>
          <w:tcPr>
            <w:tcW w:type="dxa" w:w="680"/>
            <w:tcBorders>
              <w:top w:val="single" w:color="BFBFBF" w:sz="4"/>
              <w:left w:val="single" w:color="BFBFBF" w:sz="4"/>
              <w:bottom w:val="single" w:color="BFBFBF" w:sz="4"/>
              <w:right w:val="single" w:color="BFBFBF" w:sz="4"/>
            </w:tcBorders>
            <w:shd w:fill="F6D5D5" w:color="auto" w:val="clear"/>
            <w:tcMar>
              <w:top w:type="dxa" w:w="50"/>
              <w:left w:type="dxa" w:w="80"/>
              <w:bottom w:type="dxa" w:w="50"/>
              <w:right w:type="dxa" w:w="80"/>
            </w:tcMar>
          </w:tcPr>
          <w:p>
            <w:pPr>
              <w:jc w:val="center"/>
            </w:pPr>
            <w:r>
              <w:rPr>
                <w:rFonts w:ascii="Calibri" w:cs="Calibri" w:eastAsia="Calibri" w:hAnsi="Calibri"/>
                <w:color w:val="000000"/>
                <w:sz w:val="16"/>
                <w:szCs w:val="16"/>
              </w:rPr>
              <w:t xml:space="preserve">▼</w:t>
            </w:r>
          </w:p>
        </w:tc>
        <w:tc>
          <w:tcPr>
            <w:tcW w:type="dxa" w:w="84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6"/>
                <w:szCs w:val="16"/>
              </w:rPr>
              <w:t xml:space="preserve">0/12</w:t>
            </w:r>
          </w:p>
        </w:tc>
      </w:tr>
    </w:tbl>
    <w:p>
      <w:pPr>
        <w:spacing w:after="120" w:before="120" w:line="276"/>
        <w:jc w:val="both"/>
      </w:pPr>
      <w:r>
        <w:rPr>
          <w:rFonts w:ascii="Calibri" w:cs="Calibri" w:eastAsia="Calibri" w:hAnsi="Calibri"/>
          <w:sz w:val="21"/>
          <w:szCs w:val="21"/>
        </w:rPr>
        <w:t xml:space="preserve">The snapshot shows how the twelve indicators summarise market state: on 2026-09-25 HDFC Bank scored 10/12 bullish and ITC 7/12, while Reliance, Infosys, Maruti and L&amp;T scored 0/12 and Sun Pharma 1/12, with Maruti's ADX of 49 indicating a strong down-trend and Infosys and Maruti sitting on RSI ≈ 30. It also illustrates the redundancy discussed in Section 5.1: the twelve 'votes' almost always agree, because ten of them are computed from price alone and only OBV and MFI bring in volume. The four added indicators voted with the existing majority wherever there was one (all four bullish on HDFC Bank, all four bearish on the five bearish stocks), and on ITC, previously split 4/8, three of the four sided with the bulls. More indicators made each verdict look more certain without adding independent evidence.</w:t>
      </w:r>
    </w:p>
    <w:p>
      <w:pPr>
        <w:spacing w:after="120" w:before="0" w:line="276"/>
        <w:jc w:val="both"/>
      </w:pPr>
      <w:r>
        <w:rPr>
          <w:rFonts w:ascii="Calibri" w:cs="Calibri" w:eastAsia="Calibri" w:hAnsi="Calibri"/>
          <w:sz w:val="21"/>
          <w:szCs w:val="21"/>
        </w:rPr>
        <w:t xml:space="preserve">Exhibit 15 then tests every indicator's canonical buy signal on every stock: the cell shows the average 10-session forward return after the signal minus the stock's unconditional 10-session return, with the number of signals underneath. Table 3.1 pools the seven stocks.</w:t>
      </w:r>
    </w:p>
    <w:p>
      <w:pPr>
        <w:keepNext/>
        <w:spacing w:after="60" w:before="120"/>
        <w:jc w:val="center"/>
      </w:pPr>
      <w:r>
        <w:drawing>
          <wp:inline distT="0" distB="0" distL="0" distR="0">
            <wp:extent cx="5760720" cy="302448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60720" cy="3024482"/>
                    </a:xfrm>
                    <a:prstGeom prst="rect">
                      <a:avLst/>
                    </a:prstGeom>
                  </pic:spPr>
                </pic:pic>
              </a:graphicData>
            </a:graphic>
          </wp:inline>
        </w:drawing>
      </w:r>
    </w:p>
    <w:p>
      <w:pPr>
        <w:spacing w:after="200"/>
        <w:jc w:val="left"/>
      </w:pPr>
      <w:r>
        <w:rPr>
          <w:rFonts w:ascii="Calibri" w:cs="Calibri" w:eastAsia="Calibri" w:hAnsi="Calibri"/>
          <w:i/>
          <w:iCs/>
          <w:color w:val="595959"/>
          <w:sz w:val="17"/>
          <w:szCs w:val="17"/>
        </w:rPr>
        <w:t xml:space="preserve">Exhibit 15. Excess 10-session forward return (percentage points) after each indicator's buy signal, by stock; n = number of signals, Jan 2015 – Sep 2026. Forward returns are measured from the next open, i.e. as tradeable.</w:t>
      </w:r>
    </w:p>
    <w:p>
      <w:pPr>
        <w:keepNext/>
        <w:spacing w:after="80" w:before="160"/>
      </w:pPr>
      <w:r>
        <w:rPr>
          <w:rFonts w:ascii="Calibri" w:cs="Calibri" w:eastAsia="Calibri" w:hAnsi="Calibri"/>
          <w:b/>
          <w:bCs/>
          <w:color w:val="2E2E2E"/>
          <w:sz w:val="19"/>
          <w:szCs w:val="19"/>
        </w:rPr>
        <w:t xml:space="preserve">Table 3.1 Canonical buy signals, 7 stocks pooled: 10-session forward return against the same stock's average day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700"/>
        <w:gridCol w:w="1050"/>
        <w:gridCol w:w="950"/>
        <w:gridCol w:w="1100"/>
        <w:gridCol w:w="1550"/>
        <w:gridCol w:w="976"/>
      </w:tblGrid>
      <w:tr>
        <w:trPr>
          <w:cantSplit/>
          <w:tblHeader/>
        </w:trPr>
        <w:tc>
          <w:tcPr>
            <w:tcW w:type="dxa" w:w="27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tcPr>
          <w:p>
            <w:pPr>
              <w:jc w:val="left"/>
            </w:pPr>
            <w:r>
              <w:rPr>
                <w:rFonts w:ascii="Calibri" w:cs="Calibri" w:eastAsia="Calibri" w:hAnsi="Calibri"/>
                <w:b/>
                <w:bCs/>
                <w:color w:val="FFFFFF"/>
                <w:sz w:val="17"/>
                <w:szCs w:val="17"/>
              </w:rPr>
              <w:t xml:space="preserve">Signal</w:t>
            </w:r>
          </w:p>
        </w:tc>
        <w:tc>
          <w:tcPr>
            <w:tcW w:type="dxa" w:w="7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tcPr>
          <w:p>
            <w:pPr>
              <w:jc w:val="center"/>
            </w:pPr>
            <w:r>
              <w:rPr>
                <w:rFonts w:ascii="Calibri" w:cs="Calibri" w:eastAsia="Calibri" w:hAnsi="Calibri"/>
                <w:b/>
                <w:bCs/>
                <w:color w:val="FFFFFF"/>
                <w:sz w:val="17"/>
                <w:szCs w:val="17"/>
              </w:rPr>
              <w:t xml:space="preserve">n</w:t>
            </w:r>
          </w:p>
        </w:tc>
        <w:tc>
          <w:tcPr>
            <w:tcW w:type="dxa" w:w="105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tcPr>
          <w:p>
            <w:pPr>
              <w:jc w:val="center"/>
            </w:pPr>
            <w:r>
              <w:rPr>
                <w:rFonts w:ascii="Calibri" w:cs="Calibri" w:eastAsia="Calibri" w:hAnsi="Calibri"/>
                <w:b/>
                <w:bCs/>
                <w:color w:val="FFFFFF"/>
                <w:sz w:val="17"/>
                <w:szCs w:val="17"/>
              </w:rPr>
              <w:t xml:space="preserve">Avg 10-day</w:t>
            </w:r>
          </w:p>
        </w:tc>
        <w:tc>
          <w:tcPr>
            <w:tcW w:type="dxa" w:w="95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tcPr>
          <w:p>
            <w:pPr>
              <w:jc w:val="center"/>
            </w:pPr>
            <w:r>
              <w:rPr>
                <w:rFonts w:ascii="Calibri" w:cs="Calibri" w:eastAsia="Calibri" w:hAnsi="Calibri"/>
                <w:b/>
                <w:bCs/>
                <w:color w:val="FFFFFF"/>
                <w:sz w:val="17"/>
                <w:szCs w:val="17"/>
              </w:rPr>
              <w:t xml:space="preserve">Hit rate</w:t>
            </w:r>
          </w:p>
        </w:tc>
        <w:tc>
          <w:tcPr>
            <w:tcW w:type="dxa" w:w="11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tcPr>
          <w:p>
            <w:pPr>
              <w:jc w:val="center"/>
            </w:pPr>
            <w:r>
              <w:rPr>
                <w:rFonts w:ascii="Calibri" w:cs="Calibri" w:eastAsia="Calibri" w:hAnsi="Calibri"/>
                <w:b/>
                <w:bCs/>
                <w:color w:val="FFFFFF"/>
                <w:sz w:val="17"/>
                <w:szCs w:val="17"/>
              </w:rPr>
              <w:t xml:space="preserve">Excess (pp)</w:t>
            </w:r>
          </w:p>
        </w:tc>
        <w:tc>
          <w:tcPr>
            <w:tcW w:type="dxa" w:w="155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tcPr>
          <w:p>
            <w:pPr>
              <w:jc w:val="center"/>
            </w:pPr>
            <w:r>
              <w:rPr>
                <w:rFonts w:ascii="Calibri" w:cs="Calibri" w:eastAsia="Calibri" w:hAnsi="Calibri"/>
                <w:b/>
                <w:bCs/>
                <w:color w:val="FFFFFF"/>
                <w:sz w:val="17"/>
                <w:szCs w:val="17"/>
              </w:rPr>
              <w:t xml:space="preserve">95% CI (pp)</w:t>
            </w:r>
          </w:p>
        </w:tc>
        <w:tc>
          <w:tcPr>
            <w:tcW w:type="dxa" w:w="976"/>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tcPr>
          <w:p>
            <w:pPr>
              <w:jc w:val="center"/>
            </w:pPr>
            <w:r>
              <w:rPr>
                <w:rFonts w:ascii="Calibri" w:cs="Calibri" w:eastAsia="Calibri" w:hAnsi="Calibri"/>
                <w:b/>
                <w:bCs/>
                <w:color w:val="FFFFFF"/>
                <w:sz w:val="17"/>
                <w:szCs w:val="17"/>
              </w:rPr>
              <w:t xml:space="preserve">t</w:t>
            </w:r>
          </w:p>
        </w:tc>
      </w:tr>
      <w:tr>
        <w:trPr>
          <w:cantSplit/>
        </w:trPr>
        <w:tc>
          <w:tcPr>
            <w:tcW w:type="dxa" w:w="27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SMA 20/50 golden cross</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226</w:t>
            </w:r>
          </w:p>
        </w:tc>
        <w:tc>
          <w:tcPr>
            <w:tcW w:type="dxa" w:w="10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0.75%</w:t>
            </w:r>
          </w:p>
        </w:tc>
        <w:tc>
          <w:tcPr>
            <w:tcW w:type="dxa" w:w="9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57.5%</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0.25</w:t>
            </w:r>
          </w:p>
        </w:tc>
        <w:tc>
          <w:tcPr>
            <w:tcW w:type="dxa" w:w="15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-0.37 to 0.87</w:t>
            </w:r>
          </w:p>
        </w:tc>
        <w:tc>
          <w:tcPr>
            <w:tcW w:type="dxa" w:w="97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0.78</w:t>
            </w:r>
          </w:p>
        </w:tc>
      </w:tr>
      <w:tr>
        <w:trPr>
          <w:cantSplit/>
        </w:trPr>
        <w:tc>
          <w:tcPr>
            <w:tcW w:type="dxa" w:w="27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color w:val="000000"/>
                <w:sz w:val="17"/>
                <w:szCs w:val="17"/>
              </w:rPr>
              <w:t xml:space="preserve">EMA 9/21 bullish cross</w:t>
            </w:r>
          </w:p>
        </w:tc>
        <w:tc>
          <w:tcPr>
            <w:tcW w:type="dxa" w:w="7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437</w:t>
            </w:r>
          </w:p>
        </w:tc>
        <w:tc>
          <w:tcPr>
            <w:tcW w:type="dxa" w:w="10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0.44%</w:t>
            </w:r>
          </w:p>
        </w:tc>
        <w:tc>
          <w:tcPr>
            <w:tcW w:type="dxa" w:w="9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54.0%</w:t>
            </w:r>
          </w:p>
        </w:tc>
        <w:tc>
          <w:tcPr>
            <w:tcW w:type="dxa" w:w="11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-0.05</w:t>
            </w:r>
          </w:p>
        </w:tc>
        <w:tc>
          <w:tcPr>
            <w:tcW w:type="dxa" w:w="15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-0.53 to 0.43</w:t>
            </w:r>
          </w:p>
        </w:tc>
        <w:tc>
          <w:tcPr>
            <w:tcW w:type="dxa" w:w="976"/>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-0.21</w:t>
            </w:r>
          </w:p>
        </w:tc>
      </w:tr>
      <w:tr>
        <w:trPr>
          <w:cantSplit/>
        </w:trPr>
        <w:tc>
          <w:tcPr>
            <w:tcW w:type="dxa" w:w="27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RSI(14) crosses up 30</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220</w:t>
            </w:r>
          </w:p>
        </w:tc>
        <w:tc>
          <w:tcPr>
            <w:tcW w:type="dxa" w:w="10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0.55%</w:t>
            </w:r>
          </w:p>
        </w:tc>
        <w:tc>
          <w:tcPr>
            <w:tcW w:type="dxa" w:w="9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58.2%</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0.05</w:t>
            </w:r>
          </w:p>
        </w:tc>
        <w:tc>
          <w:tcPr>
            <w:tcW w:type="dxa" w:w="15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-0.89 to 0.99</w:t>
            </w:r>
          </w:p>
        </w:tc>
        <w:tc>
          <w:tcPr>
            <w:tcW w:type="dxa" w:w="97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0.11</w:t>
            </w:r>
          </w:p>
        </w:tc>
      </w:tr>
      <w:tr>
        <w:trPr>
          <w:cantSplit/>
        </w:trPr>
        <w:tc>
          <w:tcPr>
            <w:tcW w:type="dxa" w:w="27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color w:val="000000"/>
                <w:sz w:val="17"/>
                <w:szCs w:val="17"/>
              </w:rPr>
              <w:t xml:space="preserve">MACD crosses signal</w:t>
            </w:r>
          </w:p>
        </w:tc>
        <w:tc>
          <w:tcPr>
            <w:tcW w:type="dxa" w:w="7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790</w:t>
            </w:r>
          </w:p>
        </w:tc>
        <w:tc>
          <w:tcPr>
            <w:tcW w:type="dxa" w:w="10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0.29%</w:t>
            </w:r>
          </w:p>
        </w:tc>
        <w:tc>
          <w:tcPr>
            <w:tcW w:type="dxa" w:w="9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51.0%</w:t>
            </w:r>
          </w:p>
        </w:tc>
        <w:tc>
          <w:tcPr>
            <w:tcW w:type="dxa" w:w="11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-0.20</w:t>
            </w:r>
          </w:p>
        </w:tc>
        <w:tc>
          <w:tcPr>
            <w:tcW w:type="dxa" w:w="15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-0.54 to 0.15</w:t>
            </w:r>
          </w:p>
        </w:tc>
        <w:tc>
          <w:tcPr>
            <w:tcW w:type="dxa" w:w="976"/>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-1.12</w:t>
            </w:r>
          </w:p>
        </w:tc>
      </w:tr>
      <w:tr>
        <w:trPr>
          <w:cantSplit/>
        </w:trPr>
        <w:tc>
          <w:tcPr>
            <w:tcW w:type="dxa" w:w="27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Close crosses up lower BB</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519</w:t>
            </w:r>
          </w:p>
        </w:tc>
        <w:tc>
          <w:tcPr>
            <w:tcW w:type="dxa" w:w="10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0.01%</w:t>
            </w:r>
          </w:p>
        </w:tc>
        <w:tc>
          <w:tcPr>
            <w:tcW w:type="dxa" w:w="9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50.1%</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-0.49</w:t>
            </w:r>
          </w:p>
        </w:tc>
        <w:tc>
          <w:tcPr>
            <w:tcW w:type="dxa" w:w="15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-1.05 to 0.08</w:t>
            </w:r>
          </w:p>
        </w:tc>
        <w:tc>
          <w:tcPr>
            <w:tcW w:type="dxa" w:w="97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-1.69</w:t>
            </w:r>
          </w:p>
        </w:tc>
      </w:tr>
      <w:tr>
        <w:trPr>
          <w:cantSplit/>
        </w:trPr>
        <w:tc>
          <w:tcPr>
            <w:tcW w:type="dxa" w:w="27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color w:val="000000"/>
                <w:sz w:val="17"/>
                <w:szCs w:val="17"/>
              </w:rPr>
              <w:t xml:space="preserve">Stoch %K&gt;%D below 20</w:t>
            </w:r>
          </w:p>
        </w:tc>
        <w:tc>
          <w:tcPr>
            <w:tcW w:type="dxa" w:w="7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628</w:t>
            </w:r>
          </w:p>
        </w:tc>
        <w:tc>
          <w:tcPr>
            <w:tcW w:type="dxa" w:w="10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0.42%</w:t>
            </w:r>
          </w:p>
        </w:tc>
        <w:tc>
          <w:tcPr>
            <w:tcW w:type="dxa" w:w="9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53.2%</w:t>
            </w:r>
          </w:p>
        </w:tc>
        <w:tc>
          <w:tcPr>
            <w:tcW w:type="dxa" w:w="11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-0.06</w:t>
            </w:r>
          </w:p>
        </w:tc>
        <w:tc>
          <w:tcPr>
            <w:tcW w:type="dxa" w:w="15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-0.50 to 0.39</w:t>
            </w:r>
          </w:p>
        </w:tc>
        <w:tc>
          <w:tcPr>
            <w:tcW w:type="dxa" w:w="976"/>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-0.26</w:t>
            </w:r>
          </w:p>
        </w:tc>
      </w:tr>
      <w:tr>
        <w:trPr>
          <w:cantSplit/>
        </w:trPr>
        <w:tc>
          <w:tcPr>
            <w:tcW w:type="dxa" w:w="27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ADX&gt;25 with +DI cross</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135</w:t>
            </w:r>
          </w:p>
        </w:tc>
        <w:tc>
          <w:tcPr>
            <w:tcW w:type="dxa" w:w="10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0.08%</w:t>
            </w:r>
          </w:p>
        </w:tc>
        <w:tc>
          <w:tcPr>
            <w:tcW w:type="dxa" w:w="9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53.3%</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-0.43</w:t>
            </w:r>
          </w:p>
        </w:tc>
        <w:tc>
          <w:tcPr>
            <w:tcW w:type="dxa" w:w="15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-1.21 to 0.35</w:t>
            </w:r>
          </w:p>
        </w:tc>
        <w:tc>
          <w:tcPr>
            <w:tcW w:type="dxa" w:w="97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-1.07</w:t>
            </w:r>
          </w:p>
        </w:tc>
      </w:tr>
      <w:tr>
        <w:trPr>
          <w:cantSplit/>
        </w:trPr>
        <w:tc>
          <w:tcPr>
            <w:tcW w:type="dxa" w:w="27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color w:val="000000"/>
                <w:sz w:val="17"/>
                <w:szCs w:val="17"/>
              </w:rPr>
              <w:t xml:space="preserve">OBV crosses its EMA20</w:t>
            </w:r>
          </w:p>
        </w:tc>
        <w:tc>
          <w:tcPr>
            <w:tcW w:type="dxa" w:w="7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1386</w:t>
            </w:r>
          </w:p>
        </w:tc>
        <w:tc>
          <w:tcPr>
            <w:tcW w:type="dxa" w:w="10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0.56%</w:t>
            </w:r>
          </w:p>
        </w:tc>
        <w:tc>
          <w:tcPr>
            <w:tcW w:type="dxa" w:w="9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53.8%</w:t>
            </w:r>
          </w:p>
        </w:tc>
        <w:tc>
          <w:tcPr>
            <w:tcW w:type="dxa" w:w="11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0.07</w:t>
            </w:r>
          </w:p>
        </w:tc>
        <w:tc>
          <w:tcPr>
            <w:tcW w:type="dxa" w:w="15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-0.19 to 0.32</w:t>
            </w:r>
          </w:p>
        </w:tc>
        <w:tc>
          <w:tcPr>
            <w:tcW w:type="dxa" w:w="976"/>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0.50</w:t>
            </w:r>
          </w:p>
        </w:tc>
      </w:tr>
      <w:tr>
        <w:trPr>
          <w:cantSplit/>
        </w:trPr>
        <w:tc>
          <w:tcPr>
            <w:tcW w:type="dxa" w:w="27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Supertrend flips up</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271</w:t>
            </w:r>
          </w:p>
        </w:tc>
        <w:tc>
          <w:tcPr>
            <w:tcW w:type="dxa" w:w="10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0.08%</w:t>
            </w:r>
          </w:p>
        </w:tc>
        <w:tc>
          <w:tcPr>
            <w:tcW w:type="dxa" w:w="9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50.9%</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-0.42</w:t>
            </w:r>
          </w:p>
        </w:tc>
        <w:tc>
          <w:tcPr>
            <w:tcW w:type="dxa" w:w="15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-1.00 to 0.17</w:t>
            </w:r>
          </w:p>
        </w:tc>
        <w:tc>
          <w:tcPr>
            <w:tcW w:type="dxa" w:w="97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-1.40</w:t>
            </w:r>
          </w:p>
        </w:tc>
      </w:tr>
      <w:tr>
        <w:trPr>
          <w:cantSplit/>
        </w:trPr>
        <w:tc>
          <w:tcPr>
            <w:tcW w:type="dxa" w:w="27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color w:val="000000"/>
                <w:sz w:val="17"/>
                <w:szCs w:val="17"/>
              </w:rPr>
              <w:t xml:space="preserve">CCI(20) crosses up −100</w:t>
            </w:r>
          </w:p>
        </w:tc>
        <w:tc>
          <w:tcPr>
            <w:tcW w:type="dxa" w:w="7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880</w:t>
            </w:r>
          </w:p>
        </w:tc>
        <w:tc>
          <w:tcPr>
            <w:tcW w:type="dxa" w:w="10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0.54%</w:t>
            </w:r>
          </w:p>
        </w:tc>
        <w:tc>
          <w:tcPr>
            <w:tcW w:type="dxa" w:w="9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54.1%</w:t>
            </w:r>
          </w:p>
        </w:tc>
        <w:tc>
          <w:tcPr>
            <w:tcW w:type="dxa" w:w="11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0.06</w:t>
            </w:r>
          </w:p>
        </w:tc>
        <w:tc>
          <w:tcPr>
            <w:tcW w:type="dxa" w:w="15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-0.29 to 0.41</w:t>
            </w:r>
          </w:p>
        </w:tc>
        <w:tc>
          <w:tcPr>
            <w:tcW w:type="dxa" w:w="976"/>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0.35</w:t>
            </w:r>
          </w:p>
        </w:tc>
      </w:tr>
      <w:tr>
        <w:trPr>
          <w:cantSplit/>
        </w:trPr>
        <w:tc>
          <w:tcPr>
            <w:tcW w:type="dxa" w:w="27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MFI(14) crosses up 20</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178</w:t>
            </w:r>
          </w:p>
        </w:tc>
        <w:tc>
          <w:tcPr>
            <w:tcW w:type="dxa" w:w="10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-0.50%</w:t>
            </w:r>
          </w:p>
        </w:tc>
        <w:tc>
          <w:tcPr>
            <w:tcW w:type="dxa" w:w="9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48.3%</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-1.00</w:t>
            </w:r>
          </w:p>
        </w:tc>
        <w:tc>
          <w:tcPr>
            <w:tcW w:type="dxa" w:w="15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-1.89 to -0.11</w:t>
            </w:r>
          </w:p>
        </w:tc>
        <w:tc>
          <w:tcPr>
            <w:tcW w:type="dxa" w:w="976"/>
            <w:tcBorders>
              <w:top w:val="single" w:color="BFBFBF" w:sz="4"/>
              <w:left w:val="single" w:color="BFBFBF" w:sz="4"/>
              <w:bottom w:val="single" w:color="BFBFBF" w:sz="4"/>
              <w:right w:val="single" w:color="BFBFBF" w:sz="4"/>
            </w:tcBorders>
            <w:shd w:fill="F6D5D5"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-2.19</w:t>
            </w:r>
          </w:p>
        </w:tc>
      </w:tr>
      <w:tr>
        <w:trPr>
          <w:cantSplit/>
        </w:trPr>
        <w:tc>
          <w:tcPr>
            <w:tcW w:type="dxa" w:w="27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color w:val="000000"/>
                <w:sz w:val="17"/>
                <w:szCs w:val="17"/>
              </w:rPr>
              <w:t xml:space="preserve">Donchian 20-day breakout</w:t>
            </w:r>
          </w:p>
        </w:tc>
        <w:tc>
          <w:tcPr>
            <w:tcW w:type="dxa" w:w="7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987</w:t>
            </w:r>
          </w:p>
        </w:tc>
        <w:tc>
          <w:tcPr>
            <w:tcW w:type="dxa" w:w="10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0.18%</w:t>
            </w:r>
          </w:p>
        </w:tc>
        <w:tc>
          <w:tcPr>
            <w:tcW w:type="dxa" w:w="9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52.8%</w:t>
            </w:r>
          </w:p>
        </w:tc>
        <w:tc>
          <w:tcPr>
            <w:tcW w:type="dxa" w:w="11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-0.32</w:t>
            </w:r>
          </w:p>
        </w:tc>
        <w:tc>
          <w:tcPr>
            <w:tcW w:type="dxa" w:w="15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-0.61 to -0.04</w:t>
            </w:r>
          </w:p>
        </w:tc>
        <w:tc>
          <w:tcPr>
            <w:tcW w:type="dxa" w:w="976"/>
            <w:tcBorders>
              <w:top w:val="single" w:color="BFBFBF" w:sz="4"/>
              <w:left w:val="single" w:color="BFBFBF" w:sz="4"/>
              <w:bottom w:val="single" w:color="BFBFBF" w:sz="4"/>
              <w:right w:val="single" w:color="BFBFBF" w:sz="4"/>
            </w:tcBorders>
            <w:shd w:fill="F6D5D5"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-2.20</w:t>
            </w:r>
          </w:p>
        </w:tc>
      </w:tr>
      <w:tr>
        <w:trPr>
          <w:cantSplit/>
        </w:trPr>
        <w:tc>
          <w:tcPr>
            <w:tcW w:type="dxa" w:w="27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Unconditional (any day)</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w:t>
            </w:r>
          </w:p>
        </w:tc>
        <w:tc>
          <w:tcPr>
            <w:tcW w:type="dxa" w:w="10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0.49%</w:t>
            </w:r>
          </w:p>
        </w:tc>
        <w:tc>
          <w:tcPr>
            <w:tcW w:type="dxa" w:w="9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54.3%</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w:t>
            </w:r>
          </w:p>
        </w:tc>
        <w:tc>
          <w:tcPr>
            <w:tcW w:type="dxa" w:w="15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w:t>
            </w:r>
          </w:p>
        </w:tc>
        <w:tc>
          <w:tcPr>
            <w:tcW w:type="dxa" w:w="97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w:t>
            </w:r>
          </w:p>
        </w:tc>
      </w:tr>
    </w:tbl>
    <w:p>
      <w:pPr>
        <w:spacing w:after="120" w:before="60" w:line="276"/>
        <w:jc w:val="both"/>
      </w:pPr>
      <w:r>
        <w:rPr>
          <w:rFonts w:ascii="Calibri" w:cs="Calibri" w:eastAsia="Calibri" w:hAnsi="Calibri"/>
          <w:i/>
          <w:iCs/>
          <w:color w:val="595959"/>
          <w:sz w:val="17"/>
          <w:szCs w:val="17"/>
        </w:rPr>
        <w:t xml:space="preserve">Excess = signal's average 10-session return minus that stock's average 10-session return. t &gt; 1.96 in absolute value means significant at 5% (shaded). Signals on the same stock a few days apart overlap, so these standard errors, if anything, flatter significance.</w:t>
      </w:r>
    </w:p>
    <w:p>
      <w:pPr>
        <w:spacing w:after="120" w:before="120" w:line="276"/>
        <w:jc w:val="both"/>
      </w:pPr>
      <w:r>
        <w:rPr>
          <w:rFonts w:ascii="Calibri" w:cs="Calibri" w:eastAsia="Calibri" w:hAnsi="Calibri"/>
          <w:b/>
          <w:bCs/>
          <w:sz w:val="21"/>
          <w:szCs w:val="21"/>
        </w:rPr>
        <w:t xml:space="preserve">Reading. </w:t>
      </w:r>
      <w:r>
        <w:rPr>
          <w:rFonts w:ascii="Calibri" w:cs="Calibri" w:eastAsia="Calibri" w:hAnsi="Calibri"/>
          <w:sz w:val="21"/>
          <w:szCs w:val="21"/>
        </w:rPr>
        <w:t xml:space="preserve">No indicator on its own beats simply being invested by more than sampling noise. The best pooled signal, the SMA 20/50 golden cross, adds 0.25 pp over 10 days with a 95% confidence interval of -0.37 to 0.87 pp; every positive signal has |t| below 1. If no indicator had any edge, about half of the 12 would still land above the average day by chance, and 4 did. The only statistically significant results are negative: MFI crossing up through 20 (t = -2.19) and the Donchian 20-day breakout (t = -2.20), which we return to under herding (Section 5.7). The four indicators added to the original eight therefore broadened the toolkit but added no edge. The cell-level picture in Exhibit 15 is also unstable: the RSI signal adds +2.5 pp on Sun Pharma but -2.1 pp on Maruti. This instability is the raw material for several of the biases in Section 5: an analyst who looks only at the Sun Pharma column will 'see' a powerful RSI edge (confirmation and representativeness), and one who has just watched it work will over-weight it (recency).</w:t>
      </w:r>
    </w:p>
    <w:p>
      <w:pPr>
        <w:pStyle w:val="Heading1"/>
        <w:pageBreakBefore/>
        <w:spacing w:after="200" w:before="0"/>
      </w:pPr>
      <w:r>
        <w:rPr>
          <w:rFonts w:ascii="Calibri" w:cs="Calibri" w:eastAsia="Calibri" w:hAnsi="Calibri"/>
          <w:b/>
          <w:bCs/>
          <w:color w:val="1F4E79"/>
          <w:sz w:val="32"/>
          <w:szCs w:val="32"/>
        </w:rPr>
        <w:t xml:space="preserve">4. Horizon Trading Strategies (Requirement 2)</w:t>
      </w:r>
    </w:p>
    <w:p>
      <w:pPr>
        <w:spacing w:after="120" w:before="0" w:line="276"/>
        <w:jc w:val="both"/>
      </w:pPr>
      <w:r>
        <w:rPr>
          <w:rFonts w:ascii="Calibri" w:cs="Calibri" w:eastAsia="Calibri" w:hAnsi="Calibri"/>
          <w:sz w:val="21"/>
          <w:szCs w:val="21"/>
        </w:rPr>
        <w:t xml:space="preserve">A trading horizon dictates which indicators are appropriate. Over 7 sessions, prices are dominated by short-term noise and over-reaction, so the natural edge is </w:t>
      </w:r>
      <w:r>
        <w:rPr>
          <w:rFonts w:ascii="Calibri" w:cs="Calibri" w:eastAsia="Calibri" w:hAnsi="Calibri"/>
          <w:b/>
          <w:bCs/>
          <w:sz w:val="21"/>
          <w:szCs w:val="21"/>
        </w:rPr>
        <w:t xml:space="preserve">mean reversion</w:t>
      </w:r>
      <w:r>
        <w:rPr>
          <w:rFonts w:ascii="Calibri" w:cs="Calibri" w:eastAsia="Calibri" w:hAnsi="Calibri"/>
          <w:sz w:val="21"/>
          <w:szCs w:val="21"/>
        </w:rPr>
        <w:t xml:space="preserve">. Over 15 sessions, the relevant effect is short-term </w:t>
      </w:r>
      <w:r>
        <w:rPr>
          <w:rFonts w:ascii="Calibri" w:cs="Calibri" w:eastAsia="Calibri" w:hAnsi="Calibri"/>
          <w:b/>
          <w:bCs/>
          <w:sz w:val="21"/>
          <w:szCs w:val="21"/>
        </w:rPr>
        <w:t xml:space="preserve">momentum</w:t>
      </w:r>
      <w:r>
        <w:rPr>
          <w:rFonts w:ascii="Calibri" w:cs="Calibri" w:eastAsia="Calibri" w:hAnsi="Calibri"/>
          <w:sz w:val="21"/>
          <w:szCs w:val="21"/>
        </w:rPr>
        <w:t xml:space="preserve"> (continuation of a fresh move). Over 60 sessions, the relevant effect is the persistence of </w:t>
      </w:r>
      <w:r>
        <w:rPr>
          <w:rFonts w:ascii="Calibri" w:cs="Calibri" w:eastAsia="Calibri" w:hAnsi="Calibri"/>
          <w:b/>
          <w:bCs/>
          <w:sz w:val="21"/>
          <w:szCs w:val="21"/>
        </w:rPr>
        <w:t xml:space="preserve">trends</w:t>
      </w:r>
      <w:r>
        <w:rPr>
          <w:rFonts w:ascii="Calibri" w:cs="Calibri" w:eastAsia="Calibri" w:hAnsi="Calibri"/>
          <w:sz w:val="21"/>
          <w:szCs w:val="21"/>
        </w:rPr>
        <w:t xml:space="preserve"> documented in the time-series momentum literature (Moskowitz, Ooi &amp; Pedersen, 2012). Each strategy therefore pairs a trigger from one indicator family with filters from other families, and exits on a fixed time stop equal to its horizon. The pilot submission showed that unfiltered oscillator signals bought falling stocks; the 200-day trend filter in Strategy A and the OBV volume filter in Strategy B are the two design changes made in response.</w:t>
      </w:r>
    </w:p>
    <w:p>
      <w:pPr>
        <w:spacing w:after="120" w:before="0" w:line="276"/>
        <w:jc w:val="both"/>
      </w:pPr>
      <w:r>
        <w:rPr>
          <w:rFonts w:ascii="Calibri" w:cs="Calibri" w:eastAsia="Calibri" w:hAnsi="Calibri"/>
          <w:b/>
          <w:bCs/>
          <w:sz w:val="21"/>
          <w:szCs w:val="21"/>
        </w:rPr>
        <w:t xml:space="preserve">Why the four added indicators are not in the strategy rules. </w:t>
      </w:r>
      <w:r>
        <w:rPr>
          <w:rFonts w:ascii="Calibri" w:cs="Calibri" w:eastAsia="Calibri" w:hAnsi="Calibri"/>
          <w:sz w:val="21"/>
          <w:szCs w:val="21"/>
        </w:rPr>
        <w:t xml:space="preserve">Supertrend, CCI, MFI and Donchian are used for the indicator tests (Section 3.13) and the bias experiments (Sections 5.1, 5.6 and 5.7), and as a candidate trailing exit in the mitigation tests (Section 6.2), but deliberately not added to the entry rules of Strategies A–C. None of their buy signals beat an average day on pooled data (Table 3.1), and CCI and the Donchian position correlate 0.98 and 0.94 with Bollinger %B, so adding them would be the "indicator shopping" that Section 5.1 shows to be confirmation bias. Keeping the rules fixed also keeps them identical to the versions validated live on TradingView (Section 4.6).</w:t>
      </w:r>
    </w:p>
    <w:p>
      <w:pPr>
        <w:keepNext/>
        <w:spacing w:after="80" w:before="160"/>
      </w:pPr>
      <w:r>
        <w:rPr>
          <w:rFonts w:ascii="Calibri" w:cs="Calibri" w:eastAsia="Calibri" w:hAnsi="Calibri"/>
          <w:b/>
          <w:bCs/>
          <w:color w:val="2E2E2E"/>
          <w:sz w:val="19"/>
          <w:szCs w:val="19"/>
        </w:rPr>
        <w:t xml:space="preserve">Table 4.1 Strategy rules (all long-only, one position at a time, time exit at the horizon)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500"/>
        <w:gridCol w:w="2526"/>
      </w:tblGrid>
      <w:tr>
        <w:trPr>
          <w:cantSplit/>
          <w:tblHeader/>
        </w:trPr>
        <w:tc>
          <w:tcPr>
            <w:tcW w:type="dxa" w:w="15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tcPr>
          <w:p>
            <w:pPr>
              <w:jc w:val="left"/>
            </w:pPr>
            <w:r>
              <w:rPr>
                <w:rFonts w:ascii="Calibri" w:cs="Calibri" w:eastAsia="Calibri" w:hAnsi="Calibri"/>
                <w:b/>
                <w:bCs/>
                <w:color w:val="FFFFFF"/>
                <w:sz w:val="17"/>
                <w:szCs w:val="17"/>
              </w:rPr>
              <w:t xml:space="preserve"/>
            </w:r>
          </w:p>
        </w:tc>
        <w:tc>
          <w:tcPr>
            <w:tcW w:type="dxa" w:w="25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tcPr>
          <w:p>
            <w:pPr>
              <w:jc w:val="left"/>
            </w:pPr>
            <w:r>
              <w:rPr>
                <w:rFonts w:ascii="Calibri" w:cs="Calibri" w:eastAsia="Calibri" w:hAnsi="Calibri"/>
                <w:b/>
                <w:bCs/>
                <w:color w:val="FFFFFF"/>
                <w:sz w:val="17"/>
                <w:szCs w:val="17"/>
              </w:rPr>
              <w:t xml:space="preserve">Strategy A — 7-day</w:t>
            </w:r>
          </w:p>
        </w:tc>
        <w:tc>
          <w:tcPr>
            <w:tcW w:type="dxa" w:w="25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tcPr>
          <w:p>
            <w:pPr>
              <w:jc w:val="left"/>
            </w:pPr>
            <w:r>
              <w:rPr>
                <w:rFonts w:ascii="Calibri" w:cs="Calibri" w:eastAsia="Calibri" w:hAnsi="Calibri"/>
                <w:b/>
                <w:bCs/>
                <w:color w:val="FFFFFF"/>
                <w:sz w:val="17"/>
                <w:szCs w:val="17"/>
              </w:rPr>
              <w:t xml:space="preserve">Strategy B — 15-day</w:t>
            </w:r>
          </w:p>
        </w:tc>
        <w:tc>
          <w:tcPr>
            <w:tcW w:type="dxa" w:w="2526"/>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tcPr>
          <w:p>
            <w:pPr>
              <w:jc w:val="left"/>
            </w:pPr>
            <w:r>
              <w:rPr>
                <w:rFonts w:ascii="Calibri" w:cs="Calibri" w:eastAsia="Calibri" w:hAnsi="Calibri"/>
                <w:b/>
                <w:bCs/>
                <w:color w:val="FFFFFF"/>
                <w:sz w:val="17"/>
                <w:szCs w:val="17"/>
              </w:rPr>
              <w:t xml:space="preserve">Strategy C — 60-day</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bCs/>
                <w:color w:val="000000"/>
                <w:sz w:val="17"/>
                <w:szCs w:val="17"/>
              </w:rPr>
              <w:t xml:space="preserve">Edge targeted</w:t>
            </w:r>
          </w:p>
        </w:tc>
        <w:tc>
          <w:tcPr>
            <w:tcW w:type="dxa" w:w="25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color w:val="000000"/>
                <w:sz w:val="17"/>
                <w:szCs w:val="17"/>
              </w:rPr>
              <w:t xml:space="preserve">Short-term over-reaction (mean reversion)</w:t>
            </w:r>
          </w:p>
        </w:tc>
        <w:tc>
          <w:tcPr>
            <w:tcW w:type="dxa" w:w="25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color w:val="000000"/>
                <w:sz w:val="17"/>
                <w:szCs w:val="17"/>
              </w:rPr>
              <w:t xml:space="preserve">Fresh momentum (continuation)</w:t>
            </w:r>
          </w:p>
        </w:tc>
        <w:tc>
          <w:tcPr>
            <w:tcW w:type="dxa" w:w="25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color w:val="000000"/>
                <w:sz w:val="17"/>
                <w:szCs w:val="17"/>
              </w:rPr>
              <w:t xml:space="preserve">Established trend (persistence)</w:t>
            </w:r>
          </w:p>
        </w:tc>
      </w:tr>
      <w:tr>
        <w:trPr>
          <w:cantSplit/>
        </w:trPr>
        <w:tc>
          <w:tcPr>
            <w:tcW w:type="dxa" w:w="15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b/>
                <w:bCs/>
                <w:color w:val="000000"/>
                <w:sz w:val="17"/>
                <w:szCs w:val="17"/>
              </w:rPr>
              <w:t xml:space="preserve">Trigger</w:t>
            </w:r>
          </w:p>
        </w:tc>
        <w:tc>
          <w:tcPr>
            <w:tcW w:type="dxa" w:w="25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b w:val="false"/>
                <w:bCs w:val="false"/>
                <w:color w:val="000000"/>
                <w:sz w:val="17"/>
                <w:szCs w:val="17"/>
              </w:rPr>
              <w:t xml:space="preserve">RSI(14) crosses up 35, or Stoch %K crosses %D below 20</w:t>
            </w:r>
          </w:p>
        </w:tc>
        <w:tc>
          <w:tcPr>
            <w:tcW w:type="dxa" w:w="25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b w:val="false"/>
                <w:bCs w:val="false"/>
                <w:color w:val="000000"/>
                <w:sz w:val="17"/>
                <w:szCs w:val="17"/>
              </w:rPr>
              <w:t xml:space="preserve">MACD crosses above its signal line</w:t>
            </w:r>
          </w:p>
        </w:tc>
        <w:tc>
          <w:tcPr>
            <w:tcW w:type="dxa" w:w="2526"/>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b w:val="false"/>
                <w:bCs w:val="false"/>
                <w:color w:val="000000"/>
                <w:sz w:val="17"/>
                <w:szCs w:val="17"/>
              </w:rPr>
              <w:t xml:space="preserve">SMA20 crosses above SMA50, or close crosses above SMA50</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bCs/>
                <w:color w:val="000000"/>
                <w:sz w:val="17"/>
                <w:szCs w:val="17"/>
              </w:rPr>
              <w:t xml:space="preserve">Filters</w:t>
            </w:r>
          </w:p>
        </w:tc>
        <w:tc>
          <w:tcPr>
            <w:tcW w:type="dxa" w:w="25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color w:val="000000"/>
                <w:sz w:val="17"/>
                <w:szCs w:val="17"/>
              </w:rPr>
              <w:t xml:space="preserve">Close &gt; SMA200 (buy dips only in up-trends)</w:t>
            </w:r>
          </w:p>
        </w:tc>
        <w:tc>
          <w:tcPr>
            <w:tcW w:type="dxa" w:w="25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color w:val="000000"/>
                <w:sz w:val="17"/>
                <w:szCs w:val="17"/>
              </w:rPr>
              <w:t xml:space="preserve">EMA9 &gt; EMA21 (trend) and OBV &gt; EMA20 of OBV (volume)</w:t>
            </w:r>
          </w:p>
        </w:tc>
        <w:tc>
          <w:tcPr>
            <w:tcW w:type="dxa" w:w="25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color w:val="000000"/>
                <w:sz w:val="17"/>
                <w:szCs w:val="17"/>
              </w:rPr>
              <w:t xml:space="preserve">SMA50 &gt; SMA200, ADX &gt; 20, +DI &gt; −DI</w:t>
            </w:r>
          </w:p>
        </w:tc>
      </w:tr>
      <w:tr>
        <w:trPr>
          <w:cantSplit/>
        </w:trPr>
        <w:tc>
          <w:tcPr>
            <w:tcW w:type="dxa" w:w="15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b/>
                <w:bCs/>
                <w:color w:val="000000"/>
                <w:sz w:val="17"/>
                <w:szCs w:val="17"/>
              </w:rPr>
              <w:t xml:space="preserve">Indicators used</w:t>
            </w:r>
          </w:p>
        </w:tc>
        <w:tc>
          <w:tcPr>
            <w:tcW w:type="dxa" w:w="25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b w:val="false"/>
                <w:bCs w:val="false"/>
                <w:color w:val="000000"/>
                <w:sz w:val="17"/>
                <w:szCs w:val="17"/>
              </w:rPr>
              <w:t xml:space="preserve">RSI, Stochastic, SMA</w:t>
            </w:r>
          </w:p>
        </w:tc>
        <w:tc>
          <w:tcPr>
            <w:tcW w:type="dxa" w:w="25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b w:val="false"/>
                <w:bCs w:val="false"/>
                <w:color w:val="000000"/>
                <w:sz w:val="17"/>
                <w:szCs w:val="17"/>
              </w:rPr>
              <w:t xml:space="preserve">MACD, EMA, OBV</w:t>
            </w:r>
          </w:p>
        </w:tc>
        <w:tc>
          <w:tcPr>
            <w:tcW w:type="dxa" w:w="2526"/>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b w:val="false"/>
                <w:bCs w:val="false"/>
                <w:color w:val="000000"/>
                <w:sz w:val="17"/>
                <w:szCs w:val="17"/>
              </w:rPr>
              <w:t xml:space="preserve">SMA, ADX/DMI</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bCs/>
                <w:color w:val="000000"/>
                <w:sz w:val="17"/>
                <w:szCs w:val="17"/>
              </w:rPr>
              <w:t xml:space="preserve">Exit</w:t>
            </w:r>
          </w:p>
        </w:tc>
        <w:tc>
          <w:tcPr>
            <w:tcW w:type="dxa" w:w="25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color w:val="000000"/>
                <w:sz w:val="17"/>
                <w:szCs w:val="17"/>
              </w:rPr>
              <w:t xml:space="preserve">Open of session 8 (7 sessions held)</w:t>
            </w:r>
          </w:p>
        </w:tc>
        <w:tc>
          <w:tcPr>
            <w:tcW w:type="dxa" w:w="25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color w:val="000000"/>
                <w:sz w:val="17"/>
                <w:szCs w:val="17"/>
              </w:rPr>
              <w:t xml:space="preserve">Open of session 16</w:t>
            </w:r>
          </w:p>
        </w:tc>
        <w:tc>
          <w:tcPr>
            <w:tcW w:type="dxa" w:w="25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color w:val="000000"/>
                <w:sz w:val="17"/>
                <w:szCs w:val="17"/>
              </w:rPr>
              <w:t xml:space="preserve">Open of session 61</w:t>
            </w:r>
          </w:p>
        </w:tc>
      </w:tr>
      <w:tr>
        <w:trPr>
          <w:cantSplit/>
        </w:trPr>
        <w:tc>
          <w:tcPr>
            <w:tcW w:type="dxa" w:w="15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b/>
                <w:bCs/>
                <w:color w:val="000000"/>
                <w:sz w:val="17"/>
                <w:szCs w:val="17"/>
              </w:rPr>
              <w:t xml:space="preserve">Pine file</w:t>
            </w:r>
          </w:p>
        </w:tc>
        <w:tc>
          <w:tcPr>
            <w:tcW w:type="dxa" w:w="25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b w:val="false"/>
                <w:bCs w:val="false"/>
                <w:color w:val="000000"/>
                <w:sz w:val="17"/>
                <w:szCs w:val="17"/>
              </w:rPr>
              <w:t xml:space="preserve">14_Strategy_A_7Day_MeanReversion</w:t>
            </w:r>
          </w:p>
        </w:tc>
        <w:tc>
          <w:tcPr>
            <w:tcW w:type="dxa" w:w="25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b w:val="false"/>
                <w:bCs w:val="false"/>
                <w:color w:val="000000"/>
                <w:sz w:val="17"/>
                <w:szCs w:val="17"/>
              </w:rPr>
              <w:t xml:space="preserve">15_Strategy_B_15Day_Momentum</w:t>
            </w:r>
          </w:p>
        </w:tc>
        <w:tc>
          <w:tcPr>
            <w:tcW w:type="dxa" w:w="2526"/>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b w:val="false"/>
                <w:bCs w:val="false"/>
                <w:color w:val="000000"/>
                <w:sz w:val="17"/>
                <w:szCs w:val="17"/>
              </w:rPr>
              <w:t xml:space="preserve">16_Strategy_C_60Day_Trend</w:t>
            </w:r>
          </w:p>
        </w:tc>
      </w:tr>
    </w:tbl>
    <w:p>
      <w:pPr>
        <w:pStyle w:val="Heading2"/>
        <w:keepNext/>
        <w:spacing w:after="120" w:before="240"/>
      </w:pPr>
      <w:r>
        <w:rPr>
          <w:rFonts w:ascii="Calibri" w:cs="Calibri" w:eastAsia="Calibri" w:hAnsi="Calibri"/>
          <w:b/>
          <w:bCs/>
          <w:color w:val="1F4E79"/>
          <w:sz w:val="26"/>
          <w:szCs w:val="26"/>
        </w:rPr>
        <w:t xml:space="preserve">4.1 Pine Script implementation</w:t>
      </w:r>
    </w:p>
    <w:p>
      <w:pPr>
        <w:spacing w:after="120" w:before="0" w:line="276"/>
        <w:jc w:val="both"/>
      </w:pPr>
      <w:r>
        <w:rPr>
          <w:rFonts w:ascii="Calibri" w:cs="Calibri" w:eastAsia="Calibri" w:hAnsi="Calibri"/>
          <w:sz w:val="21"/>
          <w:szCs w:val="21"/>
        </w:rPr>
        <w:t xml:space="preserve">All three strategies share one template; only the entry rule and holding period change. The full Strategy B script is shown below (A and C are in Appendix B). The time exit uses </w:t>
      </w:r>
      <w:r>
        <w:rPr>
          <w:rFonts w:ascii="Consolas" w:cs="Consolas" w:eastAsia="Consolas" w:hAnsi="Consolas"/>
          <w:sz w:val="19"/>
          <w:szCs w:val="19"/>
        </w:rPr>
        <w:t xml:space="preserve">strategy.opentrades.entry_bar_index(0)</w:t>
      </w:r>
      <w:r>
        <w:rPr>
          <w:rFonts w:ascii="Calibri" w:cs="Calibri" w:eastAsia="Calibri" w:hAnsi="Calibri"/>
          <w:sz w:val="21"/>
          <w:szCs w:val="21"/>
        </w:rPr>
        <w:t xml:space="preserve"> to count bars in the trade, and the entry is gated on </w:t>
      </w:r>
      <w:r>
        <w:rPr>
          <w:rFonts w:ascii="Consolas" w:cs="Consolas" w:eastAsia="Consolas" w:hAnsi="Consolas"/>
          <w:sz w:val="19"/>
          <w:szCs w:val="19"/>
        </w:rPr>
        <w:t xml:space="preserve">strategy.position_size == 0</w:t>
      </w:r>
      <w:r>
        <w:rPr>
          <w:rFonts w:ascii="Calibri" w:cs="Calibri" w:eastAsia="Calibri" w:hAnsi="Calibri"/>
          <w:sz w:val="21"/>
          <w:szCs w:val="21"/>
        </w:rPr>
        <w:t xml:space="preserve"> so trades never overlap.</w:t>
      </w:r>
    </w:p>
    <w:p>
      <w:pPr>
        <w:keepNext w:val="false"/>
        <w:keepLines/>
        <w:shd w:fill="F4F4F2" w:color="auto" w:val="clear"/>
        <w:spacing w:after="0" w:line="228"/>
        <w:ind w:left="120" w:right="120"/>
      </w:pPr>
      <w:r>
        <w:rPr>
          <w:rFonts w:ascii="Consolas" w:cs="Consolas" w:eastAsia="Consolas" w:hAnsi="Consolas"/>
          <w:color w:val="4F7F4F"/>
          <w:sz w:val="14"/>
          <w:szCs w:val="14"/>
        </w:rPr>
        <w:t xml:space="preserve">//@version=6</w:t>
      </w:r>
    </w:p>
    <w:p>
      <w:pPr>
        <w:keepNext w:val="false"/>
        <w:keepLines/>
        <w:shd w:fill="F4F4F2" w:color="auto" w:val="clear"/>
        <w:spacing w:after="0" w:line="228"/>
        <w:ind w:left="120" w:right="120"/>
      </w:pPr>
      <w:r>
        <w:rPr>
          <w:rFonts w:ascii="Consolas" w:cs="Consolas" w:eastAsia="Consolas" w:hAnsi="Consolas"/>
          <w:color w:val="4F7F4F"/>
          <w:sz w:val="14"/>
          <w:szCs w:val="14"/>
        </w:rPr>
        <w:t xml:space="preserve">// MBA680 | Strategy B — 15-day MACD/EMA momentum</w:t>
      </w:r>
    </w:p>
    <w:p>
      <w:pPr>
        <w:keepNext w:val="false"/>
        <w:keepLines/>
        <w:shd w:fill="F4F4F2" w:color="auto" w:val="clear"/>
        <w:spacing w:after="0" w:line="228"/>
        <w:ind w:left="120" w:right="120"/>
      </w:pPr>
      <w:r>
        <w:rPr>
          <w:rFonts w:ascii="Consolas" w:cs="Consolas" w:eastAsia="Consolas" w:hAnsi="Consolas"/>
          <w:color w:val="4F7F4F"/>
          <w:sz w:val="14"/>
          <w:szCs w:val="14"/>
        </w:rPr>
        <w:t xml:space="preserve">// Long-only, one position at a time, 100% of equity, Rs 10 lakh, 0.15% commission per side (STT 0.1% + stamp/exchange/GST + slippage; set 0.05 to reproduce the validation run).</w:t>
      </w:r>
    </w:p>
    <w:p>
      <w:pPr>
        <w:keepNext w:val="false"/>
        <w:keepLines/>
        <w:shd w:fill="F4F4F2" w:color="auto" w:val="clear"/>
        <w:spacing w:after="0" w:line="228"/>
        <w:ind w:left="120" w:right="120"/>
      </w:pPr>
      <w:r>
        <w:rPr>
          <w:rFonts w:ascii="Consolas" w:cs="Consolas" w:eastAsia="Consolas" w:hAnsi="Consolas"/>
          <w:color w:val="4F7F4F"/>
          <w:sz w:val="14"/>
          <w:szCs w:val="14"/>
        </w:rPr>
        <w:t xml:space="preserve">// Signal evaluated on the bar's close; orders fill at the NEXT bar's open (TradingView default).</w:t>
      </w:r>
    </w:p>
    <w:p>
      <w:pPr>
        <w:keepNext w:val="false"/>
        <w:keepLines/>
        <w:shd w:fill="F4F4F2" w:color="auto" w:val="clear"/>
        <w:spacing w:after="0" w:line="228"/>
        <w:ind w:left="120" w:right="120"/>
      </w:pPr>
      <w:r>
        <w:rPr>
          <w:rFonts w:ascii="Consolas" w:cs="Consolas" w:eastAsia="Consolas" w:hAnsi="Consolas"/>
          <w:color w:val="4F7F4F"/>
          <w:sz w:val="14"/>
          <w:szCs w:val="14"/>
        </w:rPr>
        <w:t xml:space="preserve">// Exit: fixed holding period of `hold` bars (time stop). Optional ATR stop (off by default).</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strategy("MBA680 · Strategy B — 15-day MACD/EMA momentum", overlay=true, initial_capital=1000000, currency=currency.INR,</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default_qty_type=strategy.percent_of_equity, default_qty_value=100,</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commission_type=strategy.commission.percent, commission_value=0.15, pyramiding=0,</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margin_long=0, margin_short=0)   // no margin checks: entries are never rejected or margin-called</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hold    = input.int(15, "Holding period (bars)", minval=1)</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useStop = input.bool(false, "Use ATR stop")</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stopMul = input.float(3.0, "ATR stop multiple", step=0.5)</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tStart  = input.time(timestamp("2015-01-01"), "Backtest start")</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tEnd    = input.time(timestamp("2026-12-31"), "Backtest end")</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inWin   = time &gt;= tStart and time &lt;= tEnd</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w:t>
      </w:r>
    </w:p>
    <w:p>
      <w:pPr>
        <w:keepNext w:val="false"/>
        <w:keepLines/>
        <w:shd w:fill="F4F4F2" w:color="auto" w:val="clear"/>
        <w:spacing w:after="0" w:line="228"/>
        <w:ind w:left="120" w:right="120"/>
      </w:pPr>
      <w:r>
        <w:rPr>
          <w:rFonts w:ascii="Consolas" w:cs="Consolas" w:eastAsia="Consolas" w:hAnsi="Consolas"/>
          <w:color w:val="4F7F4F"/>
          <w:sz w:val="14"/>
          <w:szCs w:val="14"/>
        </w:rPr>
        <w:t xml:space="preserve">// ---- indicators used ----</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rsi  = ta.rsi(close, 14)</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k    = ta.sma(ta.stoch(close, high, low, 14), 3)</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d    = ta.sma(k, 3)</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[macd, sig, hist] = ta.macd(close, 12, 26, 9)</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ema9  = ta.ema(close, 9)</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ema21 = ta.ema(close, 21)</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sma20 = ta.sma(close, 20)</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sma50 = ta.sma(close, 50)</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sma200 = ta.sma(close, 200)</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[pdi, ndi, adx] = ta.dmi(14, 14)</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obv  = ta.obv</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obvE = ta.ema(obv, 20)</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atr  = ta.atr(14)</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w:t>
      </w:r>
    </w:p>
    <w:p>
      <w:pPr>
        <w:keepNext w:val="false"/>
        <w:keepLines/>
        <w:shd w:fill="F4F4F2" w:color="auto" w:val="clear"/>
        <w:spacing w:after="0" w:line="228"/>
        <w:ind w:left="120" w:right="120"/>
      </w:pPr>
      <w:r>
        <w:rPr>
          <w:rFonts w:ascii="Consolas" w:cs="Consolas" w:eastAsia="Consolas" w:hAnsi="Consolas"/>
          <w:color w:val="4F7F4F"/>
          <w:sz w:val="14"/>
          <w:szCs w:val="14"/>
        </w:rPr>
        <w:t xml:space="preserve">// ---- entry rule ----</w:t>
      </w:r>
    </w:p>
    <w:p>
      <w:pPr>
        <w:keepNext w:val="false"/>
        <w:keepLines/>
        <w:shd w:fill="F4F4F2" w:color="auto" w:val="clear"/>
        <w:spacing w:after="0" w:line="228"/>
        <w:ind w:left="120" w:right="120"/>
      </w:pPr>
      <w:r>
        <w:rPr>
          <w:rFonts w:ascii="Consolas" w:cs="Consolas" w:eastAsia="Consolas" w:hAnsi="Consolas"/>
          <w:color w:val="4F7F4F"/>
          <w:sz w:val="14"/>
          <w:szCs w:val="14"/>
        </w:rPr>
        <w:t xml:space="preserve">// Fresh MACD momentum, confirmed by short-term trend (EMA 9&gt;21) and volume (OBV above its EMA)</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longCond = ta.crossover(macd, sig) and ema9 &gt; ema21 and obv &gt; obvE</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if longCond and inWin and strategy.position_size == 0</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strategy.entry("Long", strategy.long)</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if useStop</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strategy.exit("Stop", "Long", stop = close - stopMul * atr)</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w:t>
      </w:r>
    </w:p>
    <w:p>
      <w:pPr>
        <w:keepNext w:val="false"/>
        <w:keepLines/>
        <w:shd w:fill="F4F4F2" w:color="auto" w:val="clear"/>
        <w:spacing w:after="0" w:line="228"/>
        <w:ind w:left="120" w:right="120"/>
      </w:pPr>
      <w:r>
        <w:rPr>
          <w:rFonts w:ascii="Consolas" w:cs="Consolas" w:eastAsia="Consolas" w:hAnsi="Consolas"/>
          <w:color w:val="4F7F4F"/>
          <w:sz w:val="14"/>
          <w:szCs w:val="14"/>
        </w:rPr>
        <w:t xml:space="preserve">// ---- time exit: close on the bar that completes `hold` bars in the trade ----</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if strategy.position_size &gt; 0 and bar_index - strategy.opentrades.entry_bar_index(0) &gt;= hold - 1</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strategy.close("Long", comment="Time exit")</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if not inWin and strategy.position_size &gt; 0</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strategy.close("Long", comment="Window end")</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plot(ema9, "EMA 9", color=#2a78d6)</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plot(ema21, "EMA 21", color=#eb6834)</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plotshape(longCond and strategy.position_size == 0, "Signal", shape.triangleup, location.belowbar, #008300, size=size.small)</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bgcolor(strategy.position_size &gt; 0 ? color.new(#2a78d6, 92) : na, title="In trade")</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alertcondition(longCond, "Entry signal", "{{ticker}}: Strategy B — 15-day MACD/EMA momentum entry signal")</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w:t>
      </w:r>
    </w:p>
    <w:p>
      <w:pPr>
        <w:pStyle w:val="Heading2"/>
        <w:keepNext/>
        <w:spacing w:after="120" w:before="240"/>
      </w:pPr>
      <w:r>
        <w:rPr>
          <w:rFonts w:ascii="Calibri" w:cs="Calibri" w:eastAsia="Calibri" w:hAnsi="Calibri"/>
          <w:b/>
          <w:bCs/>
          <w:color w:val="1F4E79"/>
          <w:sz w:val="26"/>
          <w:szCs w:val="26"/>
        </w:rPr>
        <w:t xml:space="preserve">4.2 Results by strategy and stock</w:t>
      </w:r>
    </w:p>
    <w:p>
      <w:pPr>
        <w:keepNext/>
        <w:spacing w:after="80" w:before="160"/>
      </w:pPr>
      <w:r>
        <w:rPr>
          <w:rFonts w:ascii="Calibri" w:cs="Calibri" w:eastAsia="Calibri" w:hAnsi="Calibri"/>
          <w:b/>
          <w:bCs/>
          <w:color w:val="2E2E2E"/>
          <w:sz w:val="19"/>
          <w:szCs w:val="19"/>
        </w:rPr>
        <w:t xml:space="preserve">Table 4.2 Strategy A — 7-day mean reversion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50"/>
        <w:gridCol w:w="700"/>
        <w:gridCol w:w="750"/>
        <w:gridCol w:w="900"/>
        <w:gridCol w:w="900"/>
        <w:gridCol w:w="800"/>
        <w:gridCol w:w="900"/>
        <w:gridCol w:w="850"/>
        <w:gridCol w:w="800"/>
        <w:gridCol w:w="1176"/>
      </w:tblGrid>
      <w:tr>
        <w:trPr>
          <w:cantSplit/>
          <w:tblHeader/>
        </w:trPr>
        <w:tc>
          <w:tcPr>
            <w:tcW w:type="dxa" w:w="125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tcPr>
          <w:p>
            <w:pPr>
              <w:jc w:val="left"/>
            </w:pPr>
            <w:r>
              <w:rPr>
                <w:rFonts w:ascii="Calibri" w:cs="Calibri" w:eastAsia="Calibri" w:hAnsi="Calibri"/>
                <w:b/>
                <w:bCs/>
                <w:color w:val="FFFFFF"/>
                <w:sz w:val="17"/>
                <w:szCs w:val="17"/>
              </w:rPr>
              <w:t xml:space="preserve">Stock</w:t>
            </w:r>
          </w:p>
        </w:tc>
        <w:tc>
          <w:tcPr>
            <w:tcW w:type="dxa" w:w="7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tcPr>
          <w:p>
            <w:pPr>
              <w:jc w:val="center"/>
            </w:pPr>
            <w:r>
              <w:rPr>
                <w:rFonts w:ascii="Calibri" w:cs="Calibri" w:eastAsia="Calibri" w:hAnsi="Calibri"/>
                <w:b/>
                <w:bCs/>
                <w:color w:val="FFFFFF"/>
                <w:sz w:val="17"/>
                <w:szCs w:val="17"/>
              </w:rPr>
              <w:t xml:space="preserve">Trades</w:t>
            </w:r>
          </w:p>
        </w:tc>
        <w:tc>
          <w:tcPr>
            <w:tcW w:type="dxa" w:w="75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tcPr>
          <w:p>
            <w:pPr>
              <w:jc w:val="center"/>
            </w:pPr>
            <w:r>
              <w:rPr>
                <w:rFonts w:ascii="Calibri" w:cs="Calibri" w:eastAsia="Calibri" w:hAnsi="Calibri"/>
                <w:b/>
                <w:bCs/>
                <w:color w:val="FFFFFF"/>
                <w:sz w:val="17"/>
                <w:szCs w:val="17"/>
              </w:rPr>
              <w:t xml:space="preserve">Win %</w:t>
            </w:r>
          </w:p>
        </w:tc>
        <w:tc>
          <w:tcPr>
            <w:tcW w:type="dxa" w:w="9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tcPr>
          <w:p>
            <w:pPr>
              <w:jc w:val="center"/>
            </w:pPr>
            <w:r>
              <w:rPr>
                <w:rFonts w:ascii="Calibri" w:cs="Calibri" w:eastAsia="Calibri" w:hAnsi="Calibri"/>
                <w:b/>
                <w:bCs/>
                <w:color w:val="FFFFFF"/>
                <w:sz w:val="17"/>
                <w:szCs w:val="17"/>
              </w:rPr>
              <w:t xml:space="preserve">Avg trade</w:t>
            </w:r>
          </w:p>
        </w:tc>
        <w:tc>
          <w:tcPr>
            <w:tcW w:type="dxa" w:w="9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tcPr>
          <w:p>
            <w:pPr>
              <w:jc w:val="center"/>
            </w:pPr>
            <w:r>
              <w:rPr>
                <w:rFonts w:ascii="Calibri" w:cs="Calibri" w:eastAsia="Calibri" w:hAnsi="Calibri"/>
                <w:b/>
                <w:bCs/>
                <w:color w:val="FFFFFF"/>
                <w:sz w:val="17"/>
                <w:szCs w:val="17"/>
              </w:rPr>
              <w:t xml:space="preserve">Profit factor</w:t>
            </w:r>
          </w:p>
        </w:tc>
        <w:tc>
          <w:tcPr>
            <w:tcW w:type="dxa" w:w="8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tcPr>
          <w:p>
            <w:pPr>
              <w:jc w:val="center"/>
            </w:pPr>
            <w:r>
              <w:rPr>
                <w:rFonts w:ascii="Calibri" w:cs="Calibri" w:eastAsia="Calibri" w:hAnsi="Calibri"/>
                <w:b/>
                <w:bCs/>
                <w:color w:val="FFFFFF"/>
                <w:sz w:val="17"/>
                <w:szCs w:val="17"/>
              </w:rPr>
              <w:t xml:space="preserve">CAGR</w:t>
            </w:r>
          </w:p>
        </w:tc>
        <w:tc>
          <w:tcPr>
            <w:tcW w:type="dxa" w:w="9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tcPr>
          <w:p>
            <w:pPr>
              <w:jc w:val="center"/>
            </w:pPr>
            <w:r>
              <w:rPr>
                <w:rFonts w:ascii="Calibri" w:cs="Calibri" w:eastAsia="Calibri" w:hAnsi="Calibri"/>
                <w:b/>
                <w:bCs/>
                <w:color w:val="FFFFFF"/>
                <w:sz w:val="17"/>
                <w:szCs w:val="17"/>
              </w:rPr>
              <w:t xml:space="preserve">B&amp;H CAGR</w:t>
            </w:r>
          </w:p>
        </w:tc>
        <w:tc>
          <w:tcPr>
            <w:tcW w:type="dxa" w:w="85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tcPr>
          <w:p>
            <w:pPr>
              <w:jc w:val="center"/>
            </w:pPr>
            <w:r>
              <w:rPr>
                <w:rFonts w:ascii="Calibri" w:cs="Calibri" w:eastAsia="Calibri" w:hAnsi="Calibri"/>
                <w:b/>
                <w:bCs/>
                <w:color w:val="FFFFFF"/>
                <w:sz w:val="17"/>
                <w:szCs w:val="17"/>
              </w:rPr>
              <w:t xml:space="preserve">Max DD</w:t>
            </w:r>
          </w:p>
        </w:tc>
        <w:tc>
          <w:tcPr>
            <w:tcW w:type="dxa" w:w="8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tcPr>
          <w:p>
            <w:pPr>
              <w:jc w:val="center"/>
            </w:pPr>
            <w:r>
              <w:rPr>
                <w:rFonts w:ascii="Calibri" w:cs="Calibri" w:eastAsia="Calibri" w:hAnsi="Calibri"/>
                <w:b/>
                <w:bCs/>
                <w:color w:val="FFFFFF"/>
                <w:sz w:val="17"/>
                <w:szCs w:val="17"/>
              </w:rPr>
              <w:t xml:space="preserve">Excess Sharpe</w:t>
            </w:r>
          </w:p>
        </w:tc>
        <w:tc>
          <w:tcPr>
            <w:tcW w:type="dxa" w:w="1176"/>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tcPr>
          <w:p>
            <w:pPr>
              <w:jc w:val="center"/>
            </w:pPr>
            <w:r>
              <w:rPr>
                <w:rFonts w:ascii="Calibri" w:cs="Calibri" w:eastAsia="Calibri" w:hAnsi="Calibri"/>
                <w:b/>
                <w:bCs/>
                <w:color w:val="FFFFFF"/>
                <w:sz w:val="17"/>
                <w:szCs w:val="17"/>
              </w:rPr>
              <w:t xml:space="preserve">Time in mkt</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RELIANCE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40</w:t>
            </w:r>
          </w:p>
        </w:tc>
        <w:tc>
          <w:tcPr>
            <w:tcW w:type="dxa" w:w="7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43%</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-0.38%</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0.78</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3.8%</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16.7%</w:t>
            </w:r>
          </w:p>
        </w:tc>
        <w:tc>
          <w:tcPr>
            <w:tcW w:type="dxa" w:w="8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-20%</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-0.23</w:t>
            </w:r>
          </w:p>
        </w:tc>
        <w:tc>
          <w:tcPr>
            <w:tcW w:type="dxa" w:w="117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10%</w:t>
            </w:r>
          </w:p>
        </w:tc>
      </w:tr>
      <w:tr>
        <w:trPr>
          <w:cantSplit/>
        </w:trPr>
        <w:tc>
          <w:tcPr>
            <w:tcW w:type="dxa" w:w="12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color w:val="000000"/>
                <w:sz w:val="17"/>
                <w:szCs w:val="17"/>
              </w:rPr>
              <w:t xml:space="preserve">HDFCBANK</w:t>
            </w:r>
          </w:p>
        </w:tc>
        <w:tc>
          <w:tcPr>
            <w:tcW w:type="dxa" w:w="7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32</w:t>
            </w:r>
          </w:p>
        </w:tc>
        <w:tc>
          <w:tcPr>
            <w:tcW w:type="dxa" w:w="7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38%</w:t>
            </w:r>
          </w:p>
        </w:tc>
        <w:tc>
          <w:tcPr>
            <w:tcW w:type="dxa" w:w="9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-0.83%</w:t>
            </w:r>
          </w:p>
        </w:tc>
        <w:tc>
          <w:tcPr>
            <w:tcW w:type="dxa" w:w="9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0.38</w:t>
            </w:r>
          </w:p>
        </w:tc>
        <w:tc>
          <w:tcPr>
            <w:tcW w:type="dxa" w:w="8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3.1%</w:t>
            </w:r>
          </w:p>
        </w:tc>
        <w:tc>
          <w:tcPr>
            <w:tcW w:type="dxa" w:w="9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10.1%</w:t>
            </w:r>
          </w:p>
        </w:tc>
        <w:tc>
          <w:tcPr>
            <w:tcW w:type="dxa" w:w="8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-13%</w:t>
            </w:r>
          </w:p>
        </w:tc>
        <w:tc>
          <w:tcPr>
            <w:tcW w:type="dxa" w:w="8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-0.52</w:t>
            </w:r>
          </w:p>
        </w:tc>
        <w:tc>
          <w:tcPr>
            <w:tcW w:type="dxa" w:w="1176"/>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8%</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INFY</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27</w:t>
            </w:r>
          </w:p>
        </w:tc>
        <w:tc>
          <w:tcPr>
            <w:tcW w:type="dxa" w:w="7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70%</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0.77%</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1.61</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7.3%</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6.2%</w:t>
            </w:r>
          </w:p>
        </w:tc>
        <w:tc>
          <w:tcPr>
            <w:tcW w:type="dxa" w:w="8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-13%</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0.21</w:t>
            </w:r>
          </w:p>
        </w:tc>
        <w:tc>
          <w:tcPr>
            <w:tcW w:type="dxa" w:w="117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7%</w:t>
            </w:r>
          </w:p>
        </w:tc>
      </w:tr>
      <w:tr>
        <w:trPr>
          <w:cantSplit/>
        </w:trPr>
        <w:tc>
          <w:tcPr>
            <w:tcW w:type="dxa" w:w="12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color w:val="000000"/>
                <w:sz w:val="17"/>
                <w:szCs w:val="17"/>
              </w:rPr>
              <w:t xml:space="preserve">ITC</w:t>
            </w:r>
          </w:p>
        </w:tc>
        <w:tc>
          <w:tcPr>
            <w:tcW w:type="dxa" w:w="7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28</w:t>
            </w:r>
          </w:p>
        </w:tc>
        <w:tc>
          <w:tcPr>
            <w:tcW w:type="dxa" w:w="7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46%</w:t>
            </w:r>
          </w:p>
        </w:tc>
        <w:tc>
          <w:tcPr>
            <w:tcW w:type="dxa" w:w="9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0.07%</w:t>
            </w:r>
          </w:p>
        </w:tc>
        <w:tc>
          <w:tcPr>
            <w:tcW w:type="dxa" w:w="9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1.06</w:t>
            </w:r>
          </w:p>
        </w:tc>
        <w:tc>
          <w:tcPr>
            <w:tcW w:type="dxa" w:w="8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5.7%</w:t>
            </w:r>
          </w:p>
        </w:tc>
        <w:tc>
          <w:tcPr>
            <w:tcW w:type="dxa" w:w="9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1.3%</w:t>
            </w:r>
          </w:p>
        </w:tc>
        <w:tc>
          <w:tcPr>
            <w:tcW w:type="dxa" w:w="8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-9%</w:t>
            </w:r>
          </w:p>
        </w:tc>
        <w:tc>
          <w:tcPr>
            <w:tcW w:type="dxa" w:w="8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-0.04</w:t>
            </w:r>
          </w:p>
        </w:tc>
        <w:tc>
          <w:tcPr>
            <w:tcW w:type="dxa" w:w="1176"/>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7%</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MARUTI</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37</w:t>
            </w:r>
          </w:p>
        </w:tc>
        <w:tc>
          <w:tcPr>
            <w:tcW w:type="dxa" w:w="7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51%</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0.22%</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1.15</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6.0%</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11.6%</w:t>
            </w:r>
          </w:p>
        </w:tc>
        <w:tc>
          <w:tcPr>
            <w:tcW w:type="dxa" w:w="8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-16%</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0.02</w:t>
            </w:r>
          </w:p>
        </w:tc>
        <w:tc>
          <w:tcPr>
            <w:tcW w:type="dxa" w:w="117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9%</w:t>
            </w:r>
          </w:p>
        </w:tc>
      </w:tr>
      <w:tr>
        <w:trPr>
          <w:cantSplit/>
        </w:trPr>
        <w:tc>
          <w:tcPr>
            <w:tcW w:type="dxa" w:w="12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color w:val="000000"/>
                <w:sz w:val="17"/>
                <w:szCs w:val="17"/>
              </w:rPr>
              <w:t xml:space="preserve">SUNPHARMA</w:t>
            </w:r>
          </w:p>
        </w:tc>
        <w:tc>
          <w:tcPr>
            <w:tcW w:type="dxa" w:w="7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34</w:t>
            </w:r>
          </w:p>
        </w:tc>
        <w:tc>
          <w:tcPr>
            <w:tcW w:type="dxa" w:w="7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65%</w:t>
            </w:r>
          </w:p>
        </w:tc>
        <w:tc>
          <w:tcPr>
            <w:tcW w:type="dxa" w:w="9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1.45%</w:t>
            </w:r>
          </w:p>
        </w:tc>
        <w:tc>
          <w:tcPr>
            <w:tcW w:type="dxa" w:w="9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2.37</w:t>
            </w:r>
          </w:p>
        </w:tc>
        <w:tc>
          <w:tcPr>
            <w:tcW w:type="dxa" w:w="8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9.7%</w:t>
            </w:r>
          </w:p>
        </w:tc>
        <w:tc>
          <w:tcPr>
            <w:tcW w:type="dxa" w:w="9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7.2%</w:t>
            </w:r>
          </w:p>
        </w:tc>
        <w:tc>
          <w:tcPr>
            <w:tcW w:type="dxa" w:w="8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-11%</w:t>
            </w:r>
          </w:p>
        </w:tc>
        <w:tc>
          <w:tcPr>
            <w:tcW w:type="dxa" w:w="8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0.50</w:t>
            </w:r>
          </w:p>
        </w:tc>
        <w:tc>
          <w:tcPr>
            <w:tcW w:type="dxa" w:w="1176"/>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8%</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LT</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36</w:t>
            </w:r>
          </w:p>
        </w:tc>
        <w:tc>
          <w:tcPr>
            <w:tcW w:type="dxa" w:w="7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44%</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-0.26%</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0.81</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4.6%</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12.2%</w:t>
            </w:r>
          </w:p>
        </w:tc>
        <w:tc>
          <w:tcPr>
            <w:tcW w:type="dxa" w:w="8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-14%</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-0.21</w:t>
            </w:r>
          </w:p>
        </w:tc>
        <w:tc>
          <w:tcPr>
            <w:tcW w:type="dxa" w:w="117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9%</w:t>
            </w:r>
          </w:p>
        </w:tc>
      </w:tr>
      <w:tr>
        <w:trPr>
          <w:cantSplit/>
        </w:trPr>
        <w:tc>
          <w:tcPr>
            <w:tcW w:type="dxa" w:w="12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color w:val="000000"/>
                <w:sz w:val="17"/>
                <w:szCs w:val="17"/>
              </w:rPr>
              <w:t xml:space="preserve">7-stock (EW)</w:t>
            </w:r>
          </w:p>
        </w:tc>
        <w:tc>
          <w:tcPr>
            <w:tcW w:type="dxa" w:w="7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234</w:t>
            </w:r>
          </w:p>
        </w:tc>
        <w:tc>
          <w:tcPr>
            <w:tcW w:type="dxa" w:w="7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50%</w:t>
            </w:r>
          </w:p>
        </w:tc>
        <w:tc>
          <w:tcPr>
            <w:tcW w:type="dxa" w:w="9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0.12%</w:t>
            </w:r>
          </w:p>
        </w:tc>
        <w:tc>
          <w:tcPr>
            <w:tcW w:type="dxa" w:w="9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1.09</w:t>
            </w:r>
          </w:p>
        </w:tc>
        <w:tc>
          <w:tcPr>
            <w:tcW w:type="dxa" w:w="8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6.0%</w:t>
            </w:r>
          </w:p>
        </w:tc>
        <w:tc>
          <w:tcPr>
            <w:tcW w:type="dxa" w:w="9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10.3%</w:t>
            </w:r>
          </w:p>
        </w:tc>
        <w:tc>
          <w:tcPr>
            <w:tcW w:type="dxa" w:w="8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-4%</w:t>
            </w:r>
          </w:p>
        </w:tc>
        <w:tc>
          <w:tcPr>
            <w:tcW w:type="dxa" w:w="8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-0.02</w:t>
            </w:r>
          </w:p>
        </w:tc>
        <w:tc>
          <w:tcPr>
            <w:tcW w:type="dxa" w:w="1176"/>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8%</w:t>
            </w:r>
          </w:p>
        </w:tc>
      </w:tr>
    </w:tbl>
    <w:p>
      <w:pPr>
        <w:keepNext/>
        <w:spacing w:after="80" w:before="160"/>
      </w:pPr>
      <w:r>
        <w:rPr>
          <w:rFonts w:ascii="Calibri" w:cs="Calibri" w:eastAsia="Calibri" w:hAnsi="Calibri"/>
          <w:b/>
          <w:bCs/>
          <w:color w:val="2E2E2E"/>
          <w:sz w:val="19"/>
          <w:szCs w:val="19"/>
        </w:rPr>
        <w:t xml:space="preserve">Table 4.3 Strategy B — 15-day momentum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50"/>
        <w:gridCol w:w="700"/>
        <w:gridCol w:w="750"/>
        <w:gridCol w:w="900"/>
        <w:gridCol w:w="900"/>
        <w:gridCol w:w="800"/>
        <w:gridCol w:w="900"/>
        <w:gridCol w:w="850"/>
        <w:gridCol w:w="800"/>
        <w:gridCol w:w="1176"/>
      </w:tblGrid>
      <w:tr>
        <w:trPr>
          <w:cantSplit/>
          <w:tblHeader/>
        </w:trPr>
        <w:tc>
          <w:tcPr>
            <w:tcW w:type="dxa" w:w="125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tcPr>
          <w:p>
            <w:pPr>
              <w:jc w:val="left"/>
            </w:pPr>
            <w:r>
              <w:rPr>
                <w:rFonts w:ascii="Calibri" w:cs="Calibri" w:eastAsia="Calibri" w:hAnsi="Calibri"/>
                <w:b/>
                <w:bCs/>
                <w:color w:val="FFFFFF"/>
                <w:sz w:val="17"/>
                <w:szCs w:val="17"/>
              </w:rPr>
              <w:t xml:space="preserve">Stock</w:t>
            </w:r>
          </w:p>
        </w:tc>
        <w:tc>
          <w:tcPr>
            <w:tcW w:type="dxa" w:w="7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tcPr>
          <w:p>
            <w:pPr>
              <w:jc w:val="center"/>
            </w:pPr>
            <w:r>
              <w:rPr>
                <w:rFonts w:ascii="Calibri" w:cs="Calibri" w:eastAsia="Calibri" w:hAnsi="Calibri"/>
                <w:b/>
                <w:bCs/>
                <w:color w:val="FFFFFF"/>
                <w:sz w:val="17"/>
                <w:szCs w:val="17"/>
              </w:rPr>
              <w:t xml:space="preserve">Trades</w:t>
            </w:r>
          </w:p>
        </w:tc>
        <w:tc>
          <w:tcPr>
            <w:tcW w:type="dxa" w:w="75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tcPr>
          <w:p>
            <w:pPr>
              <w:jc w:val="center"/>
            </w:pPr>
            <w:r>
              <w:rPr>
                <w:rFonts w:ascii="Calibri" w:cs="Calibri" w:eastAsia="Calibri" w:hAnsi="Calibri"/>
                <w:b/>
                <w:bCs/>
                <w:color w:val="FFFFFF"/>
                <w:sz w:val="17"/>
                <w:szCs w:val="17"/>
              </w:rPr>
              <w:t xml:space="preserve">Win %</w:t>
            </w:r>
          </w:p>
        </w:tc>
        <w:tc>
          <w:tcPr>
            <w:tcW w:type="dxa" w:w="9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tcPr>
          <w:p>
            <w:pPr>
              <w:jc w:val="center"/>
            </w:pPr>
            <w:r>
              <w:rPr>
                <w:rFonts w:ascii="Calibri" w:cs="Calibri" w:eastAsia="Calibri" w:hAnsi="Calibri"/>
                <w:b/>
                <w:bCs/>
                <w:color w:val="FFFFFF"/>
                <w:sz w:val="17"/>
                <w:szCs w:val="17"/>
              </w:rPr>
              <w:t xml:space="preserve">Avg trade</w:t>
            </w:r>
          </w:p>
        </w:tc>
        <w:tc>
          <w:tcPr>
            <w:tcW w:type="dxa" w:w="9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tcPr>
          <w:p>
            <w:pPr>
              <w:jc w:val="center"/>
            </w:pPr>
            <w:r>
              <w:rPr>
                <w:rFonts w:ascii="Calibri" w:cs="Calibri" w:eastAsia="Calibri" w:hAnsi="Calibri"/>
                <w:b/>
                <w:bCs/>
                <w:color w:val="FFFFFF"/>
                <w:sz w:val="17"/>
                <w:szCs w:val="17"/>
              </w:rPr>
              <w:t xml:space="preserve">Profit factor</w:t>
            </w:r>
          </w:p>
        </w:tc>
        <w:tc>
          <w:tcPr>
            <w:tcW w:type="dxa" w:w="8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tcPr>
          <w:p>
            <w:pPr>
              <w:jc w:val="center"/>
            </w:pPr>
            <w:r>
              <w:rPr>
                <w:rFonts w:ascii="Calibri" w:cs="Calibri" w:eastAsia="Calibri" w:hAnsi="Calibri"/>
                <w:b/>
                <w:bCs/>
                <w:color w:val="FFFFFF"/>
                <w:sz w:val="17"/>
                <w:szCs w:val="17"/>
              </w:rPr>
              <w:t xml:space="preserve">CAGR</w:t>
            </w:r>
          </w:p>
        </w:tc>
        <w:tc>
          <w:tcPr>
            <w:tcW w:type="dxa" w:w="9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tcPr>
          <w:p>
            <w:pPr>
              <w:jc w:val="center"/>
            </w:pPr>
            <w:r>
              <w:rPr>
                <w:rFonts w:ascii="Calibri" w:cs="Calibri" w:eastAsia="Calibri" w:hAnsi="Calibri"/>
                <w:b/>
                <w:bCs/>
                <w:color w:val="FFFFFF"/>
                <w:sz w:val="17"/>
                <w:szCs w:val="17"/>
              </w:rPr>
              <w:t xml:space="preserve">B&amp;H CAGR</w:t>
            </w:r>
          </w:p>
        </w:tc>
        <w:tc>
          <w:tcPr>
            <w:tcW w:type="dxa" w:w="85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tcPr>
          <w:p>
            <w:pPr>
              <w:jc w:val="center"/>
            </w:pPr>
            <w:r>
              <w:rPr>
                <w:rFonts w:ascii="Calibri" w:cs="Calibri" w:eastAsia="Calibri" w:hAnsi="Calibri"/>
                <w:b/>
                <w:bCs/>
                <w:color w:val="FFFFFF"/>
                <w:sz w:val="17"/>
                <w:szCs w:val="17"/>
              </w:rPr>
              <w:t xml:space="preserve">Max DD</w:t>
            </w:r>
          </w:p>
        </w:tc>
        <w:tc>
          <w:tcPr>
            <w:tcW w:type="dxa" w:w="8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tcPr>
          <w:p>
            <w:pPr>
              <w:jc w:val="center"/>
            </w:pPr>
            <w:r>
              <w:rPr>
                <w:rFonts w:ascii="Calibri" w:cs="Calibri" w:eastAsia="Calibri" w:hAnsi="Calibri"/>
                <w:b/>
                <w:bCs/>
                <w:color w:val="FFFFFF"/>
                <w:sz w:val="17"/>
                <w:szCs w:val="17"/>
              </w:rPr>
              <w:t xml:space="preserve">Excess Sharpe</w:t>
            </w:r>
          </w:p>
        </w:tc>
        <w:tc>
          <w:tcPr>
            <w:tcW w:type="dxa" w:w="1176"/>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tcPr>
          <w:p>
            <w:pPr>
              <w:jc w:val="center"/>
            </w:pPr>
            <w:r>
              <w:rPr>
                <w:rFonts w:ascii="Calibri" w:cs="Calibri" w:eastAsia="Calibri" w:hAnsi="Calibri"/>
                <w:b/>
                <w:bCs/>
                <w:color w:val="FFFFFF"/>
                <w:sz w:val="17"/>
                <w:szCs w:val="17"/>
              </w:rPr>
              <w:t xml:space="preserve">Time in mkt</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RELIANCE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37</w:t>
            </w:r>
          </w:p>
        </w:tc>
        <w:tc>
          <w:tcPr>
            <w:tcW w:type="dxa" w:w="7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51%</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1.02%</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1.42</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7.4%</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16.7%</w:t>
            </w:r>
          </w:p>
        </w:tc>
        <w:tc>
          <w:tcPr>
            <w:tcW w:type="dxa" w:w="8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-19%</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0.17</w:t>
            </w:r>
          </w:p>
        </w:tc>
        <w:tc>
          <w:tcPr>
            <w:tcW w:type="dxa" w:w="117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19%</w:t>
            </w:r>
          </w:p>
        </w:tc>
      </w:tr>
      <w:tr>
        <w:trPr>
          <w:cantSplit/>
        </w:trPr>
        <w:tc>
          <w:tcPr>
            <w:tcW w:type="dxa" w:w="12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color w:val="000000"/>
                <w:sz w:val="17"/>
                <w:szCs w:val="17"/>
              </w:rPr>
              <w:t xml:space="preserve">HDFCBANK</w:t>
            </w:r>
          </w:p>
        </w:tc>
        <w:tc>
          <w:tcPr>
            <w:tcW w:type="dxa" w:w="7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46</w:t>
            </w:r>
          </w:p>
        </w:tc>
        <w:tc>
          <w:tcPr>
            <w:tcW w:type="dxa" w:w="7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54%</w:t>
            </w:r>
          </w:p>
        </w:tc>
        <w:tc>
          <w:tcPr>
            <w:tcW w:type="dxa" w:w="9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1.03%</w:t>
            </w:r>
          </w:p>
        </w:tc>
        <w:tc>
          <w:tcPr>
            <w:tcW w:type="dxa" w:w="9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2.04</w:t>
            </w:r>
          </w:p>
        </w:tc>
        <w:tc>
          <w:tcPr>
            <w:tcW w:type="dxa" w:w="8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8.5%</w:t>
            </w:r>
          </w:p>
        </w:tc>
        <w:tc>
          <w:tcPr>
            <w:tcW w:type="dxa" w:w="9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10.1%</w:t>
            </w:r>
          </w:p>
        </w:tc>
        <w:tc>
          <w:tcPr>
            <w:tcW w:type="dxa" w:w="8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-12%</w:t>
            </w:r>
          </w:p>
        </w:tc>
        <w:tc>
          <w:tcPr>
            <w:tcW w:type="dxa" w:w="8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0.31</w:t>
            </w:r>
          </w:p>
        </w:tc>
        <w:tc>
          <w:tcPr>
            <w:tcW w:type="dxa" w:w="1176"/>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24%</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INFY</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42</w:t>
            </w:r>
          </w:p>
        </w:tc>
        <w:tc>
          <w:tcPr>
            <w:tcW w:type="dxa" w:w="7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60%</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-0.82%</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0.68</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0.9%</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6.2%</w:t>
            </w:r>
          </w:p>
        </w:tc>
        <w:tc>
          <w:tcPr>
            <w:tcW w:type="dxa" w:w="8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-29%</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-0.38</w:t>
            </w:r>
          </w:p>
        </w:tc>
        <w:tc>
          <w:tcPr>
            <w:tcW w:type="dxa" w:w="117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22%</w:t>
            </w:r>
          </w:p>
        </w:tc>
      </w:tr>
      <w:tr>
        <w:trPr>
          <w:cantSplit/>
        </w:trPr>
        <w:tc>
          <w:tcPr>
            <w:tcW w:type="dxa" w:w="12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color w:val="000000"/>
                <w:sz w:val="17"/>
                <w:szCs w:val="17"/>
              </w:rPr>
              <w:t xml:space="preserve">ITC</w:t>
            </w:r>
          </w:p>
        </w:tc>
        <w:tc>
          <w:tcPr>
            <w:tcW w:type="dxa" w:w="7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33</w:t>
            </w:r>
          </w:p>
        </w:tc>
        <w:tc>
          <w:tcPr>
            <w:tcW w:type="dxa" w:w="7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30%</w:t>
            </w:r>
          </w:p>
        </w:tc>
        <w:tc>
          <w:tcPr>
            <w:tcW w:type="dxa" w:w="9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-2.31%</w:t>
            </w:r>
          </w:p>
        </w:tc>
        <w:tc>
          <w:tcPr>
            <w:tcW w:type="dxa" w:w="9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0.32</w:t>
            </w:r>
          </w:p>
        </w:tc>
        <w:tc>
          <w:tcPr>
            <w:tcW w:type="dxa" w:w="8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-2.1%</w:t>
            </w:r>
          </w:p>
        </w:tc>
        <w:tc>
          <w:tcPr>
            <w:tcW w:type="dxa" w:w="9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1.3%</w:t>
            </w:r>
          </w:p>
        </w:tc>
        <w:tc>
          <w:tcPr>
            <w:tcW w:type="dxa" w:w="8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-40%</w:t>
            </w:r>
          </w:p>
        </w:tc>
        <w:tc>
          <w:tcPr>
            <w:tcW w:type="dxa" w:w="8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-0.75</w:t>
            </w:r>
          </w:p>
        </w:tc>
        <w:tc>
          <w:tcPr>
            <w:tcW w:type="dxa" w:w="1176"/>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17%</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MARUTI</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40</w:t>
            </w:r>
          </w:p>
        </w:tc>
        <w:tc>
          <w:tcPr>
            <w:tcW w:type="dxa" w:w="7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63%</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0.59%</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1.28</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6.2%</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11.6%</w:t>
            </w:r>
          </w:p>
        </w:tc>
        <w:tc>
          <w:tcPr>
            <w:tcW w:type="dxa" w:w="8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-28%</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0.07</w:t>
            </w:r>
          </w:p>
        </w:tc>
        <w:tc>
          <w:tcPr>
            <w:tcW w:type="dxa" w:w="117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21%</w:t>
            </w:r>
          </w:p>
        </w:tc>
      </w:tr>
      <w:tr>
        <w:trPr>
          <w:cantSplit/>
        </w:trPr>
        <w:tc>
          <w:tcPr>
            <w:tcW w:type="dxa" w:w="12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color w:val="000000"/>
                <w:sz w:val="17"/>
                <w:szCs w:val="17"/>
              </w:rPr>
              <w:t xml:space="preserve">SUNPHARMA</w:t>
            </w:r>
          </w:p>
        </w:tc>
        <w:tc>
          <w:tcPr>
            <w:tcW w:type="dxa" w:w="7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36</w:t>
            </w:r>
          </w:p>
        </w:tc>
        <w:tc>
          <w:tcPr>
            <w:tcW w:type="dxa" w:w="7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44%</w:t>
            </w:r>
          </w:p>
        </w:tc>
        <w:tc>
          <w:tcPr>
            <w:tcW w:type="dxa" w:w="9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-1.65%</w:t>
            </w:r>
          </w:p>
        </w:tc>
        <w:tc>
          <w:tcPr>
            <w:tcW w:type="dxa" w:w="9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0.54</w:t>
            </w:r>
          </w:p>
        </w:tc>
        <w:tc>
          <w:tcPr>
            <w:tcW w:type="dxa" w:w="8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-1.1%</w:t>
            </w:r>
          </w:p>
        </w:tc>
        <w:tc>
          <w:tcPr>
            <w:tcW w:type="dxa" w:w="9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7.2%</w:t>
            </w:r>
          </w:p>
        </w:tc>
        <w:tc>
          <w:tcPr>
            <w:tcW w:type="dxa" w:w="8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-40%</w:t>
            </w:r>
          </w:p>
        </w:tc>
        <w:tc>
          <w:tcPr>
            <w:tcW w:type="dxa" w:w="8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-0.53</w:t>
            </w:r>
          </w:p>
        </w:tc>
        <w:tc>
          <w:tcPr>
            <w:tcW w:type="dxa" w:w="1176"/>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19%</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LT</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36</w:t>
            </w:r>
          </w:p>
        </w:tc>
        <w:tc>
          <w:tcPr>
            <w:tcW w:type="dxa" w:w="7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58%</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1.06%</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1.67</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8.0%</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12.2%</w:t>
            </w:r>
          </w:p>
        </w:tc>
        <w:tc>
          <w:tcPr>
            <w:tcW w:type="dxa" w:w="8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-17%</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0.23</w:t>
            </w:r>
          </w:p>
        </w:tc>
        <w:tc>
          <w:tcPr>
            <w:tcW w:type="dxa" w:w="117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19%</w:t>
            </w:r>
          </w:p>
        </w:tc>
      </w:tr>
      <w:tr>
        <w:trPr>
          <w:cantSplit/>
        </w:trPr>
        <w:tc>
          <w:tcPr>
            <w:tcW w:type="dxa" w:w="12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color w:val="000000"/>
                <w:sz w:val="17"/>
                <w:szCs w:val="17"/>
              </w:rPr>
              <w:t xml:space="preserve">7-stock (EW)</w:t>
            </w:r>
          </w:p>
        </w:tc>
        <w:tc>
          <w:tcPr>
            <w:tcW w:type="dxa" w:w="7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270</w:t>
            </w:r>
          </w:p>
        </w:tc>
        <w:tc>
          <w:tcPr>
            <w:tcW w:type="dxa" w:w="7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52%</w:t>
            </w:r>
          </w:p>
        </w:tc>
        <w:tc>
          <w:tcPr>
            <w:tcW w:type="dxa" w:w="9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-0.08%</w:t>
            </w:r>
          </w:p>
        </w:tc>
        <w:tc>
          <w:tcPr>
            <w:tcW w:type="dxa" w:w="9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0.96</w:t>
            </w:r>
          </w:p>
        </w:tc>
        <w:tc>
          <w:tcPr>
            <w:tcW w:type="dxa" w:w="8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4.8%</w:t>
            </w:r>
          </w:p>
        </w:tc>
        <w:tc>
          <w:tcPr>
            <w:tcW w:type="dxa" w:w="9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10.3%</w:t>
            </w:r>
          </w:p>
        </w:tc>
        <w:tc>
          <w:tcPr>
            <w:tcW w:type="dxa" w:w="8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-7%</w:t>
            </w:r>
          </w:p>
        </w:tc>
        <w:tc>
          <w:tcPr>
            <w:tcW w:type="dxa" w:w="8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-0.24</w:t>
            </w:r>
          </w:p>
        </w:tc>
        <w:tc>
          <w:tcPr>
            <w:tcW w:type="dxa" w:w="1176"/>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20%</w:t>
            </w:r>
          </w:p>
        </w:tc>
      </w:tr>
    </w:tbl>
    <w:p>
      <w:pPr>
        <w:keepNext/>
        <w:spacing w:after="80" w:before="160"/>
      </w:pPr>
      <w:r>
        <w:rPr>
          <w:rFonts w:ascii="Calibri" w:cs="Calibri" w:eastAsia="Calibri" w:hAnsi="Calibri"/>
          <w:b/>
          <w:bCs/>
          <w:color w:val="2E2E2E"/>
          <w:sz w:val="19"/>
          <w:szCs w:val="19"/>
        </w:rPr>
        <w:t xml:space="preserve">Table 4.4 Strategy C — 60-day trend following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50"/>
        <w:gridCol w:w="700"/>
        <w:gridCol w:w="750"/>
        <w:gridCol w:w="900"/>
        <w:gridCol w:w="900"/>
        <w:gridCol w:w="800"/>
        <w:gridCol w:w="900"/>
        <w:gridCol w:w="850"/>
        <w:gridCol w:w="800"/>
        <w:gridCol w:w="1176"/>
      </w:tblGrid>
      <w:tr>
        <w:trPr>
          <w:cantSplit/>
          <w:tblHeader/>
        </w:trPr>
        <w:tc>
          <w:tcPr>
            <w:tcW w:type="dxa" w:w="125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tcPr>
          <w:p>
            <w:pPr>
              <w:jc w:val="left"/>
            </w:pPr>
            <w:r>
              <w:rPr>
                <w:rFonts w:ascii="Calibri" w:cs="Calibri" w:eastAsia="Calibri" w:hAnsi="Calibri"/>
                <w:b/>
                <w:bCs/>
                <w:color w:val="FFFFFF"/>
                <w:sz w:val="17"/>
                <w:szCs w:val="17"/>
              </w:rPr>
              <w:t xml:space="preserve">Stock</w:t>
            </w:r>
          </w:p>
        </w:tc>
        <w:tc>
          <w:tcPr>
            <w:tcW w:type="dxa" w:w="7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tcPr>
          <w:p>
            <w:pPr>
              <w:jc w:val="center"/>
            </w:pPr>
            <w:r>
              <w:rPr>
                <w:rFonts w:ascii="Calibri" w:cs="Calibri" w:eastAsia="Calibri" w:hAnsi="Calibri"/>
                <w:b/>
                <w:bCs/>
                <w:color w:val="FFFFFF"/>
                <w:sz w:val="17"/>
                <w:szCs w:val="17"/>
              </w:rPr>
              <w:t xml:space="preserve">Trades</w:t>
            </w:r>
          </w:p>
        </w:tc>
        <w:tc>
          <w:tcPr>
            <w:tcW w:type="dxa" w:w="75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tcPr>
          <w:p>
            <w:pPr>
              <w:jc w:val="center"/>
            </w:pPr>
            <w:r>
              <w:rPr>
                <w:rFonts w:ascii="Calibri" w:cs="Calibri" w:eastAsia="Calibri" w:hAnsi="Calibri"/>
                <w:b/>
                <w:bCs/>
                <w:color w:val="FFFFFF"/>
                <w:sz w:val="17"/>
                <w:szCs w:val="17"/>
              </w:rPr>
              <w:t xml:space="preserve">Win %</w:t>
            </w:r>
          </w:p>
        </w:tc>
        <w:tc>
          <w:tcPr>
            <w:tcW w:type="dxa" w:w="9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tcPr>
          <w:p>
            <w:pPr>
              <w:jc w:val="center"/>
            </w:pPr>
            <w:r>
              <w:rPr>
                <w:rFonts w:ascii="Calibri" w:cs="Calibri" w:eastAsia="Calibri" w:hAnsi="Calibri"/>
                <w:b/>
                <w:bCs/>
                <w:color w:val="FFFFFF"/>
                <w:sz w:val="17"/>
                <w:szCs w:val="17"/>
              </w:rPr>
              <w:t xml:space="preserve">Avg trade</w:t>
            </w:r>
          </w:p>
        </w:tc>
        <w:tc>
          <w:tcPr>
            <w:tcW w:type="dxa" w:w="9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tcPr>
          <w:p>
            <w:pPr>
              <w:jc w:val="center"/>
            </w:pPr>
            <w:r>
              <w:rPr>
                <w:rFonts w:ascii="Calibri" w:cs="Calibri" w:eastAsia="Calibri" w:hAnsi="Calibri"/>
                <w:b/>
                <w:bCs/>
                <w:color w:val="FFFFFF"/>
                <w:sz w:val="17"/>
                <w:szCs w:val="17"/>
              </w:rPr>
              <w:t xml:space="preserve">Profit factor</w:t>
            </w:r>
          </w:p>
        </w:tc>
        <w:tc>
          <w:tcPr>
            <w:tcW w:type="dxa" w:w="8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tcPr>
          <w:p>
            <w:pPr>
              <w:jc w:val="center"/>
            </w:pPr>
            <w:r>
              <w:rPr>
                <w:rFonts w:ascii="Calibri" w:cs="Calibri" w:eastAsia="Calibri" w:hAnsi="Calibri"/>
                <w:b/>
                <w:bCs/>
                <w:color w:val="FFFFFF"/>
                <w:sz w:val="17"/>
                <w:szCs w:val="17"/>
              </w:rPr>
              <w:t xml:space="preserve">CAGR</w:t>
            </w:r>
          </w:p>
        </w:tc>
        <w:tc>
          <w:tcPr>
            <w:tcW w:type="dxa" w:w="9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tcPr>
          <w:p>
            <w:pPr>
              <w:jc w:val="center"/>
            </w:pPr>
            <w:r>
              <w:rPr>
                <w:rFonts w:ascii="Calibri" w:cs="Calibri" w:eastAsia="Calibri" w:hAnsi="Calibri"/>
                <w:b/>
                <w:bCs/>
                <w:color w:val="FFFFFF"/>
                <w:sz w:val="17"/>
                <w:szCs w:val="17"/>
              </w:rPr>
              <w:t xml:space="preserve">B&amp;H CAGR</w:t>
            </w:r>
          </w:p>
        </w:tc>
        <w:tc>
          <w:tcPr>
            <w:tcW w:type="dxa" w:w="85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tcPr>
          <w:p>
            <w:pPr>
              <w:jc w:val="center"/>
            </w:pPr>
            <w:r>
              <w:rPr>
                <w:rFonts w:ascii="Calibri" w:cs="Calibri" w:eastAsia="Calibri" w:hAnsi="Calibri"/>
                <w:b/>
                <w:bCs/>
                <w:color w:val="FFFFFF"/>
                <w:sz w:val="17"/>
                <w:szCs w:val="17"/>
              </w:rPr>
              <w:t xml:space="preserve">Max DD</w:t>
            </w:r>
          </w:p>
        </w:tc>
        <w:tc>
          <w:tcPr>
            <w:tcW w:type="dxa" w:w="8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tcPr>
          <w:p>
            <w:pPr>
              <w:jc w:val="center"/>
            </w:pPr>
            <w:r>
              <w:rPr>
                <w:rFonts w:ascii="Calibri" w:cs="Calibri" w:eastAsia="Calibri" w:hAnsi="Calibri"/>
                <w:b/>
                <w:bCs/>
                <w:color w:val="FFFFFF"/>
                <w:sz w:val="17"/>
                <w:szCs w:val="17"/>
              </w:rPr>
              <w:t xml:space="preserve">Excess Sharpe</w:t>
            </w:r>
          </w:p>
        </w:tc>
        <w:tc>
          <w:tcPr>
            <w:tcW w:type="dxa" w:w="1176"/>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tcPr>
          <w:p>
            <w:pPr>
              <w:jc w:val="center"/>
            </w:pPr>
            <w:r>
              <w:rPr>
                <w:rFonts w:ascii="Calibri" w:cs="Calibri" w:eastAsia="Calibri" w:hAnsi="Calibri"/>
                <w:b/>
                <w:bCs/>
                <w:color w:val="FFFFFF"/>
                <w:sz w:val="17"/>
                <w:szCs w:val="17"/>
              </w:rPr>
              <w:t xml:space="preserve">Time in mkt</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RELIANCE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19</w:t>
            </w:r>
          </w:p>
        </w:tc>
        <w:tc>
          <w:tcPr>
            <w:tcW w:type="dxa" w:w="7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63%</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5.59%</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3.23</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12.0%</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16.7%</w:t>
            </w:r>
          </w:p>
        </w:tc>
        <w:tc>
          <w:tcPr>
            <w:tcW w:type="dxa" w:w="8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-21%</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0.43</w:t>
            </w:r>
          </w:p>
        </w:tc>
        <w:tc>
          <w:tcPr>
            <w:tcW w:type="dxa" w:w="117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39%</w:t>
            </w:r>
          </w:p>
        </w:tc>
      </w:tr>
      <w:tr>
        <w:trPr>
          <w:cantSplit/>
        </w:trPr>
        <w:tc>
          <w:tcPr>
            <w:tcW w:type="dxa" w:w="12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color w:val="000000"/>
                <w:sz w:val="17"/>
                <w:szCs w:val="17"/>
              </w:rPr>
              <w:t xml:space="preserve">HDFCBANK</w:t>
            </w:r>
          </w:p>
        </w:tc>
        <w:tc>
          <w:tcPr>
            <w:tcW w:type="dxa" w:w="7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13</w:t>
            </w:r>
          </w:p>
        </w:tc>
        <w:tc>
          <w:tcPr>
            <w:tcW w:type="dxa" w:w="7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77%</w:t>
            </w:r>
          </w:p>
        </w:tc>
        <w:tc>
          <w:tcPr>
            <w:tcW w:type="dxa" w:w="9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4.71%</w:t>
            </w:r>
          </w:p>
        </w:tc>
        <w:tc>
          <w:tcPr>
            <w:tcW w:type="dxa" w:w="9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7.74</w:t>
            </w:r>
          </w:p>
        </w:tc>
        <w:tc>
          <w:tcPr>
            <w:tcW w:type="dxa" w:w="8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9.6%</w:t>
            </w:r>
          </w:p>
        </w:tc>
        <w:tc>
          <w:tcPr>
            <w:tcW w:type="dxa" w:w="9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10.1%</w:t>
            </w:r>
          </w:p>
        </w:tc>
        <w:tc>
          <w:tcPr>
            <w:tcW w:type="dxa" w:w="8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-25%</w:t>
            </w:r>
          </w:p>
        </w:tc>
        <w:tc>
          <w:tcPr>
            <w:tcW w:type="dxa" w:w="8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0.37</w:t>
            </w:r>
          </w:p>
        </w:tc>
        <w:tc>
          <w:tcPr>
            <w:tcW w:type="dxa" w:w="1176"/>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27%</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INFY</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7</w:t>
            </w:r>
          </w:p>
        </w:tc>
        <w:tc>
          <w:tcPr>
            <w:tcW w:type="dxa" w:w="7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57%</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0.13%</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1.03</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4.8%</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6.2%</w:t>
            </w:r>
          </w:p>
        </w:tc>
        <w:tc>
          <w:tcPr>
            <w:tcW w:type="dxa" w:w="8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-27%</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-0.08</w:t>
            </w:r>
          </w:p>
        </w:tc>
        <w:tc>
          <w:tcPr>
            <w:tcW w:type="dxa" w:w="117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14%</w:t>
            </w:r>
          </w:p>
        </w:tc>
      </w:tr>
      <w:tr>
        <w:trPr>
          <w:cantSplit/>
        </w:trPr>
        <w:tc>
          <w:tcPr>
            <w:tcW w:type="dxa" w:w="12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color w:val="000000"/>
                <w:sz w:val="17"/>
                <w:szCs w:val="17"/>
              </w:rPr>
              <w:t xml:space="preserve">ITC</w:t>
            </w:r>
          </w:p>
        </w:tc>
        <w:tc>
          <w:tcPr>
            <w:tcW w:type="dxa" w:w="7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5</w:t>
            </w:r>
          </w:p>
        </w:tc>
        <w:tc>
          <w:tcPr>
            <w:tcW w:type="dxa" w:w="7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40%</w:t>
            </w:r>
          </w:p>
        </w:tc>
        <w:tc>
          <w:tcPr>
            <w:tcW w:type="dxa" w:w="9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1.51%</w:t>
            </w:r>
          </w:p>
        </w:tc>
        <w:tc>
          <w:tcPr>
            <w:tcW w:type="dxa" w:w="9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1.35</w:t>
            </w:r>
          </w:p>
        </w:tc>
        <w:tc>
          <w:tcPr>
            <w:tcW w:type="dxa" w:w="8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5.8%</w:t>
            </w:r>
          </w:p>
        </w:tc>
        <w:tc>
          <w:tcPr>
            <w:tcW w:type="dxa" w:w="9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1.3%</w:t>
            </w:r>
          </w:p>
        </w:tc>
        <w:tc>
          <w:tcPr>
            <w:tcW w:type="dxa" w:w="8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-23%</w:t>
            </w:r>
          </w:p>
        </w:tc>
        <w:tc>
          <w:tcPr>
            <w:tcW w:type="dxa" w:w="8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0.01</w:t>
            </w:r>
          </w:p>
        </w:tc>
        <w:tc>
          <w:tcPr>
            <w:tcW w:type="dxa" w:w="1176"/>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10%</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MARUTI</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9</w:t>
            </w:r>
          </w:p>
        </w:tc>
        <w:tc>
          <w:tcPr>
            <w:tcW w:type="dxa" w:w="7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56%</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2.81%</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2.43</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6.9%</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11.6%</w:t>
            </w:r>
          </w:p>
        </w:tc>
        <w:tc>
          <w:tcPr>
            <w:tcW w:type="dxa" w:w="8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-24%</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0.13</w:t>
            </w:r>
          </w:p>
        </w:tc>
        <w:tc>
          <w:tcPr>
            <w:tcW w:type="dxa" w:w="117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19%</w:t>
            </w:r>
          </w:p>
        </w:tc>
      </w:tr>
      <w:tr>
        <w:trPr>
          <w:cantSplit/>
        </w:trPr>
        <w:tc>
          <w:tcPr>
            <w:tcW w:type="dxa" w:w="12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color w:val="000000"/>
                <w:sz w:val="17"/>
                <w:szCs w:val="17"/>
              </w:rPr>
              <w:t xml:space="preserve">SUNPHARMA</w:t>
            </w:r>
          </w:p>
        </w:tc>
        <w:tc>
          <w:tcPr>
            <w:tcW w:type="dxa" w:w="7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12</w:t>
            </w:r>
          </w:p>
        </w:tc>
        <w:tc>
          <w:tcPr>
            <w:tcW w:type="dxa" w:w="7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67%</w:t>
            </w:r>
          </w:p>
        </w:tc>
        <w:tc>
          <w:tcPr>
            <w:tcW w:type="dxa" w:w="9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2.34%</w:t>
            </w:r>
          </w:p>
        </w:tc>
        <w:tc>
          <w:tcPr>
            <w:tcW w:type="dxa" w:w="9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2.07</w:t>
            </w:r>
          </w:p>
        </w:tc>
        <w:tc>
          <w:tcPr>
            <w:tcW w:type="dxa" w:w="8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6.8%</w:t>
            </w:r>
          </w:p>
        </w:tc>
        <w:tc>
          <w:tcPr>
            <w:tcW w:type="dxa" w:w="9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7.2%</w:t>
            </w:r>
          </w:p>
        </w:tc>
        <w:tc>
          <w:tcPr>
            <w:tcW w:type="dxa" w:w="8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-34%</w:t>
            </w:r>
          </w:p>
        </w:tc>
        <w:tc>
          <w:tcPr>
            <w:tcW w:type="dxa" w:w="8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0.12</w:t>
            </w:r>
          </w:p>
        </w:tc>
        <w:tc>
          <w:tcPr>
            <w:tcW w:type="dxa" w:w="1176"/>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23%</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LT</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15</w:t>
            </w:r>
          </w:p>
        </w:tc>
        <w:tc>
          <w:tcPr>
            <w:tcW w:type="dxa" w:w="7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53%</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2.96%</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1.98</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7.5%</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12.2%</w:t>
            </w:r>
          </w:p>
        </w:tc>
        <w:tc>
          <w:tcPr>
            <w:tcW w:type="dxa" w:w="8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-24%</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0.17</w:t>
            </w:r>
          </w:p>
        </w:tc>
        <w:tc>
          <w:tcPr>
            <w:tcW w:type="dxa" w:w="117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30%</w:t>
            </w:r>
          </w:p>
        </w:tc>
      </w:tr>
      <w:tr>
        <w:trPr>
          <w:cantSplit/>
        </w:trPr>
        <w:tc>
          <w:tcPr>
            <w:tcW w:type="dxa" w:w="12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color w:val="000000"/>
                <w:sz w:val="17"/>
                <w:szCs w:val="17"/>
              </w:rPr>
              <w:t xml:space="preserve">7-stock (EW)</w:t>
            </w:r>
          </w:p>
        </w:tc>
        <w:tc>
          <w:tcPr>
            <w:tcW w:type="dxa" w:w="7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80</w:t>
            </w:r>
          </w:p>
        </w:tc>
        <w:tc>
          <w:tcPr>
            <w:tcW w:type="dxa" w:w="7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61%</w:t>
            </w:r>
          </w:p>
        </w:tc>
        <w:tc>
          <w:tcPr>
            <w:tcW w:type="dxa" w:w="9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3.42%</w:t>
            </w:r>
          </w:p>
        </w:tc>
        <w:tc>
          <w:tcPr>
            <w:tcW w:type="dxa" w:w="9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2.39</w:t>
            </w:r>
          </w:p>
        </w:tc>
        <w:tc>
          <w:tcPr>
            <w:tcW w:type="dxa" w:w="8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7.9%</w:t>
            </w:r>
          </w:p>
        </w:tc>
        <w:tc>
          <w:tcPr>
            <w:tcW w:type="dxa" w:w="9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10.3%</w:t>
            </w:r>
          </w:p>
        </w:tc>
        <w:tc>
          <w:tcPr>
            <w:tcW w:type="dxa" w:w="8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-12%</w:t>
            </w:r>
          </w:p>
        </w:tc>
        <w:tc>
          <w:tcPr>
            <w:tcW w:type="dxa" w:w="8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0.33</w:t>
            </w:r>
          </w:p>
        </w:tc>
        <w:tc>
          <w:tcPr>
            <w:tcW w:type="dxa" w:w="1176"/>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23%</w:t>
            </w:r>
          </w:p>
        </w:tc>
      </w:tr>
    </w:tbl>
    <w:p>
      <w:pPr>
        <w:spacing w:after="120" w:before="80" w:line="276"/>
        <w:jc w:val="both"/>
      </w:pPr>
      <w:r>
        <w:rPr>
          <w:rFonts w:ascii="Calibri" w:cs="Calibri" w:eastAsia="Calibri" w:hAnsi="Calibri"/>
          <w:i/>
          <w:iCs/>
          <w:color w:val="595959"/>
          <w:sz w:val="17"/>
          <w:szCs w:val="17"/>
        </w:rPr>
        <w:t xml:space="preserve">All figures net of 0.15% per side, with idle cash earning 6% a year; CAGR therefore includes interest on cash, and Sharpe is measured on returns above 6%. Max DD and Sharpe for the 7-stock row are for the equal-weighted portfolio of the seven equity curves; B&amp;H CAGR in that row is the equal-weighted buy-and-hold. Time in market is the average across stocks.</w:t>
      </w:r>
    </w:p>
    <w:p>
      <w:pPr>
        <w:keepNext/>
        <w:spacing w:after="60" w:before="120"/>
        <w:jc w:val="center"/>
      </w:pPr>
      <w:r>
        <w:drawing>
          <wp:inline distT="0" distB="0" distL="0" distR="0">
            <wp:extent cx="5760720" cy="245480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60720" cy="2454801"/>
                    </a:xfrm>
                    <a:prstGeom prst="rect">
                      <a:avLst/>
                    </a:prstGeom>
                  </pic:spPr>
                </pic:pic>
              </a:graphicData>
            </a:graphic>
          </wp:inline>
        </w:drawing>
      </w:r>
    </w:p>
    <w:p>
      <w:pPr>
        <w:spacing w:after="200"/>
        <w:jc w:val="left"/>
      </w:pPr>
      <w:r>
        <w:rPr>
          <w:rFonts w:ascii="Calibri" w:cs="Calibri" w:eastAsia="Calibri" w:hAnsi="Calibri"/>
          <w:i/>
          <w:iCs/>
          <w:color w:val="595959"/>
          <w:sz w:val="17"/>
          <w:szCs w:val="17"/>
        </w:rPr>
        <w:t xml:space="preserve">Exhibit 17. Equal-weighted 7-stock equity curves (growth of ₹1). Buy-and-hold dominates on terminal wealth; the strategies are flatter but suffer far smaller drawdowns, including through March 2020.</w:t>
      </w:r>
    </w:p>
    <w:p>
      <w:pPr>
        <w:keepNext/>
        <w:spacing w:after="60" w:before="120"/>
        <w:jc w:val="center"/>
      </w:pPr>
      <w:r>
        <w:drawing>
          <wp:inline distT="0" distB="0" distL="0" distR="0">
            <wp:extent cx="5760720" cy="234426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60720" cy="2344268"/>
                    </a:xfrm>
                    <a:prstGeom prst="rect">
                      <a:avLst/>
                    </a:prstGeom>
                  </pic:spPr>
                </pic:pic>
              </a:graphicData>
            </a:graphic>
          </wp:inline>
        </w:drawing>
      </w:r>
    </w:p>
    <w:p>
      <w:pPr>
        <w:spacing w:after="200"/>
        <w:jc w:val="left"/>
      </w:pPr>
      <w:r>
        <w:rPr>
          <w:rFonts w:ascii="Calibri" w:cs="Calibri" w:eastAsia="Calibri" w:hAnsi="Calibri"/>
          <w:i/>
          <w:iCs/>
          <w:color w:val="595959"/>
          <w:sz w:val="17"/>
          <w:szCs w:val="17"/>
        </w:rPr>
        <w:t xml:space="preserve">Exhibit 18. CAGR by stock and strategy, including interest on idle cash. Strategy C beats the Treasury-bill rate on 5 of 7 stocks; Strategy B loses money outright on 2.</w:t>
      </w:r>
    </w:p>
    <w:p>
      <w:pPr>
        <w:pStyle w:val="Heading2"/>
        <w:keepNext/>
        <w:spacing w:after="120" w:before="240"/>
      </w:pPr>
      <w:r>
        <w:rPr>
          <w:rFonts w:ascii="Calibri" w:cs="Calibri" w:eastAsia="Calibri" w:hAnsi="Calibri"/>
          <w:b/>
          <w:bCs/>
          <w:color w:val="1F4E79"/>
          <w:sz w:val="26"/>
          <w:szCs w:val="26"/>
        </w:rPr>
        <w:t xml:space="preserve">4.3 Interpretation</w:t>
      </w:r>
    </w:p>
    <w:p>
      <w:pPr>
        <w:spacing w:after="120" w:before="0" w:line="276"/>
        <w:jc w:val="both"/>
      </w:pPr>
      <w:r>
        <w:rPr>
          <w:rFonts w:ascii="Calibri" w:cs="Calibri" w:eastAsia="Calibri" w:hAnsi="Calibri"/>
          <w:b/>
          <w:bCs/>
          <w:sz w:val="21"/>
          <w:szCs w:val="21"/>
        </w:rPr>
        <w:t xml:space="preserve">Per-trade quality rises with horizon. </w:t>
      </w:r>
      <w:r>
        <w:rPr>
          <w:rFonts w:ascii="Calibri" w:cs="Calibri" w:eastAsia="Calibri" w:hAnsi="Calibri"/>
          <w:sz w:val="21"/>
          <w:szCs w:val="21"/>
        </w:rPr>
        <w:t xml:space="preserve">Strategy C has the best average trade (3.42%), win rate (61%) and profit factor (2.39), followed by A (0.12%, PF 1.09) and B (-0.08%, PF 0.96). This ordering fits the evidence that trend persistence over months is a more robust effect in equities than 2–3 week momentum, which is crowded and noisy.</w:t>
      </w:r>
    </w:p>
    <w:p>
      <w:pPr>
        <w:spacing w:after="120" w:before="0" w:line="276"/>
        <w:jc w:val="both"/>
      </w:pPr>
      <w:r>
        <w:rPr>
          <w:rFonts w:ascii="Calibri" w:cs="Calibri" w:eastAsia="Calibri" w:hAnsi="Calibri"/>
          <w:b/>
          <w:bCs/>
          <w:sz w:val="21"/>
          <w:szCs w:val="21"/>
        </w:rPr>
        <w:t xml:space="preserve">Only Strategy C clears the cash hurdle. </w:t>
      </w:r>
      <w:r>
        <w:rPr>
          <w:rFonts w:ascii="Calibri" w:cs="Calibri" w:eastAsia="Calibri" w:hAnsi="Calibri"/>
          <w:sz w:val="21"/>
          <w:szCs w:val="21"/>
        </w:rPr>
        <w:t xml:space="preserve">Because idle capital earns the Treasury-bill rate, the right question is whether time in the market adds anything over cash. For Strategies A and B it does not: their excess Sharpe ratios are -0.02 and -0.24, so an investor would have done better holding Treasury bills. Strategy C returns 7.9% a year with an excess Sharpe of 0.33, level with equal-weighted buy-and-hold (0.32), at a 12% maximum drawdown against 40%. The two Sharpe ratios are statistically indistinguishable (standard error ±0.30); C's contribution is the same risk-adjusted return with about a third of the worst loss. Costs matter in proportion to turnover: at 0.05% per side A and B look respectable (Sharpe 0.35 and 0.18 with no cash return), but at realistic Indian delivery costs their thin per-trade edges disappear, while C, with 80 trades in twelve years, barely notices (Section 6.5).</w:t>
      </w:r>
    </w:p>
    <w:p>
      <w:pPr>
        <w:spacing w:after="120" w:before="0" w:line="276"/>
        <w:jc w:val="both"/>
      </w:pPr>
      <w:r>
        <w:rPr>
          <w:rFonts w:ascii="Calibri" w:cs="Calibri" w:eastAsia="Calibri" w:hAnsi="Calibri"/>
          <w:b/>
          <w:bCs/>
          <w:sz w:val="21"/>
          <w:szCs w:val="21"/>
        </w:rPr>
        <w:t xml:space="preserve">Stock dependence is large. </w:t>
      </w:r>
      <w:r>
        <w:rPr>
          <w:rFonts w:ascii="Calibri" w:cs="Calibri" w:eastAsia="Calibri" w:hAnsi="Calibri"/>
          <w:sz w:val="21"/>
          <w:szCs w:val="21"/>
        </w:rPr>
        <w:t xml:space="preserve">Strategy B has a positive excess Sharpe on 4 of 7 stocks and is strongly negative on ITC (-0.75) and Sun Pharma (-0.53); Strategy A's best stock, Sun Pharma (0.50), is B's second-worst. A strategy judged on one stock, or on the best stock, would be badly mis-estimated. This is the central behavioural point of the next section: the data are noisy enough to support almost any story an analyst is inclined to tell.</w:t>
      </w:r>
    </w:p>
    <w:p>
      <w:pPr>
        <w:pStyle w:val="Heading2"/>
        <w:keepNext/>
        <w:spacing w:after="120" w:before="240"/>
      </w:pPr>
      <w:r>
        <w:rPr>
          <w:rFonts w:ascii="Calibri" w:cs="Calibri" w:eastAsia="Calibri" w:hAnsi="Calibri"/>
          <w:b/>
          <w:bCs/>
          <w:color w:val="1F4E79"/>
          <w:sz w:val="26"/>
          <w:szCs w:val="26"/>
        </w:rPr>
        <w:t xml:space="preserve">4.4 Example trades on TradingView-style charts</w:t>
      </w:r>
    </w:p>
    <w:p>
      <w:pPr>
        <w:keepNext/>
        <w:spacing w:after="60" w:before="120"/>
        <w:jc w:val="center"/>
      </w:pPr>
      <w:r>
        <w:drawing>
          <wp:inline distT="0" distB="0" distL="0" distR="0">
            <wp:extent cx="5760720" cy="170536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60720" cy="1705364"/>
                    </a:xfrm>
                    <a:prstGeom prst="rect">
                      <a:avLst/>
                    </a:prstGeom>
                  </pic:spPr>
                </pic:pic>
              </a:graphicData>
            </a:graphic>
          </wp:inline>
        </w:drawing>
      </w:r>
    </w:p>
    <w:p>
      <w:pPr>
        <w:spacing w:after="200"/>
        <w:jc w:val="left"/>
      </w:pPr>
      <w:r>
        <w:rPr>
          <w:rFonts w:ascii="Calibri" w:cs="Calibri" w:eastAsia="Calibri" w:hAnsi="Calibri"/>
          <w:i/>
          <w:iCs/>
          <w:color w:val="595959"/>
          <w:sz w:val="17"/>
          <w:szCs w:val="17"/>
        </w:rPr>
        <w:t xml:space="preserve">Exhibit 19. Strategy A on NSE:SUNPHARMA since Jan 2024: 11 trades, 73% winners. Entries are allowed only while the close is above the 200-day average (purple).</w:t>
      </w:r>
    </w:p>
    <w:p>
      <w:pPr>
        <w:keepNext/>
        <w:spacing w:after="60" w:before="120"/>
        <w:jc w:val="center"/>
      </w:pPr>
      <w:r>
        <w:drawing>
          <wp:inline distT="0" distB="0" distL="0" distR="0">
            <wp:extent cx="5760720" cy="177252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60720" cy="1772529"/>
                    </a:xfrm>
                    <a:prstGeom prst="rect">
                      <a:avLst/>
                    </a:prstGeom>
                  </pic:spPr>
                </pic:pic>
              </a:graphicData>
            </a:graphic>
          </wp:inline>
        </w:drawing>
      </w:r>
    </w:p>
    <w:p>
      <w:pPr>
        <w:spacing w:after="200"/>
        <w:jc w:val="left"/>
      </w:pPr>
      <w:r>
        <w:rPr>
          <w:rFonts w:ascii="Calibri" w:cs="Calibri" w:eastAsia="Calibri" w:hAnsi="Calibri"/>
          <w:i/>
          <w:iCs/>
          <w:color w:val="595959"/>
          <w:sz w:val="17"/>
          <w:szCs w:val="17"/>
        </w:rPr>
        <w:t xml:space="preserve">Exhibit 20. Strategy B on NSE:HDFCBANK since Jan 2024: 8 trades, 75% winners.</w:t>
      </w:r>
    </w:p>
    <w:p>
      <w:pPr>
        <w:keepNext/>
        <w:spacing w:after="60" w:before="120"/>
        <w:jc w:val="center"/>
      </w:pPr>
      <w:r>
        <w:drawing>
          <wp:inline distT="0" distB="0" distL="0" distR="0">
            <wp:extent cx="5760720" cy="188258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60720" cy="1882588"/>
                    </a:xfrm>
                    <a:prstGeom prst="rect">
                      <a:avLst/>
                    </a:prstGeom>
                  </pic:spPr>
                </pic:pic>
              </a:graphicData>
            </a:graphic>
          </wp:inline>
        </w:drawing>
      </w:r>
    </w:p>
    <w:p>
      <w:pPr>
        <w:spacing w:after="200"/>
        <w:jc w:val="left"/>
      </w:pPr>
      <w:r>
        <w:rPr>
          <w:rFonts w:ascii="Calibri" w:cs="Calibri" w:eastAsia="Calibri" w:hAnsi="Calibri"/>
          <w:i/>
          <w:iCs/>
          <w:color w:val="595959"/>
          <w:sz w:val="17"/>
          <w:szCs w:val="17"/>
        </w:rPr>
        <w:t xml:space="preserve">Exhibit 21. Strategy C on NSE:RELIANCE since Jun 2022: 5 trades, 40% winners — a reminder that even the best strategy has long dry spells on individual stocks, which is where biases take over.</w:t>
      </w:r>
    </w:p>
    <w:p>
      <w:pPr>
        <w:pStyle w:val="Heading2"/>
        <w:keepNext/>
        <w:spacing w:after="120" w:before="240"/>
      </w:pPr>
      <w:r>
        <w:rPr>
          <w:rFonts w:ascii="Calibri" w:cs="Calibri" w:eastAsia="Calibri" w:hAnsi="Calibri"/>
          <w:b/>
          <w:bCs/>
          <w:color w:val="1F4E79"/>
          <w:sz w:val="26"/>
          <w:szCs w:val="26"/>
        </w:rPr>
        <w:t xml:space="preserve">4.5 In-sample versus out-of-sample</w:t>
      </w:r>
    </w:p>
    <w:p>
      <w:pPr>
        <w:keepNext/>
        <w:spacing w:after="80" w:before="160"/>
      </w:pPr>
      <w:r>
        <w:rPr>
          <w:rFonts w:ascii="Calibri" w:cs="Calibri" w:eastAsia="Calibri" w:hAnsi="Calibri"/>
          <w:b/>
          <w:bCs/>
          <w:color w:val="2E2E2E"/>
          <w:sz w:val="19"/>
          <w:szCs w:val="19"/>
        </w:rPr>
        <w:t xml:space="preserve">Table 4.5 Sharpe ratio by period (rules fixed in advance; no re-optimisation)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270"/>
        <w:gridCol w:w="1270"/>
        <w:gridCol w:w="1270"/>
        <w:gridCol w:w="1270"/>
        <w:gridCol w:w="1270"/>
        <w:gridCol w:w="1276"/>
      </w:tblGrid>
      <w:tr>
        <w:trPr>
          <w:cantSplit/>
          <w:tblHeader/>
        </w:trPr>
        <w:tc>
          <w:tcPr>
            <w:tcW w:type="dxa" w:w="14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tcPr>
          <w:p>
            <w:pPr>
              <w:jc w:val="left"/>
            </w:pPr>
            <w:r>
              <w:rPr>
                <w:rFonts w:ascii="Calibri" w:cs="Calibri" w:eastAsia="Calibri" w:hAnsi="Calibri"/>
                <w:b/>
                <w:bCs/>
                <w:color w:val="FFFFFF"/>
                <w:sz w:val="17"/>
                <w:szCs w:val="17"/>
              </w:rPr>
              <w:t xml:space="preserve">Stock</w:t>
            </w:r>
          </w:p>
        </w:tc>
        <w:tc>
          <w:tcPr>
            <w:tcW w:type="dxa" w:w="127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tcPr>
          <w:p>
            <w:pPr>
              <w:jc w:val="center"/>
            </w:pPr>
            <w:r>
              <w:rPr>
                <w:rFonts w:ascii="Calibri" w:cs="Calibri" w:eastAsia="Calibri" w:hAnsi="Calibri"/>
                <w:b/>
                <w:bCs/>
                <w:color w:val="FFFFFF"/>
                <w:sz w:val="17"/>
                <w:szCs w:val="17"/>
              </w:rPr>
              <w:t xml:space="preserve">A: 2015–21</w:t>
            </w:r>
          </w:p>
        </w:tc>
        <w:tc>
          <w:tcPr>
            <w:tcW w:type="dxa" w:w="127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tcPr>
          <w:p>
            <w:pPr>
              <w:jc w:val="center"/>
            </w:pPr>
            <w:r>
              <w:rPr>
                <w:rFonts w:ascii="Calibri" w:cs="Calibri" w:eastAsia="Calibri" w:hAnsi="Calibri"/>
                <w:b/>
                <w:bCs/>
                <w:color w:val="FFFFFF"/>
                <w:sz w:val="17"/>
                <w:szCs w:val="17"/>
              </w:rPr>
              <w:t xml:space="preserve">A: 2022–26</w:t>
            </w:r>
          </w:p>
        </w:tc>
        <w:tc>
          <w:tcPr>
            <w:tcW w:type="dxa" w:w="127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tcPr>
          <w:p>
            <w:pPr>
              <w:jc w:val="center"/>
            </w:pPr>
            <w:r>
              <w:rPr>
                <w:rFonts w:ascii="Calibri" w:cs="Calibri" w:eastAsia="Calibri" w:hAnsi="Calibri"/>
                <w:b/>
                <w:bCs/>
                <w:color w:val="FFFFFF"/>
                <w:sz w:val="17"/>
                <w:szCs w:val="17"/>
              </w:rPr>
              <w:t xml:space="preserve">B: 2015–21</w:t>
            </w:r>
          </w:p>
        </w:tc>
        <w:tc>
          <w:tcPr>
            <w:tcW w:type="dxa" w:w="127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tcPr>
          <w:p>
            <w:pPr>
              <w:jc w:val="center"/>
            </w:pPr>
            <w:r>
              <w:rPr>
                <w:rFonts w:ascii="Calibri" w:cs="Calibri" w:eastAsia="Calibri" w:hAnsi="Calibri"/>
                <w:b/>
                <w:bCs/>
                <w:color w:val="FFFFFF"/>
                <w:sz w:val="17"/>
                <w:szCs w:val="17"/>
              </w:rPr>
              <w:t xml:space="preserve">B: 2022–26</w:t>
            </w:r>
          </w:p>
        </w:tc>
        <w:tc>
          <w:tcPr>
            <w:tcW w:type="dxa" w:w="127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tcPr>
          <w:p>
            <w:pPr>
              <w:jc w:val="center"/>
            </w:pPr>
            <w:r>
              <w:rPr>
                <w:rFonts w:ascii="Calibri" w:cs="Calibri" w:eastAsia="Calibri" w:hAnsi="Calibri"/>
                <w:b/>
                <w:bCs/>
                <w:color w:val="FFFFFF"/>
                <w:sz w:val="17"/>
                <w:szCs w:val="17"/>
              </w:rPr>
              <w:t xml:space="preserve">C: 2015–21</w:t>
            </w:r>
          </w:p>
        </w:tc>
        <w:tc>
          <w:tcPr>
            <w:tcW w:type="dxa" w:w="1276"/>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tcPr>
          <w:p>
            <w:pPr>
              <w:jc w:val="center"/>
            </w:pPr>
            <w:r>
              <w:rPr>
                <w:rFonts w:ascii="Calibri" w:cs="Calibri" w:eastAsia="Calibri" w:hAnsi="Calibri"/>
                <w:b/>
                <w:bCs/>
                <w:color w:val="FFFFFF"/>
                <w:sz w:val="17"/>
                <w:szCs w:val="17"/>
              </w:rPr>
              <w:t xml:space="preserve">C: 2022–26</w:t>
            </w:r>
          </w:p>
        </w:tc>
      </w:tr>
      <w:tr>
        <w:trPr>
          <w:cantSplit/>
        </w:trPr>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RELIANCE</w:t>
            </w:r>
          </w:p>
        </w:tc>
        <w:tc>
          <w:tcPr>
            <w:tcW w:type="dxa" w:w="127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-0.14</w:t>
            </w:r>
          </w:p>
        </w:tc>
        <w:tc>
          <w:tcPr>
            <w:tcW w:type="dxa" w:w="127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-0.51</w:t>
            </w:r>
          </w:p>
        </w:tc>
        <w:tc>
          <w:tcPr>
            <w:tcW w:type="dxa" w:w="127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0.58</w:t>
            </w:r>
          </w:p>
        </w:tc>
        <w:tc>
          <w:tcPr>
            <w:tcW w:type="dxa" w:w="127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-0.71</w:t>
            </w:r>
          </w:p>
        </w:tc>
        <w:tc>
          <w:tcPr>
            <w:tcW w:type="dxa" w:w="127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0.71</w:t>
            </w:r>
          </w:p>
        </w:tc>
        <w:tc>
          <w:tcPr>
            <w:tcW w:type="dxa" w:w="127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-0.04</w:t>
            </w:r>
          </w:p>
        </w:tc>
      </w:tr>
      <w:tr>
        <w:trPr>
          <w:cantSplit/>
        </w:trPr>
        <w:tc>
          <w:tcPr>
            <w:tcW w:type="dxa" w:w="14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color w:val="000000"/>
                <w:sz w:val="17"/>
                <w:szCs w:val="17"/>
              </w:rPr>
              <w:t xml:space="preserve">HDFCBANK</w:t>
            </w:r>
          </w:p>
        </w:tc>
        <w:tc>
          <w:tcPr>
            <w:tcW w:type="dxa" w:w="127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-0.55</w:t>
            </w:r>
          </w:p>
        </w:tc>
        <w:tc>
          <w:tcPr>
            <w:tcW w:type="dxa" w:w="127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-0.49</w:t>
            </w:r>
          </w:p>
        </w:tc>
        <w:tc>
          <w:tcPr>
            <w:tcW w:type="dxa" w:w="127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0.40</w:t>
            </w:r>
          </w:p>
        </w:tc>
        <w:tc>
          <w:tcPr>
            <w:tcW w:type="dxa" w:w="127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0.14</w:t>
            </w:r>
          </w:p>
        </w:tc>
        <w:tc>
          <w:tcPr>
            <w:tcW w:type="dxa" w:w="127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0.44</w:t>
            </w:r>
          </w:p>
        </w:tc>
        <w:tc>
          <w:tcPr>
            <w:tcW w:type="dxa" w:w="1276"/>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0.26</w:t>
            </w:r>
          </w:p>
        </w:tc>
      </w:tr>
      <w:tr>
        <w:trPr>
          <w:cantSplit/>
        </w:trPr>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INFY</w:t>
            </w:r>
          </w:p>
        </w:tc>
        <w:tc>
          <w:tcPr>
            <w:tcW w:type="dxa" w:w="127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0.66</w:t>
            </w:r>
          </w:p>
        </w:tc>
        <w:tc>
          <w:tcPr>
            <w:tcW w:type="dxa" w:w="127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-0.62</w:t>
            </w:r>
          </w:p>
        </w:tc>
        <w:tc>
          <w:tcPr>
            <w:tcW w:type="dxa" w:w="127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-0.28</w:t>
            </w:r>
          </w:p>
        </w:tc>
        <w:tc>
          <w:tcPr>
            <w:tcW w:type="dxa" w:w="127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-0.61</w:t>
            </w:r>
          </w:p>
        </w:tc>
        <w:tc>
          <w:tcPr>
            <w:tcW w:type="dxa" w:w="127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0.10</w:t>
            </w:r>
          </w:p>
        </w:tc>
        <w:tc>
          <w:tcPr>
            <w:tcW w:type="dxa" w:w="127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-0.35</w:t>
            </w:r>
          </w:p>
        </w:tc>
      </w:tr>
      <w:tr>
        <w:trPr>
          <w:cantSplit/>
        </w:trPr>
        <w:tc>
          <w:tcPr>
            <w:tcW w:type="dxa" w:w="14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color w:val="000000"/>
                <w:sz w:val="17"/>
                <w:szCs w:val="17"/>
              </w:rPr>
              <w:t xml:space="preserve">ITC</w:t>
            </w:r>
          </w:p>
        </w:tc>
        <w:tc>
          <w:tcPr>
            <w:tcW w:type="dxa" w:w="127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0.02</w:t>
            </w:r>
          </w:p>
        </w:tc>
        <w:tc>
          <w:tcPr>
            <w:tcW w:type="dxa" w:w="127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-0.23</w:t>
            </w:r>
          </w:p>
        </w:tc>
        <w:tc>
          <w:tcPr>
            <w:tcW w:type="dxa" w:w="127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-0.99</w:t>
            </w:r>
          </w:p>
        </w:tc>
        <w:tc>
          <w:tcPr>
            <w:tcW w:type="dxa" w:w="127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-0.32</w:t>
            </w:r>
          </w:p>
        </w:tc>
        <w:tc>
          <w:tcPr>
            <w:tcW w:type="dxa" w:w="127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-0.30</w:t>
            </w:r>
          </w:p>
        </w:tc>
        <w:tc>
          <w:tcPr>
            <w:tcW w:type="dxa" w:w="1276"/>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0.74</w:t>
            </w:r>
          </w:p>
        </w:tc>
      </w:tr>
      <w:tr>
        <w:trPr>
          <w:cantSplit/>
        </w:trPr>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MARUTI</w:t>
            </w:r>
          </w:p>
        </w:tc>
        <w:tc>
          <w:tcPr>
            <w:tcW w:type="dxa" w:w="127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0.58</w:t>
            </w:r>
          </w:p>
        </w:tc>
        <w:tc>
          <w:tcPr>
            <w:tcW w:type="dxa" w:w="127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-0.95</w:t>
            </w:r>
          </w:p>
        </w:tc>
        <w:tc>
          <w:tcPr>
            <w:tcW w:type="dxa" w:w="127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0.27</w:t>
            </w:r>
          </w:p>
        </w:tc>
        <w:tc>
          <w:tcPr>
            <w:tcW w:type="dxa" w:w="127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-0.35</w:t>
            </w:r>
          </w:p>
        </w:tc>
        <w:tc>
          <w:tcPr>
            <w:tcW w:type="dxa" w:w="127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0.35</w:t>
            </w:r>
          </w:p>
        </w:tc>
        <w:tc>
          <w:tcPr>
            <w:tcW w:type="dxa" w:w="127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-0.01</w:t>
            </w:r>
          </w:p>
        </w:tc>
      </w:tr>
      <w:tr>
        <w:trPr>
          <w:cantSplit/>
        </w:trPr>
        <w:tc>
          <w:tcPr>
            <w:tcW w:type="dxa" w:w="14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color w:val="000000"/>
                <w:sz w:val="17"/>
                <w:szCs w:val="17"/>
              </w:rPr>
              <w:t xml:space="preserve">SUNPHARMA</w:t>
            </w:r>
          </w:p>
        </w:tc>
        <w:tc>
          <w:tcPr>
            <w:tcW w:type="dxa" w:w="127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0.47</w:t>
            </w:r>
          </w:p>
        </w:tc>
        <w:tc>
          <w:tcPr>
            <w:tcW w:type="dxa" w:w="127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0.54</w:t>
            </w:r>
          </w:p>
        </w:tc>
        <w:tc>
          <w:tcPr>
            <w:tcW w:type="dxa" w:w="127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-0.60</w:t>
            </w:r>
          </w:p>
        </w:tc>
        <w:tc>
          <w:tcPr>
            <w:tcW w:type="dxa" w:w="127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-0.42</w:t>
            </w:r>
          </w:p>
        </w:tc>
        <w:tc>
          <w:tcPr>
            <w:tcW w:type="dxa" w:w="127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-0.05</w:t>
            </w:r>
          </w:p>
        </w:tc>
        <w:tc>
          <w:tcPr>
            <w:tcW w:type="dxa" w:w="1276"/>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0.45</w:t>
            </w:r>
          </w:p>
        </w:tc>
      </w:tr>
      <w:tr>
        <w:trPr>
          <w:cantSplit/>
        </w:trPr>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LT</w:t>
            </w:r>
          </w:p>
        </w:tc>
        <w:tc>
          <w:tcPr>
            <w:tcW w:type="dxa" w:w="127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-0.22</w:t>
            </w:r>
          </w:p>
        </w:tc>
        <w:tc>
          <w:tcPr>
            <w:tcW w:type="dxa" w:w="127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-0.19</w:t>
            </w:r>
          </w:p>
        </w:tc>
        <w:tc>
          <w:tcPr>
            <w:tcW w:type="dxa" w:w="127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0.43</w:t>
            </w:r>
          </w:p>
        </w:tc>
        <w:tc>
          <w:tcPr>
            <w:tcW w:type="dxa" w:w="127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-0.12</w:t>
            </w:r>
          </w:p>
        </w:tc>
        <w:tc>
          <w:tcPr>
            <w:tcW w:type="dxa" w:w="127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-0.09</w:t>
            </w:r>
          </w:p>
        </w:tc>
        <w:tc>
          <w:tcPr>
            <w:tcW w:type="dxa" w:w="127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0.64</w:t>
            </w:r>
          </w:p>
        </w:tc>
      </w:tr>
    </w:tbl>
    <w:p>
      <w:pPr>
        <w:spacing w:after="120" w:before="120" w:line="276"/>
        <w:jc w:val="both"/>
      </w:pPr>
      <w:r>
        <w:rPr>
          <w:rFonts w:ascii="Calibri" w:cs="Calibri" w:eastAsia="Calibri" w:hAnsi="Calibri"/>
          <w:sz w:val="21"/>
          <w:szCs w:val="21"/>
        </w:rPr>
        <w:t xml:space="preserve">Even with no parameter fitting, performance is period-dependent. Strategy A's equal-weighted Sharpe fell from 0.35 in 2015–21 to -0.71 in 2022–26 (weaker on 4 of 7 stocks) and Strategy B's from 0.03 to -0.88 (weaker on 5 of 7), while Strategy C held up (0.44 and 0.42). Buy-and-hold also weakened, from 0.53 to 0.14: 2022–26 was a harder period for these seven stocks. This split is reused in Sections 5.2 and 6 as the test of whether a rule's apparent edge was real.</w:t>
      </w:r>
    </w:p>
    <w:p>
      <w:pPr>
        <w:pStyle w:val="Heading2"/>
        <w:keepNext/>
        <w:spacing w:after="120" w:before="240"/>
      </w:pPr>
      <w:r>
        <w:rPr>
          <w:rFonts w:ascii="Calibri" w:cs="Calibri" w:eastAsia="Calibri" w:hAnsi="Calibri"/>
          <w:b/>
          <w:bCs/>
          <w:color w:val="1F4E79"/>
          <w:sz w:val="26"/>
          <w:szCs w:val="26"/>
        </w:rPr>
        <w:t xml:space="preserve">4.6 Live validation on TradingView</w:t>
      </w:r>
    </w:p>
    <w:p>
      <w:pPr>
        <w:spacing w:after="120" w:before="0" w:line="276"/>
        <w:jc w:val="both"/>
      </w:pPr>
      <w:r>
        <w:rPr>
          <w:rFonts w:ascii="Calibri" w:cs="Calibri" w:eastAsia="Calibri" w:hAnsi="Calibri"/>
          <w:sz w:val="21"/>
          <w:szCs w:val="21"/>
        </w:rPr>
        <w:t xml:space="preserve">Each strategy script was run in TradingView's Strategy Tester on NSE:RELIANCE (daily, ADJ off, Jan 2015 onwards, run on 4 October 2026) and compared with the Python replication run under identical settings: 0.05% commission and no interest on idle cash, because TradingView's Strategy Tester does not credit interest. The validation therefore tests the logic, not the cost assumption; the scripts now default to 0.15%. Table 4.6 shows the two side by side.</w:t>
      </w:r>
    </w:p>
    <w:p>
      <w:pPr>
        <w:keepNext/>
        <w:spacing w:after="80" w:before="160"/>
      </w:pPr>
      <w:r>
        <w:rPr>
          <w:rFonts w:ascii="Calibri" w:cs="Calibri" w:eastAsia="Calibri" w:hAnsi="Calibri"/>
          <w:b/>
          <w:bCs/>
          <w:color w:val="2E2E2E"/>
          <w:sz w:val="19"/>
          <w:szCs w:val="19"/>
        </w:rPr>
        <w:t xml:space="preserve">Table 4.6 TradingView Strategy Tester versus Python replication, NSE:RELIANCE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100"/>
        <w:gridCol w:w="2100"/>
        <w:gridCol w:w="2226"/>
      </w:tblGrid>
      <w:tr>
        <w:trPr>
          <w:cantSplit/>
          <w:tblHeader/>
        </w:trPr>
        <w:tc>
          <w:tcPr>
            <w:tcW w:type="dxa" w:w="26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tcPr>
          <w:p>
            <w:pPr>
              <w:jc w:val="left"/>
            </w:pPr>
            <w:r>
              <w:rPr>
                <w:rFonts w:ascii="Calibri" w:cs="Calibri" w:eastAsia="Calibri" w:hAnsi="Calibri"/>
                <w:b/>
                <w:bCs/>
                <w:color w:val="FFFFFF"/>
                <w:sz w:val="17"/>
                <w:szCs w:val="17"/>
              </w:rPr>
              <w:t xml:space="preserve">Strategy</w:t>
            </w:r>
          </w:p>
        </w:tc>
        <w:tc>
          <w:tcPr>
            <w:tcW w:type="dxa" w:w="21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tcPr>
          <w:p>
            <w:pPr>
              <w:jc w:val="left"/>
            </w:pPr>
            <w:r>
              <w:rPr>
                <w:rFonts w:ascii="Calibri" w:cs="Calibri" w:eastAsia="Calibri" w:hAnsi="Calibri"/>
                <w:b/>
                <w:bCs/>
                <w:color w:val="FFFFFF"/>
                <w:sz w:val="17"/>
                <w:szCs w:val="17"/>
              </w:rPr>
              <w:t xml:space="preserve">Trades (TV / Python)</w:t>
            </w:r>
          </w:p>
        </w:tc>
        <w:tc>
          <w:tcPr>
            <w:tcW w:type="dxa" w:w="21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tcPr>
          <w:p>
            <w:pPr>
              <w:jc w:val="left"/>
            </w:pPr>
            <w:r>
              <w:rPr>
                <w:rFonts w:ascii="Calibri" w:cs="Calibri" w:eastAsia="Calibri" w:hAnsi="Calibri"/>
                <w:b/>
                <w:bCs/>
                <w:color w:val="FFFFFF"/>
                <w:sz w:val="17"/>
                <w:szCs w:val="17"/>
              </w:rPr>
              <w:t xml:space="preserve">Win rate (TV / Python)</w:t>
            </w:r>
          </w:p>
        </w:tc>
        <w:tc>
          <w:tcPr>
            <w:tcW w:type="dxa" w:w="2226"/>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tcPr>
          <w:p>
            <w:pPr>
              <w:jc w:val="left"/>
            </w:pPr>
            <w:r>
              <w:rPr>
                <w:rFonts w:ascii="Calibri" w:cs="Calibri" w:eastAsia="Calibri" w:hAnsi="Calibri"/>
                <w:b/>
                <w:bCs/>
                <w:color w:val="FFFFFF"/>
                <w:sz w:val="17"/>
                <w:szCs w:val="17"/>
              </w:rPr>
              <w:t xml:space="preserve">Net P&amp;L (TV / Python)</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A — 7-day mean reversion</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41 / 40</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46% / 48%</w:t>
            </w:r>
          </w:p>
        </w:tc>
        <w:tc>
          <w:tcPr>
            <w:tcW w:type="dxa" w:w="22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−11.3% / −10.5%</w:t>
            </w:r>
          </w:p>
        </w:tc>
      </w:tr>
      <w:tr>
        <w:trPr>
          <w:cantSplit/>
        </w:trPr>
        <w:tc>
          <w:tcPr>
            <w:tcW w:type="dxa" w:w="26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color w:val="000000"/>
                <w:sz w:val="17"/>
                <w:szCs w:val="17"/>
              </w:rPr>
              <w:t xml:space="preserve">B — 15-day momentum</w:t>
            </w:r>
          </w:p>
        </w:tc>
        <w:tc>
          <w:tcPr>
            <w:tcW w:type="dxa" w:w="21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color w:val="000000"/>
                <w:sz w:val="17"/>
                <w:szCs w:val="17"/>
              </w:rPr>
              <w:t xml:space="preserve">37 / 37</w:t>
            </w:r>
          </w:p>
        </w:tc>
        <w:tc>
          <w:tcPr>
            <w:tcW w:type="dxa" w:w="21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color w:val="000000"/>
                <w:sz w:val="17"/>
                <w:szCs w:val="17"/>
              </w:rPr>
              <w:t xml:space="preserve">51% / 51%</w:t>
            </w:r>
          </w:p>
        </w:tc>
        <w:tc>
          <w:tcPr>
            <w:tcW w:type="dxa" w:w="2226"/>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color w:val="000000"/>
                <w:sz w:val="17"/>
                <w:szCs w:val="17"/>
              </w:rPr>
              <w:t xml:space="preserve">+36% / +42%</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C — 60-day trend</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18 / 19</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67% / 63%</w:t>
            </w:r>
          </w:p>
        </w:tc>
        <w:tc>
          <w:tcPr>
            <w:tcW w:type="dxa" w:w="22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+184% / +158%</w:t>
            </w:r>
          </w:p>
        </w:tc>
      </w:tr>
    </w:tbl>
    <w:p>
      <w:pPr>
        <w:spacing w:after="120" w:before="120" w:line="276"/>
        <w:jc w:val="both"/>
      </w:pPr>
      <w:r>
        <w:rPr>
          <w:rFonts w:ascii="Calibri" w:cs="Calibri" w:eastAsia="Calibri" w:hAnsi="Calibri"/>
          <w:sz w:val="21"/>
          <w:szCs w:val="21"/>
        </w:rPr>
        <w:t xml:space="preserve">The residual differences have identifiable causes: TradingView's series includes Muhurat-trading sessions and extends to 1 October 2026 (Python stops on 25 September), Strategy B's last TradingView trade was still open, and one borderline Strategy C trade in January 2021 is triggered in Python but not on TradingView; removing it gives +183.8% against TradingView's +184.2%. Twelve of Strategy A's first thirteen trades have identical entry and exit dates and prices on both platforms. Live testing also exposed two implementation issues, both now fixed: Pine's margin check silently rejected 100%-of-equity orders when the next open gapped up (28 trades instead of 40 until </w:t>
      </w:r>
      <w:r>
        <w:rPr>
          <w:rFonts w:ascii="Consolas" w:cs="Consolas" w:eastAsia="Consolas" w:hAnsi="Consolas"/>
          <w:sz w:val="19"/>
          <w:szCs w:val="19"/>
        </w:rPr>
        <w:t xml:space="preserve">margin_long = 0</w:t>
      </w:r>
      <w:r>
        <w:rPr>
          <w:rFonts w:ascii="Calibri" w:cs="Calibri" w:eastAsia="Calibri" w:hAnsi="Calibri"/>
          <w:sz w:val="21"/>
          <w:szCs w:val="21"/>
        </w:rPr>
        <w:t xml:space="preserve"> was set), and the data needed the corporate-action adjustments described in Section 2.2.</w:t>
      </w:r>
    </w:p>
    <w:p>
      <w:pPr>
        <w:pStyle w:val="Heading1"/>
        <w:pageBreakBefore/>
        <w:spacing w:after="200" w:before="0"/>
      </w:pPr>
      <w:r>
        <w:rPr>
          <w:rFonts w:ascii="Calibri" w:cs="Calibri" w:eastAsia="Calibri" w:hAnsi="Calibri"/>
          <w:b/>
          <w:bCs/>
          <w:color w:val="1F4E79"/>
          <w:sz w:val="32"/>
          <w:szCs w:val="32"/>
        </w:rPr>
        <w:t xml:space="preserve">5. Behavioural Biases: Impact and Illustration (Requirements 3 and 4)</w:t>
      </w:r>
    </w:p>
    <w:p>
      <w:pPr>
        <w:spacing w:after="120" w:before="0" w:line="276"/>
        <w:jc w:val="both"/>
      </w:pPr>
      <w:r>
        <w:rPr>
          <w:rFonts w:ascii="Calibri" w:cs="Calibri" w:eastAsia="Calibri" w:hAnsi="Calibri"/>
          <w:sz w:val="21"/>
          <w:szCs w:val="21"/>
        </w:rPr>
        <w:t xml:space="preserve">Technical analysis is unusually exposed to behavioural bias. Its inputs are charts rather than cash flows, its rules leave room for interpretation (which crossover, which threshold, which time frame), and its feedback is fast and noisy, so traders receive frequent, random rewards that are easy to misattribute to skill. Each of the eight biases below is treated in the same way: first </w:t>
      </w:r>
      <w:r>
        <w:rPr>
          <w:rFonts w:ascii="Calibri" w:cs="Calibri" w:eastAsia="Calibri" w:hAnsi="Calibri"/>
          <w:b/>
          <w:bCs/>
          <w:sz w:val="21"/>
          <w:szCs w:val="21"/>
        </w:rPr>
        <w:t xml:space="preserve">how it affects a technical strategy</w:t>
      </w:r>
      <w:r>
        <w:rPr>
          <w:rFonts w:ascii="Calibri" w:cs="Calibri" w:eastAsia="Calibri" w:hAnsi="Calibri"/>
          <w:sz w:val="21"/>
          <w:szCs w:val="21"/>
        </w:rPr>
        <w:t xml:space="preserve"> (requirement 3); then a </w:t>
      </w:r>
      <w:r>
        <w:rPr>
          <w:rFonts w:ascii="Calibri" w:cs="Calibri" w:eastAsia="Calibri" w:hAnsi="Calibri"/>
          <w:b/>
          <w:bCs/>
          <w:sz w:val="21"/>
          <w:szCs w:val="21"/>
        </w:rPr>
        <w:t xml:space="preserve">Pine Script illustration</w:t>
      </w:r>
      <w:r>
        <w:rPr>
          <w:rFonts w:ascii="Calibri" w:cs="Calibri" w:eastAsia="Calibri" w:hAnsi="Calibri"/>
          <w:sz w:val="21"/>
          <w:szCs w:val="21"/>
        </w:rPr>
        <w:t xml:space="preserve"> that makes the bias visible on a TradingView chart, together with a measured experiment on the seven stocks that shows its effect (requirement 4). Mitigation (requirement 5) follows in Section 6.</w:t>
      </w:r>
    </w:p>
    <w:p>
      <w:pPr>
        <w:spacing w:after="120" w:before="0" w:line="276"/>
        <w:jc w:val="both"/>
      </w:pPr>
      <w:r>
        <w:rPr>
          <w:rFonts w:ascii="Calibri" w:cs="Calibri" w:eastAsia="Calibri" w:hAnsi="Calibri"/>
          <w:sz w:val="21"/>
          <w:szCs w:val="21"/>
        </w:rPr>
        <w:t xml:space="preserve">All eight illustrations live in one script, </w:t>
      </w:r>
      <w:r>
        <w:rPr>
          <w:rFonts w:ascii="Consolas" w:cs="Consolas" w:eastAsia="Consolas" w:hAnsi="Consolas"/>
          <w:sz w:val="19"/>
          <w:szCs w:val="19"/>
        </w:rPr>
        <w:t xml:space="preserve">17_Bias_Lab.pine</w:t>
      </w:r>
      <w:r>
        <w:rPr>
          <w:rFonts w:ascii="Calibri" w:cs="Calibri" w:eastAsia="Calibri" w:hAnsi="Calibri"/>
          <w:sz w:val="21"/>
          <w:szCs w:val="21"/>
        </w:rPr>
        <w:t xml:space="preserve">. A drop-down input selects the bias; the script then draws the relevant overlay on the price chart and computes a live evidence table from the chart's own history (forward returns after the event, counts and hit rates), so the demonstration can be repeated on any of the seven stocks. The shared accumulator that powers every table is shown below; the full script is in Appendix B.</w:t>
      </w:r>
    </w:p>
    <w:p>
      <w:pPr>
        <w:keepNext/>
        <w:keepLines/>
        <w:shd w:fill="F4F4F2" w:color="auto" w:val="clear"/>
        <w:spacing w:after="0" w:line="228"/>
        <w:ind w:left="120" w:right="120"/>
      </w:pPr>
      <w:r>
        <w:rPr>
          <w:rFonts w:ascii="Consolas" w:cs="Consolas" w:eastAsia="Consolas" w:hAnsi="Consolas"/>
          <w:color w:val="4F7F4F"/>
          <w:sz w:val="15"/>
          <w:szCs w:val="15"/>
        </w:rPr>
        <w:t xml:space="preserve">// forward-return accumulator used by every Bias Lab mode: [count, mean, hit-rate] of n-bar returns after an event</w:t>
      </w:r>
    </w:p>
    <w:p>
      <w:pPr>
        <w:keepNext/>
        <w:keepLines/>
        <w:shd w:fill="F4F4F2" w:color="auto" w:val="clear"/>
        <w:spacing w:after="0" w:line="228"/>
        <w:ind w:left="120" w:right="120"/>
      </w:pPr>
      <w:r>
        <w:rPr>
          <w:rFonts w:ascii="Consolas" w:cs="Consolas" w:eastAsia="Consolas" w:hAnsi="Consolas"/>
          <w:color w:val="1A1A1A"/>
          <w:sz w:val="15"/>
          <w:szCs w:val="15"/>
        </w:rPr>
        <w:t xml:space="preserve">f_fwd(bool ev, int n) =&gt;</w:t>
      </w:r>
    </w:p>
    <w:p>
      <w:pPr>
        <w:keepNext/>
        <w:keepLines/>
        <w:shd w:fill="F4F4F2" w:color="auto" w:val="clear"/>
        <w:spacing w:after="0" w:line="228"/>
        <w:ind w:left="120" w:right="120"/>
      </w:pPr>
      <w:r>
        <w:rPr>
          <w:rFonts w:ascii="Consolas" w:cs="Consolas" w:eastAsia="Consolas" w:hAnsi="Consolas"/>
          <w:color w:val="1A1A1A"/>
          <w:sz w:val="15"/>
          <w:szCs w:val="15"/>
        </w:rPr>
        <w:t xml:space="preserve">    var float s = 0.0</w:t>
      </w:r>
    </w:p>
    <w:p>
      <w:pPr>
        <w:keepNext/>
        <w:keepLines/>
        <w:shd w:fill="F4F4F2" w:color="auto" w:val="clear"/>
        <w:spacing w:after="0" w:line="228"/>
        <w:ind w:left="120" w:right="120"/>
      </w:pPr>
      <w:r>
        <w:rPr>
          <w:rFonts w:ascii="Consolas" w:cs="Consolas" w:eastAsia="Consolas" w:hAnsi="Consolas"/>
          <w:color w:val="1A1A1A"/>
          <w:sz w:val="15"/>
          <w:szCs w:val="15"/>
        </w:rPr>
        <w:t xml:space="preserve">    var int c = 0</w:t>
      </w:r>
    </w:p>
    <w:p>
      <w:pPr>
        <w:keepNext/>
        <w:keepLines/>
        <w:shd w:fill="F4F4F2" w:color="auto" w:val="clear"/>
        <w:spacing w:after="0" w:line="228"/>
        <w:ind w:left="120" w:right="120"/>
      </w:pPr>
      <w:r>
        <w:rPr>
          <w:rFonts w:ascii="Consolas" w:cs="Consolas" w:eastAsia="Consolas" w:hAnsi="Consolas"/>
          <w:color w:val="1A1A1A"/>
          <w:sz w:val="15"/>
          <w:szCs w:val="15"/>
        </w:rPr>
        <w:t xml:space="preserve">    var int h = 0</w:t>
      </w:r>
    </w:p>
    <w:p>
      <w:pPr>
        <w:keepNext/>
        <w:keepLines/>
        <w:shd w:fill="F4F4F2" w:color="auto" w:val="clear"/>
        <w:spacing w:after="0" w:line="228"/>
        <w:ind w:left="120" w:right="120"/>
      </w:pPr>
      <w:r>
        <w:rPr>
          <w:rFonts w:ascii="Consolas" w:cs="Consolas" w:eastAsia="Consolas" w:hAnsi="Consolas"/>
          <w:color w:val="1A1A1A"/>
          <w:sz w:val="15"/>
          <w:szCs w:val="15"/>
        </w:rPr>
        <w:t xml:space="preserve">    if ev[n] and not na(close[n])</w:t>
      </w:r>
    </w:p>
    <w:p>
      <w:pPr>
        <w:keepNext/>
        <w:keepLines/>
        <w:shd w:fill="F4F4F2" w:color="auto" w:val="clear"/>
        <w:spacing w:after="0" w:line="228"/>
        <w:ind w:left="120" w:right="120"/>
      </w:pPr>
      <w:r>
        <w:rPr>
          <w:rFonts w:ascii="Consolas" w:cs="Consolas" w:eastAsia="Consolas" w:hAnsi="Consolas"/>
          <w:color w:val="1A1A1A"/>
          <w:sz w:val="15"/>
          <w:szCs w:val="15"/>
        </w:rPr>
        <w:t xml:space="preserve">        r = close / close[n] - 1</w:t>
      </w:r>
    </w:p>
    <w:p>
      <w:pPr>
        <w:keepNext/>
        <w:keepLines/>
        <w:shd w:fill="F4F4F2" w:color="auto" w:val="clear"/>
        <w:spacing w:after="0" w:line="228"/>
        <w:ind w:left="120" w:right="120"/>
      </w:pPr>
      <w:r>
        <w:rPr>
          <w:rFonts w:ascii="Consolas" w:cs="Consolas" w:eastAsia="Consolas" w:hAnsi="Consolas"/>
          <w:color w:val="1A1A1A"/>
          <w:sz w:val="15"/>
          <w:szCs w:val="15"/>
        </w:rPr>
        <w:t xml:space="preserve">        s += r</w:t>
      </w:r>
    </w:p>
    <w:p>
      <w:pPr>
        <w:keepNext/>
        <w:keepLines/>
        <w:shd w:fill="F4F4F2" w:color="auto" w:val="clear"/>
        <w:spacing w:after="0" w:line="228"/>
        <w:ind w:left="120" w:right="120"/>
      </w:pPr>
      <w:r>
        <w:rPr>
          <w:rFonts w:ascii="Consolas" w:cs="Consolas" w:eastAsia="Consolas" w:hAnsi="Consolas"/>
          <w:color w:val="1A1A1A"/>
          <w:sz w:val="15"/>
          <w:szCs w:val="15"/>
        </w:rPr>
        <w:t xml:space="preserve">        c += 1</w:t>
      </w:r>
    </w:p>
    <w:p>
      <w:pPr>
        <w:keepNext/>
        <w:keepLines/>
        <w:shd w:fill="F4F4F2" w:color="auto" w:val="clear"/>
        <w:spacing w:after="0" w:line="228"/>
        <w:ind w:left="120" w:right="120"/>
      </w:pPr>
      <w:r>
        <w:rPr>
          <w:rFonts w:ascii="Consolas" w:cs="Consolas" w:eastAsia="Consolas" w:hAnsi="Consolas"/>
          <w:color w:val="1A1A1A"/>
          <w:sz w:val="15"/>
          <w:szCs w:val="15"/>
        </w:rPr>
        <w:t xml:space="preserve">        h += r &gt; 0 ? 1 : 0</w:t>
      </w:r>
    </w:p>
    <w:p>
      <w:pPr>
        <w:keepNext w:val="false"/>
        <w:keepLines/>
        <w:shd w:fill="F4F4F2" w:color="auto" w:val="clear"/>
        <w:spacing w:after="0" w:line="228"/>
        <w:ind w:left="120" w:right="120"/>
      </w:pPr>
      <w:r>
        <w:rPr>
          <w:rFonts w:ascii="Consolas" w:cs="Consolas" w:eastAsia="Consolas" w:hAnsi="Consolas"/>
          <w:color w:val="1A1A1A"/>
          <w:sz w:val="15"/>
          <w:szCs w:val="15"/>
        </w:rPr>
        <w:t xml:space="preserve">    [c, c &gt; 0 ? s / c : na, c &gt; 0 ? float(h) / c : na]</w:t>
      </w:r>
    </w:p>
    <w:p>
      <w:pPr>
        <w:spacing w:after="120" w:before="120" w:line="276"/>
        <w:jc w:val="both"/>
      </w:pPr>
      <w:r>
        <w:rPr>
          <w:rFonts w:ascii="Calibri" w:cs="Calibri" w:eastAsia="Calibri" w:hAnsi="Calibri"/>
          <w:sz w:val="21"/>
          <w:szCs w:val="21"/>
        </w:rPr>
        <w:t xml:space="preserve">The Python replication pools the same experiments across all seven stocks (which a single TradingView chart cannot do) and measures forward returns from the next session's open, i.e. as they could actually be traded. Every comparison is reported with a test statistic: a Welch t for differences in average returns and a two-proportion z for differences in hit rates; |t| or |z| above 1.96 is significant at 5%.</w:t>
      </w:r>
    </w:p>
    <w:p>
      <w:pPr>
        <w:spacing w:after="120" w:before="0" w:line="276"/>
        <w:jc w:val="both"/>
      </w:pPr>
      <w:r>
        <w:rPr>
          <w:rFonts w:ascii="Calibri" w:cs="Calibri" w:eastAsia="Calibri" w:hAnsi="Calibri"/>
          <w:b/>
          <w:bCs/>
          <w:sz w:val="21"/>
          <w:szCs w:val="21"/>
        </w:rPr>
        <w:t xml:space="preserve">What these experiments can and cannot show. </w:t>
      </w:r>
      <w:r>
        <w:rPr>
          <w:rFonts w:ascii="Calibri" w:cs="Calibri" w:eastAsia="Calibri" w:hAnsi="Calibri"/>
          <w:sz w:val="21"/>
          <w:szCs w:val="21"/>
        </w:rPr>
        <w:t xml:space="preserve">Each experiment measures what a bias would cost if it were written into a trading rule: for example, what happens to Strategy B's losers if they are held to breakeven. It does not measure how often real traders behave this way; that evidence comes from the literature cited for each bias and, for Indian retail traders, from SEBI's finding that 93% of individual F&amp;O traders lost money over FY22–FY24 (SEBI, 2024). We grade each bias's evidence as clear, suggestive, mixed or not supported, and say why.</w:t>
      </w:r>
    </w:p>
    <w:p>
      <w:pPr>
        <w:pStyle w:val="Heading2"/>
        <w:keepNext/>
        <w:spacing w:after="120" w:before="240"/>
      </w:pPr>
      <w:r>
        <w:rPr>
          <w:rFonts w:ascii="Calibri" w:cs="Calibri" w:eastAsia="Calibri" w:hAnsi="Calibri"/>
          <w:b/>
          <w:bCs/>
          <w:color w:val="1F4E79"/>
          <w:sz w:val="26"/>
          <w:szCs w:val="26"/>
        </w:rPr>
        <w:t xml:space="preserve">5.1 Confirmation bias</w:t>
      </w:r>
    </w:p>
    <w:p>
      <w:pPr>
        <w:pStyle w:val="Heading3"/>
        <w:keepNext/>
        <w:spacing w:after="80" w:before="180"/>
      </w:pPr>
      <w:r>
        <w:rPr>
          <w:rFonts w:ascii="Calibri" w:cs="Calibri" w:eastAsia="Calibri" w:hAnsi="Calibri"/>
          <w:b/>
          <w:bCs/>
          <w:color w:val="2E2E2E"/>
          <w:sz w:val="22"/>
          <w:szCs w:val="22"/>
        </w:rPr>
        <w:t xml:space="preserve">Impact on a technical-analysis strategy</w:t>
      </w:r>
    </w:p>
    <w:p>
      <w:pPr>
        <w:spacing w:after="120" w:before="0" w:line="276"/>
        <w:jc w:val="both"/>
      </w:pPr>
      <w:r>
        <w:rPr>
          <w:rFonts w:ascii="Calibri" w:cs="Calibri" w:eastAsia="Calibri" w:hAnsi="Calibri"/>
          <w:sz w:val="21"/>
          <w:szCs w:val="21"/>
        </w:rPr>
        <w:t xml:space="preserve">Confirmation bias is the tendency to seek, notice and weight evidence that supports a belief already held, and to discount evidence against it (Nickerson, 1998). In technical analysis it takes two concrete forms. The first is </w:t>
      </w:r>
      <w:r>
        <w:rPr>
          <w:rFonts w:ascii="Calibri" w:cs="Calibri" w:eastAsia="Calibri" w:hAnsi="Calibri"/>
          <w:b/>
          <w:bCs/>
          <w:sz w:val="21"/>
          <w:szCs w:val="21"/>
        </w:rPr>
        <w:t xml:space="preserve">indicator shopping</w:t>
      </w:r>
      <w:r>
        <w:rPr>
          <w:rFonts w:ascii="Calibri" w:cs="Calibri" w:eastAsia="Calibri" w:hAnsi="Calibri"/>
          <w:sz w:val="21"/>
          <w:szCs w:val="21"/>
        </w:rPr>
        <w:t xml:space="preserve">: a trader who already wants to buy adds oscillators until enough of them agree, and counts each agreement as independent confirmation, although RSI, Stochastic, %B and MACD are all transformations of the same recent closing prices. The second is </w:t>
      </w:r>
      <w:r>
        <w:rPr>
          <w:rFonts w:ascii="Calibri" w:cs="Calibri" w:eastAsia="Calibri" w:hAnsi="Calibri"/>
          <w:b/>
          <w:bCs/>
          <w:sz w:val="21"/>
          <w:szCs w:val="21"/>
        </w:rPr>
        <w:t xml:space="preserve">selective memory of charts</w:t>
      </w:r>
      <w:r>
        <w:rPr>
          <w:rFonts w:ascii="Calibri" w:cs="Calibri" w:eastAsia="Calibri" w:hAnsi="Calibri"/>
          <w:sz w:val="21"/>
          <w:szCs w:val="21"/>
        </w:rPr>
        <w:t xml:space="preserve">: the trades where a pattern 'worked' are remembered and shown to others, while the failures are explained away. Both inflate confidence without adding information, so position sizes grow faster than the true edge.</w:t>
      </w:r>
    </w:p>
    <w:p>
      <w:pPr>
        <w:pStyle w:val="Heading3"/>
        <w:keepNext/>
        <w:spacing w:after="80" w:before="180"/>
      </w:pPr>
      <w:r>
        <w:rPr>
          <w:rFonts w:ascii="Calibri" w:cs="Calibri" w:eastAsia="Calibri" w:hAnsi="Calibri"/>
          <w:b/>
          <w:bCs/>
          <w:color w:val="2E2E2E"/>
          <w:sz w:val="22"/>
          <w:szCs w:val="22"/>
        </w:rPr>
        <w:t xml:space="preserve">Illustration — Pine Script Bias Lab, mode "1 Confirmation" (17_Bias_Lab.pine), and evidence from the 7 stocks</w:t>
      </w:r>
    </w:p>
    <w:p>
      <w:pPr>
        <w:spacing w:after="120" w:before="0" w:line="276"/>
        <w:jc w:val="both"/>
      </w:pPr>
      <w:r>
        <w:rPr>
          <w:rFonts w:ascii="Calibri" w:cs="Calibri" w:eastAsia="Calibri" w:hAnsi="Calibri"/>
          <w:sz w:val="21"/>
          <w:szCs w:val="21"/>
        </w:rPr>
        <w:t xml:space="preserve">In this mode the script marks three kinds of RSI buy signal: grey circles for RSI crossing up through 35 alone, orange triangles when Stochastic and %B also show 'oversold' (two redundant confirmations), and green triangles when the confirmation instead comes from volume (OBV above its EMA), the only input not computed from closing prices. Two further rows test the added indicators: CCI below −100 (a fourth price-based oscillator) and MFI rising (volume-weighted). The evidence table reports each group's 10-session forward return and the rolling correlations </w:t>
      </w:r>
      <w:r>
        <w:rPr>
          <w:rFonts w:ascii="Consolas" w:cs="Consolas" w:eastAsia="Consolas" w:hAnsi="Consolas"/>
          <w:sz w:val="19"/>
          <w:szCs w:val="19"/>
        </w:rPr>
        <w:t xml:space="preserve">ta.correlation(rsi, k, 250)</w:t>
      </w:r>
      <w:r>
        <w:rPr>
          <w:rFonts w:ascii="Calibri" w:cs="Calibri" w:eastAsia="Calibri" w:hAnsi="Calibri"/>
          <w:sz w:val="21"/>
          <w:szCs w:val="21"/>
        </w:rPr>
        <w:t xml:space="preserve">, </w:t>
      </w:r>
      <w:r>
        <w:rPr>
          <w:rFonts w:ascii="Consolas" w:cs="Consolas" w:eastAsia="Consolas" w:hAnsi="Consolas"/>
          <w:sz w:val="19"/>
          <w:szCs w:val="19"/>
        </w:rPr>
        <w:t xml:space="preserve">ta.correlation(rsi, pctB, 250)</w:t>
      </w:r>
      <w:r>
        <w:rPr>
          <w:rFonts w:ascii="Calibri" w:cs="Calibri" w:eastAsia="Calibri" w:hAnsi="Calibri"/>
          <w:sz w:val="21"/>
          <w:szCs w:val="21"/>
        </w:rPr>
        <w:t xml:space="preserve"> and </w:t>
      </w:r>
      <w:r>
        <w:rPr>
          <w:rFonts w:ascii="Consolas" w:cs="Consolas" w:eastAsia="Consolas" w:hAnsi="Consolas"/>
          <w:sz w:val="19"/>
          <w:szCs w:val="19"/>
        </w:rPr>
        <w:t xml:space="preserve">ta.correlation(cci, pctB, 250)</w:t>
      </w:r>
      <w:r>
        <w:rPr>
          <w:rFonts w:ascii="Calibri" w:cs="Calibri" w:eastAsia="Calibri" w:hAnsi="Calibri"/>
          <w:sz w:val="21"/>
          <w:szCs w:val="21"/>
        </w:rPr>
        <w:t xml:space="preserve">.</w:t>
      </w:r>
    </w:p>
    <w:p>
      <w:pPr>
        <w:keepNext/>
        <w:spacing w:after="60" w:before="120"/>
        <w:jc w:val="center"/>
      </w:pPr>
      <w:r>
        <w:drawing>
          <wp:inline distT="0" distB="0" distL="0" distR="0">
            <wp:extent cx="5760720" cy="436314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60720" cy="4363149"/>
                    </a:xfrm>
                    <a:prstGeom prst="rect">
                      <a:avLst/>
                    </a:prstGeom>
                  </pic:spPr>
                </pic:pic>
              </a:graphicData>
            </a:graphic>
          </wp:inline>
        </w:drawing>
      </w:r>
    </w:p>
    <w:p>
      <w:pPr>
        <w:spacing w:after="200"/>
        <w:jc w:val="left"/>
      </w:pPr>
      <w:r>
        <w:rPr>
          <w:rFonts w:ascii="Calibri" w:cs="Calibri" w:eastAsia="Calibri" w:hAnsi="Calibri"/>
          <w:i/>
          <w:iCs/>
          <w:color w:val="595959"/>
          <w:sz w:val="17"/>
          <w:szCs w:val="17"/>
        </w:rPr>
        <w:t xml:space="preserve">Exhibit 22. Correlation of the twelve indicators' daily readings, 7 stocks pooled (each oscillator normalised so that higher = more bullish). Almost every pair is correlated above 0.70: they are largely the same information.</w:t>
      </w:r>
    </w:p>
    <w:p>
      <w:pPr>
        <w:keepNext/>
        <w:spacing w:after="80" w:before="160"/>
      </w:pPr>
      <w:r>
        <w:rPr>
          <w:rFonts w:ascii="Calibri" w:cs="Calibri" w:eastAsia="Calibri" w:hAnsi="Calibri"/>
          <w:b/>
          <w:bCs/>
          <w:color w:val="2E2E2E"/>
          <w:sz w:val="19"/>
          <w:szCs w:val="19"/>
        </w:rPr>
        <w:t xml:space="preserve">Table 5.1 Does adding 'confirmations' improve an RSI signal? (10-session forward return, 7 stocks pooled)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900"/>
        <w:gridCol w:w="1300"/>
        <w:gridCol w:w="1200"/>
        <w:gridCol w:w="1326"/>
      </w:tblGrid>
      <w:tr>
        <w:trPr>
          <w:cantSplit/>
          <w:tblHeader/>
        </w:trPr>
        <w:tc>
          <w:tcPr>
            <w:tcW w:type="dxa" w:w="43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tcPr>
          <w:p>
            <w:pPr>
              <w:jc w:val="left"/>
            </w:pPr>
            <w:r>
              <w:rPr>
                <w:rFonts w:ascii="Calibri" w:cs="Calibri" w:eastAsia="Calibri" w:hAnsi="Calibri"/>
                <w:b/>
                <w:bCs/>
                <w:color w:val="FFFFFF"/>
                <w:sz w:val="17"/>
                <w:szCs w:val="17"/>
              </w:rPr>
              <w:t xml:space="preserve">Signal</w:t>
            </w:r>
          </w:p>
        </w:tc>
        <w:tc>
          <w:tcPr>
            <w:tcW w:type="dxa" w:w="9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tcPr>
          <w:p>
            <w:pPr>
              <w:jc w:val="center"/>
            </w:pPr>
            <w:r>
              <w:rPr>
                <w:rFonts w:ascii="Calibri" w:cs="Calibri" w:eastAsia="Calibri" w:hAnsi="Calibri"/>
                <w:b/>
                <w:bCs/>
                <w:color w:val="FFFFFF"/>
                <w:sz w:val="17"/>
                <w:szCs w:val="17"/>
              </w:rPr>
              <w:t xml:space="preserve">n</w:t>
            </w:r>
          </w:p>
        </w:tc>
        <w:tc>
          <w:tcPr>
            <w:tcW w:type="dxa" w:w="13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tcPr>
          <w:p>
            <w:pPr>
              <w:jc w:val="center"/>
            </w:pPr>
            <w:r>
              <w:rPr>
                <w:rFonts w:ascii="Calibri" w:cs="Calibri" w:eastAsia="Calibri" w:hAnsi="Calibri"/>
                <w:b/>
                <w:bCs/>
                <w:color w:val="FFFFFF"/>
                <w:sz w:val="17"/>
                <w:szCs w:val="17"/>
              </w:rPr>
              <w:t xml:space="preserve">Avg 10-day</w:t>
            </w:r>
          </w:p>
        </w:tc>
        <w:tc>
          <w:tcPr>
            <w:tcW w:type="dxa" w:w="12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tcPr>
          <w:p>
            <w:pPr>
              <w:jc w:val="center"/>
            </w:pPr>
            <w:r>
              <w:rPr>
                <w:rFonts w:ascii="Calibri" w:cs="Calibri" w:eastAsia="Calibri" w:hAnsi="Calibri"/>
                <w:b/>
                <w:bCs/>
                <w:color w:val="FFFFFF"/>
                <w:sz w:val="17"/>
                <w:szCs w:val="17"/>
              </w:rPr>
              <w:t xml:space="preserve">Hit rate</w:t>
            </w:r>
          </w:p>
        </w:tc>
        <w:tc>
          <w:tcPr>
            <w:tcW w:type="dxa" w:w="1326"/>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tcPr>
          <w:p>
            <w:pPr>
              <w:jc w:val="center"/>
            </w:pPr>
            <w:r>
              <w:rPr>
                <w:rFonts w:ascii="Calibri" w:cs="Calibri" w:eastAsia="Calibri" w:hAnsi="Calibri"/>
                <w:b/>
                <w:bCs/>
                <w:color w:val="FFFFFF"/>
                <w:sz w:val="17"/>
                <w:szCs w:val="17"/>
              </w:rPr>
              <w:t xml:space="preserve">z (hit vs alone)</w:t>
            </w:r>
          </w:p>
        </w:tc>
      </w:tr>
      <w:tr>
        <w:trPr>
          <w:cantSplit/>
        </w:trPr>
        <w:tc>
          <w:tcPr>
            <w:tcW w:type="dxa" w:w="43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RSI crosses up 35 (alone)</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434</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0.40%</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54%</w:t>
            </w:r>
          </w:p>
        </w:tc>
        <w:tc>
          <w:tcPr>
            <w:tcW w:type="dxa" w:w="13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w:t>
            </w:r>
          </w:p>
        </w:tc>
      </w:tr>
      <w:tr>
        <w:trPr>
          <w:cantSplit/>
        </w:trPr>
        <w:tc>
          <w:tcPr>
            <w:tcW w:type="dxa" w:w="43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color w:val="000000"/>
                <w:sz w:val="17"/>
                <w:szCs w:val="17"/>
              </w:rPr>
              <w:t xml:space="preserve">+ Stochastic oversold (redundant)</w:t>
            </w:r>
          </w:p>
        </w:tc>
        <w:tc>
          <w:tcPr>
            <w:tcW w:type="dxa" w:w="9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392</w:t>
            </w:r>
          </w:p>
        </w:tc>
        <w:tc>
          <w:tcPr>
            <w:tcW w:type="dxa" w:w="13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0.46%</w:t>
            </w:r>
          </w:p>
        </w:tc>
        <w:tc>
          <w:tcPr>
            <w:tcW w:type="dxa" w:w="12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54%</w:t>
            </w:r>
          </w:p>
        </w:tc>
        <w:tc>
          <w:tcPr>
            <w:tcW w:type="dxa" w:w="1326"/>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0.12</w:t>
            </w:r>
          </w:p>
        </w:tc>
      </w:tr>
      <w:tr>
        <w:trPr>
          <w:cantSplit/>
        </w:trPr>
        <w:tc>
          <w:tcPr>
            <w:tcW w:type="dxa" w:w="43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 Stoch + below lower BB (doubly redundant)</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249</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0.55%</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54%</w:t>
            </w:r>
          </w:p>
        </w:tc>
        <w:tc>
          <w:tcPr>
            <w:tcW w:type="dxa" w:w="13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-0.03</w:t>
            </w:r>
          </w:p>
        </w:tc>
      </w:tr>
      <w:tr>
        <w:trPr>
          <w:cantSplit/>
        </w:trPr>
        <w:tc>
          <w:tcPr>
            <w:tcW w:type="dxa" w:w="43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color w:val="000000"/>
                <w:sz w:val="17"/>
                <w:szCs w:val="17"/>
              </w:rPr>
              <w:t xml:space="preserve">+ CCI below −100 (redundant)</w:t>
            </w:r>
          </w:p>
        </w:tc>
        <w:tc>
          <w:tcPr>
            <w:tcW w:type="dxa" w:w="9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356</w:t>
            </w:r>
          </w:p>
        </w:tc>
        <w:tc>
          <w:tcPr>
            <w:tcW w:type="dxa" w:w="13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0.59%</w:t>
            </w:r>
          </w:p>
        </w:tc>
        <w:tc>
          <w:tcPr>
            <w:tcW w:type="dxa" w:w="12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54%</w:t>
            </w:r>
          </w:p>
        </w:tc>
        <w:tc>
          <w:tcPr>
            <w:tcW w:type="dxa" w:w="1326"/>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0.16</w:t>
            </w:r>
          </w:p>
        </w:tc>
      </w:tr>
      <w:tr>
        <w:trPr>
          <w:cantSplit/>
        </w:trPr>
        <w:tc>
          <w:tcPr>
            <w:tcW w:type="dxa" w:w="43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 OBV above its EMA (independent: volume)</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62</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1.69%</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63%</w:t>
            </w:r>
          </w:p>
        </w:tc>
        <w:tc>
          <w:tcPr>
            <w:tcW w:type="dxa" w:w="13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1.33</w:t>
            </w:r>
          </w:p>
        </w:tc>
      </w:tr>
      <w:tr>
        <w:trPr>
          <w:cantSplit/>
        </w:trPr>
        <w:tc>
          <w:tcPr>
            <w:tcW w:type="dxa" w:w="43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color w:val="000000"/>
                <w:sz w:val="17"/>
                <w:szCs w:val="17"/>
              </w:rPr>
              <w:t xml:space="preserve">+ MFI rising (volume-weighted)</w:t>
            </w:r>
          </w:p>
        </w:tc>
        <w:tc>
          <w:tcPr>
            <w:tcW w:type="dxa" w:w="9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229</w:t>
            </w:r>
          </w:p>
        </w:tc>
        <w:tc>
          <w:tcPr>
            <w:tcW w:type="dxa" w:w="13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0.62%</w:t>
            </w:r>
          </w:p>
        </w:tc>
        <w:tc>
          <w:tcPr>
            <w:tcW w:type="dxa" w:w="12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55%</w:t>
            </w:r>
          </w:p>
        </w:tc>
        <w:tc>
          <w:tcPr>
            <w:tcW w:type="dxa" w:w="1326"/>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0.16</w:t>
            </w:r>
          </w:p>
        </w:tc>
      </w:tr>
      <w:tr>
        <w:trPr>
          <w:cantSplit/>
        </w:trPr>
        <w:tc>
          <w:tcPr>
            <w:tcW w:type="dxa" w:w="43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 Close above SMA200 (independent: trend)</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116</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0.27%</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54%</w:t>
            </w:r>
          </w:p>
        </w:tc>
        <w:tc>
          <w:tcPr>
            <w:tcW w:type="dxa" w:w="13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0.08</w:t>
            </w:r>
          </w:p>
        </w:tc>
      </w:tr>
    </w:tbl>
    <w:p>
      <w:pPr>
        <w:spacing w:after="120" w:before="0" w:line="276"/>
        <w:jc w:val="both"/>
      </w:pPr>
      <w:r>
        <w:rPr>
          <w:rFonts w:ascii="Calibri" w:cs="Calibri" w:eastAsia="Calibri" w:hAnsi="Calibri"/>
          <w:b/>
          <w:bCs/>
          <w:sz w:val="21"/>
          <w:szCs w:val="21"/>
        </w:rPr>
        <w:t xml:space="preserve">What the evidence shows. </w:t>
      </w:r>
      <w:r>
        <w:rPr>
          <w:rFonts w:ascii="Calibri" w:cs="Calibri" w:eastAsia="Calibri" w:hAnsi="Calibri"/>
          <w:sz w:val="21"/>
          <w:szCs w:val="21"/>
        </w:rPr>
        <w:t xml:space="preserve">RSI's correlation with Stochastic is 0.83, with %B 0.89 and with the DMI spread 0.94. Requiring two such confirmations moved the hit rate only from 53.9% to 53.8% while discarding 43% of the signals: the trader feels far more certain about a signal that is barely better. The volume confirmation produced a much larger difference (average 1.69%, hit rate 63%), but on only 62 signals, and the difference is not statistically significant (z = 1.33); even OBV is correlated 0.82 with RSI because its sign is set by the close. The four indicators added in this version make the point sharper. CCI is correlated 0.98 with Bollinger %B, almost an identity, and the Donchian position 0.94: both are the same 20-day range seen through a different formula. Adding CCI as a confirmation moved the hit rate from 53.9% to 54.5% (n = 356). MFI, the second volume-based indicator, is the least correlated with RSI of all the oscillators (0.77), yet requiring it to be rising gave only 54.6% (n = 229). None of the redundant confirmations changed the hit rate by more than |z| = 0.2. Twelve indicators therefore offer more labels, not more independent evidence. Evidence grade: clear. Selective attention is illustrated by Strategy A's cross-section: an analyst who studied only SUNPHARMA would report a 9.7% CAGR, one who studied only HDFCBANK would report 3.1%, and the seven-stock average is 5.7%.</w:t>
      </w:r>
    </w:p>
    <w:p>
      <w:pPr>
        <w:pStyle w:val="Heading2"/>
        <w:keepNext/>
        <w:spacing w:after="120" w:before="240"/>
      </w:pPr>
      <w:r>
        <w:rPr>
          <w:rFonts w:ascii="Calibri" w:cs="Calibri" w:eastAsia="Calibri" w:hAnsi="Calibri"/>
          <w:b/>
          <w:bCs/>
          <w:color w:val="1F4E79"/>
          <w:sz w:val="26"/>
          <w:szCs w:val="26"/>
        </w:rPr>
        <w:t xml:space="preserve">5.2 Overconfidence</w:t>
      </w:r>
    </w:p>
    <w:p>
      <w:pPr>
        <w:pStyle w:val="Heading3"/>
        <w:keepNext/>
        <w:spacing w:after="80" w:before="180"/>
      </w:pPr>
      <w:r>
        <w:rPr>
          <w:rFonts w:ascii="Calibri" w:cs="Calibri" w:eastAsia="Calibri" w:hAnsi="Calibri"/>
          <w:b/>
          <w:bCs/>
          <w:color w:val="2E2E2E"/>
          <w:sz w:val="22"/>
          <w:szCs w:val="22"/>
        </w:rPr>
        <w:t xml:space="preserve">Impact on a technical-analysis strategy</w:t>
      </w:r>
    </w:p>
    <w:p>
      <w:pPr>
        <w:spacing w:after="120" w:before="0" w:line="276"/>
        <w:jc w:val="both"/>
      </w:pPr>
      <w:r>
        <w:rPr>
          <w:rFonts w:ascii="Calibri" w:cs="Calibri" w:eastAsia="Calibri" w:hAnsi="Calibri"/>
          <w:sz w:val="21"/>
          <w:szCs w:val="21"/>
        </w:rPr>
        <w:t xml:space="preserve">Overconfidence is the overestimation of one's own skill and the precision of one's information. Barber and Odean (2000, 2001) show that overconfident investors trade more and earn less after costs. In technical trading it appears as </w:t>
      </w:r>
      <w:r>
        <w:rPr>
          <w:rFonts w:ascii="Calibri" w:cs="Calibri" w:eastAsia="Calibri" w:hAnsi="Calibri"/>
          <w:b/>
          <w:bCs/>
          <w:sz w:val="21"/>
          <w:szCs w:val="21"/>
        </w:rPr>
        <w:t xml:space="preserve">backtest overfitting</w:t>
      </w:r>
      <w:r>
        <w:rPr>
          <w:rFonts w:ascii="Calibri" w:cs="Calibri" w:eastAsia="Calibri" w:hAnsi="Calibri"/>
          <w:sz w:val="21"/>
          <w:szCs w:val="21"/>
        </w:rPr>
        <w:t xml:space="preserve"> — trying many parameter combinations and believing the best one, although its performance is partly luck (Bailey et al., 2014; Harvey, Liu &amp; Zhu, 2016) — and as the </w:t>
      </w:r>
      <w:r>
        <w:rPr>
          <w:rFonts w:ascii="Calibri" w:cs="Calibri" w:eastAsia="Calibri" w:hAnsi="Calibri"/>
          <w:b/>
          <w:bCs/>
          <w:sz w:val="21"/>
          <w:szCs w:val="21"/>
        </w:rPr>
        <w:t xml:space="preserve">hot-hand belief</w:t>
      </w:r>
      <w:r>
        <w:rPr>
          <w:rFonts w:ascii="Calibri" w:cs="Calibri" w:eastAsia="Calibri" w:hAnsi="Calibri"/>
          <w:sz w:val="21"/>
          <w:szCs w:val="21"/>
        </w:rPr>
        <w:t xml:space="preserve"> that a streak of winning trades shows the strategy, or the trader, is 'in form', which leads to larger positions just before normal performance returns (Gilovich, Vallone &amp; Tversky, 1985).</w:t>
      </w:r>
    </w:p>
    <w:p>
      <w:pPr>
        <w:pStyle w:val="Heading3"/>
        <w:keepNext/>
        <w:spacing w:after="80" w:before="180"/>
      </w:pPr>
      <w:r>
        <w:rPr>
          <w:rFonts w:ascii="Calibri" w:cs="Calibri" w:eastAsia="Calibri" w:hAnsi="Calibri"/>
          <w:b/>
          <w:bCs/>
          <w:color w:val="2E2E2E"/>
          <w:sz w:val="22"/>
          <w:szCs w:val="22"/>
        </w:rPr>
        <w:t xml:space="preserve">Illustration — Pine Script Bias Lab, mode "2 Overconfidence" (17_Bias_Lab.pine), and evidence from the 7 stocks</w:t>
      </w:r>
    </w:p>
    <w:p>
      <w:pPr>
        <w:spacing w:after="120" w:before="0" w:line="276"/>
        <w:jc w:val="both"/>
      </w:pPr>
      <w:r>
        <w:rPr>
          <w:rFonts w:ascii="Calibri" w:cs="Calibri" w:eastAsia="Calibri" w:hAnsi="Calibri"/>
          <w:sz w:val="21"/>
          <w:szCs w:val="21"/>
        </w:rPr>
        <w:t xml:space="preserve">The script shades the chart blue before a user-chosen split date (default 1 Jan 2022) and orange after it, marks every Strategy A signal, and reports the signal's 7-session forward return separately for the two periods. Moving the split date shows how often the period a trader 'learned' on flatters the period that follows. The disciplined strategy (</w:t>
      </w:r>
      <w:r>
        <w:rPr>
          <w:rFonts w:ascii="Consolas" w:cs="Consolas" w:eastAsia="Consolas" w:hAnsi="Consolas"/>
          <w:sz w:val="19"/>
          <w:szCs w:val="19"/>
        </w:rPr>
        <w:t xml:space="preserve">18_Strategy_Disciplined.pine</w:t>
      </w:r>
      <w:r>
        <w:rPr>
          <w:rFonts w:ascii="Calibri" w:cs="Calibri" w:eastAsia="Calibri" w:hAnsi="Calibri"/>
          <w:sz w:val="21"/>
          <w:szCs w:val="21"/>
        </w:rPr>
        <w:t xml:space="preserve">) adds the same split to TradingView's own closed-trade list as a live scorecard.</w:t>
      </w:r>
    </w:p>
    <w:p>
      <w:pPr>
        <w:spacing w:after="120" w:before="0" w:line="276"/>
        <w:jc w:val="both"/>
      </w:pPr>
      <w:r>
        <w:rPr>
          <w:rFonts w:ascii="Calibri" w:cs="Calibri" w:eastAsia="Calibri" w:hAnsi="Calibri"/>
          <w:sz w:val="21"/>
          <w:szCs w:val="21"/>
        </w:rPr>
        <w:t xml:space="preserve">In Python we ran the overfitting experiment explicitly. For each stock we searched 25 versions of Strategy A (RSI thresholds 25–45 × holding periods 3–15 sessions, with at least five trades required) on 2015–21 only, selected the version with the highest Sharpe ratio, and then traded exactly that version on 2022–26.</w:t>
      </w:r>
    </w:p>
    <w:p>
      <w:pPr>
        <w:keepNext/>
        <w:spacing w:after="60" w:before="120"/>
        <w:jc w:val="center"/>
      </w:pPr>
      <w:r>
        <w:drawing>
          <wp:inline distT="0" distB="0" distL="0" distR="0">
            <wp:extent cx="5760720" cy="190864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60720" cy="1908649"/>
                    </a:xfrm>
                    <a:prstGeom prst="rect">
                      <a:avLst/>
                    </a:prstGeom>
                  </pic:spPr>
                </pic:pic>
              </a:graphicData>
            </a:graphic>
          </wp:inline>
        </w:drawing>
      </w:r>
    </w:p>
    <w:p>
      <w:pPr>
        <w:spacing w:after="200"/>
        <w:jc w:val="left"/>
      </w:pPr>
      <w:r>
        <w:rPr>
          <w:rFonts w:ascii="Calibri" w:cs="Calibri" w:eastAsia="Calibri" w:hAnsi="Calibri"/>
          <w:i/>
          <w:iCs/>
          <w:color w:val="595959"/>
          <w:sz w:val="17"/>
          <w:szCs w:val="17"/>
        </w:rPr>
        <w:t xml:space="preserve">Exhibit 23. Sharpe of the best of 25 Strategy A variants in-sample (blue), the same variant out-of-sample (orange) and the untuned default out-of-sample (grey). Excess of a 6% cash return, net of 0.15% per side.</w:t>
      </w:r>
    </w:p>
    <w:p>
      <w:pPr>
        <w:keepNext/>
        <w:spacing w:after="80" w:before="160"/>
      </w:pPr>
      <w:r>
        <w:rPr>
          <w:rFonts w:ascii="Calibri" w:cs="Calibri" w:eastAsia="Calibri" w:hAnsi="Calibri"/>
          <w:b/>
          <w:bCs/>
          <w:color w:val="2E2E2E"/>
          <w:sz w:val="19"/>
          <w:szCs w:val="19"/>
        </w:rPr>
        <w:t xml:space="preserve">Table 5.2 Optimised in-sample versus out-of-sample (Strategy A family)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1100"/>
        <w:gridCol w:w="1350"/>
        <w:gridCol w:w="1350"/>
        <w:gridCol w:w="1300"/>
        <w:gridCol w:w="1326"/>
      </w:tblGrid>
      <w:tr>
        <w:trPr>
          <w:cantSplit/>
          <w:tblHeader/>
        </w:trPr>
        <w:tc>
          <w:tcPr>
            <w:tcW w:type="dxa" w:w="15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tcPr>
          <w:p>
            <w:pPr>
              <w:jc w:val="left"/>
            </w:pPr>
            <w:r>
              <w:rPr>
                <w:rFonts w:ascii="Calibri" w:cs="Calibri" w:eastAsia="Calibri" w:hAnsi="Calibri"/>
                <w:b/>
                <w:bCs/>
                <w:color w:val="FFFFFF"/>
                <w:sz w:val="17"/>
                <w:szCs w:val="17"/>
              </w:rPr>
              <w:t xml:space="preserve">Stock</w:t>
            </w:r>
          </w:p>
        </w:tc>
        <w:tc>
          <w:tcPr>
            <w:tcW w:type="dxa" w:w="11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tcPr>
          <w:p>
            <w:pPr>
              <w:jc w:val="center"/>
            </w:pPr>
            <w:r>
              <w:rPr>
                <w:rFonts w:ascii="Calibri" w:cs="Calibri" w:eastAsia="Calibri" w:hAnsi="Calibri"/>
                <w:b/>
                <w:bCs/>
                <w:color w:val="FFFFFF"/>
                <w:sz w:val="17"/>
                <w:szCs w:val="17"/>
              </w:rPr>
              <w:t xml:space="preserve">Chosen RSI</w:t>
            </w:r>
          </w:p>
        </w:tc>
        <w:tc>
          <w:tcPr>
            <w:tcW w:type="dxa" w:w="11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tcPr>
          <w:p>
            <w:pPr>
              <w:jc w:val="center"/>
            </w:pPr>
            <w:r>
              <w:rPr>
                <w:rFonts w:ascii="Calibri" w:cs="Calibri" w:eastAsia="Calibri" w:hAnsi="Calibri"/>
                <w:b/>
                <w:bCs/>
                <w:color w:val="FFFFFF"/>
                <w:sz w:val="17"/>
                <w:szCs w:val="17"/>
              </w:rPr>
              <w:t xml:space="preserve">Chosen hold</w:t>
            </w:r>
          </w:p>
        </w:tc>
        <w:tc>
          <w:tcPr>
            <w:tcW w:type="dxa" w:w="135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tcPr>
          <w:p>
            <w:pPr>
              <w:jc w:val="center"/>
            </w:pPr>
            <w:r>
              <w:rPr>
                <w:rFonts w:ascii="Calibri" w:cs="Calibri" w:eastAsia="Calibri" w:hAnsi="Calibri"/>
                <w:b/>
                <w:bCs/>
                <w:color w:val="FFFFFF"/>
                <w:sz w:val="17"/>
                <w:szCs w:val="17"/>
              </w:rPr>
              <w:t xml:space="preserve">Tuned IS Sharpe</w:t>
            </w:r>
          </w:p>
        </w:tc>
        <w:tc>
          <w:tcPr>
            <w:tcW w:type="dxa" w:w="135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tcPr>
          <w:p>
            <w:pPr>
              <w:jc w:val="center"/>
            </w:pPr>
            <w:r>
              <w:rPr>
                <w:rFonts w:ascii="Calibri" w:cs="Calibri" w:eastAsia="Calibri" w:hAnsi="Calibri"/>
                <w:b/>
                <w:bCs/>
                <w:color w:val="FFFFFF"/>
                <w:sz w:val="17"/>
                <w:szCs w:val="17"/>
              </w:rPr>
              <w:t xml:space="preserve">Tuned OOS Sharpe</w:t>
            </w:r>
          </w:p>
        </w:tc>
        <w:tc>
          <w:tcPr>
            <w:tcW w:type="dxa" w:w="13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tcPr>
          <w:p>
            <w:pPr>
              <w:jc w:val="center"/>
            </w:pPr>
            <w:r>
              <w:rPr>
                <w:rFonts w:ascii="Calibri" w:cs="Calibri" w:eastAsia="Calibri" w:hAnsi="Calibri"/>
                <w:b/>
                <w:bCs/>
                <w:color w:val="FFFFFF"/>
                <w:sz w:val="17"/>
                <w:szCs w:val="17"/>
              </w:rPr>
              <w:t xml:space="preserve">Default IS Sharpe</w:t>
            </w:r>
          </w:p>
        </w:tc>
        <w:tc>
          <w:tcPr>
            <w:tcW w:type="dxa" w:w="1326"/>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tcPr>
          <w:p>
            <w:pPr>
              <w:jc w:val="center"/>
            </w:pPr>
            <w:r>
              <w:rPr>
                <w:rFonts w:ascii="Calibri" w:cs="Calibri" w:eastAsia="Calibri" w:hAnsi="Calibri"/>
                <w:b/>
                <w:bCs/>
                <w:color w:val="FFFFFF"/>
                <w:sz w:val="17"/>
                <w:szCs w:val="17"/>
              </w:rPr>
              <w:t xml:space="preserve">Default OOS Sharpe</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RELIANCE</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40</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15</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0.31</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0.30</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-0.14</w:t>
            </w:r>
          </w:p>
        </w:tc>
        <w:tc>
          <w:tcPr>
            <w:tcW w:type="dxa" w:w="13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-0.51</w:t>
            </w:r>
          </w:p>
        </w:tc>
      </w:tr>
      <w:tr>
        <w:trPr>
          <w:cantSplit/>
        </w:trPr>
        <w:tc>
          <w:tcPr>
            <w:tcW w:type="dxa" w:w="15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color w:val="000000"/>
                <w:sz w:val="17"/>
                <w:szCs w:val="17"/>
              </w:rPr>
              <w:t xml:space="preserve">HDFCBANK</w:t>
            </w:r>
          </w:p>
        </w:tc>
        <w:tc>
          <w:tcPr>
            <w:tcW w:type="dxa" w:w="11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35</w:t>
            </w:r>
          </w:p>
        </w:tc>
        <w:tc>
          <w:tcPr>
            <w:tcW w:type="dxa" w:w="11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10</w:t>
            </w:r>
          </w:p>
        </w:tc>
        <w:tc>
          <w:tcPr>
            <w:tcW w:type="dxa" w:w="13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-0.00</w:t>
            </w:r>
          </w:p>
        </w:tc>
        <w:tc>
          <w:tcPr>
            <w:tcW w:type="dxa" w:w="13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0.94</w:t>
            </w:r>
          </w:p>
        </w:tc>
        <w:tc>
          <w:tcPr>
            <w:tcW w:type="dxa" w:w="13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-0.55</w:t>
            </w:r>
          </w:p>
        </w:tc>
        <w:tc>
          <w:tcPr>
            <w:tcW w:type="dxa" w:w="1326"/>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-0.49</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INFY</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45</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15</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0.33</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-0.90</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0.66</w:t>
            </w:r>
          </w:p>
        </w:tc>
        <w:tc>
          <w:tcPr>
            <w:tcW w:type="dxa" w:w="13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-0.62</w:t>
            </w:r>
          </w:p>
        </w:tc>
      </w:tr>
      <w:tr>
        <w:trPr>
          <w:cantSplit/>
        </w:trPr>
        <w:tc>
          <w:tcPr>
            <w:tcW w:type="dxa" w:w="15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color w:val="000000"/>
                <w:sz w:val="17"/>
                <w:szCs w:val="17"/>
              </w:rPr>
              <w:t xml:space="preserve">ITC</w:t>
            </w:r>
          </w:p>
        </w:tc>
        <w:tc>
          <w:tcPr>
            <w:tcW w:type="dxa" w:w="11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35</w:t>
            </w:r>
          </w:p>
        </w:tc>
        <w:tc>
          <w:tcPr>
            <w:tcW w:type="dxa" w:w="11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3</w:t>
            </w:r>
          </w:p>
        </w:tc>
        <w:tc>
          <w:tcPr>
            <w:tcW w:type="dxa" w:w="13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0.00</w:t>
            </w:r>
          </w:p>
        </w:tc>
        <w:tc>
          <w:tcPr>
            <w:tcW w:type="dxa" w:w="13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-0.07</w:t>
            </w:r>
          </w:p>
        </w:tc>
        <w:tc>
          <w:tcPr>
            <w:tcW w:type="dxa" w:w="13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0.02</w:t>
            </w:r>
          </w:p>
        </w:tc>
        <w:tc>
          <w:tcPr>
            <w:tcW w:type="dxa" w:w="1326"/>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-0.23</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MARUTI</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35</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7</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0.79</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-0.01</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0.58</w:t>
            </w:r>
          </w:p>
        </w:tc>
        <w:tc>
          <w:tcPr>
            <w:tcW w:type="dxa" w:w="13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-0.95</w:t>
            </w:r>
          </w:p>
        </w:tc>
      </w:tr>
      <w:tr>
        <w:trPr>
          <w:cantSplit/>
        </w:trPr>
        <w:tc>
          <w:tcPr>
            <w:tcW w:type="dxa" w:w="15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color w:val="000000"/>
                <w:sz w:val="17"/>
                <w:szCs w:val="17"/>
              </w:rPr>
              <w:t xml:space="preserve">SUNPHARMA</w:t>
            </w:r>
          </w:p>
        </w:tc>
        <w:tc>
          <w:tcPr>
            <w:tcW w:type="dxa" w:w="11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45</w:t>
            </w:r>
          </w:p>
        </w:tc>
        <w:tc>
          <w:tcPr>
            <w:tcW w:type="dxa" w:w="11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15</w:t>
            </w:r>
          </w:p>
        </w:tc>
        <w:tc>
          <w:tcPr>
            <w:tcW w:type="dxa" w:w="13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0.46</w:t>
            </w:r>
          </w:p>
        </w:tc>
        <w:tc>
          <w:tcPr>
            <w:tcW w:type="dxa" w:w="13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-0.16</w:t>
            </w:r>
          </w:p>
        </w:tc>
        <w:tc>
          <w:tcPr>
            <w:tcW w:type="dxa" w:w="13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0.47</w:t>
            </w:r>
          </w:p>
        </w:tc>
        <w:tc>
          <w:tcPr>
            <w:tcW w:type="dxa" w:w="1326"/>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0.54</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LT</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40</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10</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0.44</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-0.20</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-0.22</w:t>
            </w:r>
          </w:p>
        </w:tc>
        <w:tc>
          <w:tcPr>
            <w:tcW w:type="dxa" w:w="13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-0.19</w:t>
            </w:r>
          </w:p>
        </w:tc>
      </w:tr>
      <w:tr>
        <w:trPr>
          <w:cantSplit/>
        </w:trPr>
        <w:tc>
          <w:tcPr>
            <w:tcW w:type="dxa" w:w="15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color w:val="000000"/>
                <w:sz w:val="17"/>
                <w:szCs w:val="17"/>
              </w:rPr>
              <w:t xml:space="preserve">Average</w:t>
            </w:r>
          </w:p>
        </w:tc>
        <w:tc>
          <w:tcPr>
            <w:tcW w:type="dxa" w:w="11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
            </w:r>
          </w:p>
        </w:tc>
        <w:tc>
          <w:tcPr>
            <w:tcW w:type="dxa" w:w="11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
            </w:r>
          </w:p>
        </w:tc>
        <w:tc>
          <w:tcPr>
            <w:tcW w:type="dxa" w:w="13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0.33</w:t>
            </w:r>
          </w:p>
        </w:tc>
        <w:tc>
          <w:tcPr>
            <w:tcW w:type="dxa" w:w="13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-0.02</w:t>
            </w:r>
          </w:p>
        </w:tc>
        <w:tc>
          <w:tcPr>
            <w:tcW w:type="dxa" w:w="13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0.12</w:t>
            </w:r>
          </w:p>
        </w:tc>
        <w:tc>
          <w:tcPr>
            <w:tcW w:type="dxa" w:w="1326"/>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-0.35</w:t>
            </w:r>
          </w:p>
        </w:tc>
      </w:tr>
    </w:tbl>
    <w:p>
      <w:pPr>
        <w:spacing w:after="120" w:before="0" w:line="276"/>
        <w:jc w:val="both"/>
      </w:pPr>
      <w:r>
        <w:rPr>
          <w:rFonts w:ascii="Calibri" w:cs="Calibri" w:eastAsia="Calibri" w:hAnsi="Calibri"/>
          <w:b/>
          <w:bCs/>
          <w:sz w:val="21"/>
          <w:szCs w:val="21"/>
        </w:rPr>
        <w:t xml:space="preserve">What the evidence shows. </w:t>
      </w:r>
      <w:r>
        <w:rPr>
          <w:rFonts w:ascii="Calibri" w:cs="Calibri" w:eastAsia="Calibri" w:hAnsi="Calibri"/>
          <w:sz w:val="21"/>
          <w:szCs w:val="21"/>
        </w:rPr>
        <w:t xml:space="preserve">The tuned rule promised an average Sharpe of 0.33 and delivered -0.02 on unseen data; 6 of 7 stocks got worse, Infosys from 0.33 to -0.90. This needs careful reading. The untuned default rule fell by a similar amount (0.12 to -0.35), and buy-and-hold also weakened after 2021, so most of the fall is a change of regime rather than overfitting alone; the tuned rule even did a little better out-of-sample than the default. The overconfidence is therefore not in tuning as such but in treating the in-sample number as a forecast: a trader who sized positions on a Sharpe of 0.33 received -0.02. The chosen parameters also differ from stock to stock (RSI 35–45, holds of 3–15 sessions), so the 'optimal' rule is largely noise, and selecting the best of 25 guarantees an upward-biased in-sample estimate (Bailey et al., 2014). On the hot hand, across 521 sequential trades from all strategies and stocks, the win rate after three straight wins was 50.7% (n = 75) against 52.6% overall (z = -0.33): streaks carry no information about the next trade. This is also why all twelve indicators run at their textbook settings on every stock. Evidence grade: clear.</w:t>
      </w:r>
    </w:p>
    <w:p>
      <w:pPr>
        <w:pStyle w:val="Heading2"/>
        <w:keepNext/>
        <w:spacing w:after="120" w:before="240"/>
      </w:pPr>
      <w:r>
        <w:rPr>
          <w:rFonts w:ascii="Calibri" w:cs="Calibri" w:eastAsia="Calibri" w:hAnsi="Calibri"/>
          <w:b/>
          <w:bCs/>
          <w:color w:val="1F4E79"/>
          <w:sz w:val="26"/>
          <w:szCs w:val="26"/>
        </w:rPr>
        <w:t xml:space="preserve">5.3 Anchoring bias</w:t>
      </w:r>
    </w:p>
    <w:p>
      <w:pPr>
        <w:pStyle w:val="Heading3"/>
        <w:keepNext/>
        <w:spacing w:after="80" w:before="180"/>
      </w:pPr>
      <w:r>
        <w:rPr>
          <w:rFonts w:ascii="Calibri" w:cs="Calibri" w:eastAsia="Calibri" w:hAnsi="Calibri"/>
          <w:b/>
          <w:bCs/>
          <w:color w:val="2E2E2E"/>
          <w:sz w:val="22"/>
          <w:szCs w:val="22"/>
        </w:rPr>
        <w:t xml:space="preserve">Impact on a technical-analysis strategy</w:t>
      </w:r>
    </w:p>
    <w:p>
      <w:pPr>
        <w:spacing w:after="120" w:before="0" w:line="276"/>
        <w:jc w:val="both"/>
      </w:pPr>
      <w:r>
        <w:rPr>
          <w:rFonts w:ascii="Calibri" w:cs="Calibri" w:eastAsia="Calibri" w:hAnsi="Calibri"/>
          <w:sz w:val="21"/>
          <w:szCs w:val="21"/>
        </w:rPr>
        <w:t xml:space="preserve">Anchoring is the reliance on an initial reference value when making estimates, with insufficient adjustment away from it (Tversky &amp; Kahneman, 1974). Technical traders anchor on two values in particular. The first is their </w:t>
      </w:r>
      <w:r>
        <w:rPr>
          <w:rFonts w:ascii="Calibri" w:cs="Calibri" w:eastAsia="Calibri" w:hAnsi="Calibri"/>
          <w:b/>
          <w:bCs/>
          <w:sz w:val="21"/>
          <w:szCs w:val="21"/>
        </w:rPr>
        <w:t xml:space="preserve">own entry price</w:t>
      </w:r>
      <w:r>
        <w:rPr>
          <w:rFonts w:ascii="Calibri" w:cs="Calibri" w:eastAsia="Calibri" w:hAnsi="Calibri"/>
          <w:sz w:val="21"/>
          <w:szCs w:val="21"/>
        </w:rPr>
        <w:t xml:space="preserve">: a losing position is held 'until it gets back to cost', which is the disposition effect (Shefrin &amp; Statman, 1985), and converts a time-bound strategy into an open-ended one. The second is </w:t>
      </w:r>
      <w:r>
        <w:rPr>
          <w:rFonts w:ascii="Calibri" w:cs="Calibri" w:eastAsia="Calibri" w:hAnsi="Calibri"/>
          <w:b/>
          <w:bCs/>
          <w:sz w:val="21"/>
          <w:szCs w:val="21"/>
        </w:rPr>
        <w:t xml:space="preserve">salient chart levels</w:t>
      </w:r>
      <w:r>
        <w:rPr>
          <w:rFonts w:ascii="Calibri" w:cs="Calibri" w:eastAsia="Calibri" w:hAnsi="Calibri"/>
          <w:sz w:val="21"/>
          <w:szCs w:val="21"/>
        </w:rPr>
        <w:t xml:space="preserve"> such as the 52-week high, which many traders treat as a ceiling to sell into; George and Hwang (2004) argue that this anchoring causes under-reaction near the high.</w:t>
      </w:r>
    </w:p>
    <w:p>
      <w:pPr>
        <w:pStyle w:val="Heading3"/>
        <w:keepNext/>
        <w:spacing w:after="80" w:before="180"/>
      </w:pPr>
      <w:r>
        <w:rPr>
          <w:rFonts w:ascii="Calibri" w:cs="Calibri" w:eastAsia="Calibri" w:hAnsi="Calibri"/>
          <w:b/>
          <w:bCs/>
          <w:color w:val="2E2E2E"/>
          <w:sz w:val="22"/>
          <w:szCs w:val="22"/>
        </w:rPr>
        <w:t xml:space="preserve">Illustration — Pine Script Bias Lab, mode "3 Anchoring" (17_Bias_Lab.pine), and evidence from the 7 stocks</w:t>
      </w:r>
    </w:p>
    <w:p>
      <w:pPr>
        <w:spacing w:after="120" w:before="0" w:line="276"/>
        <w:jc w:val="both"/>
      </w:pPr>
      <w:r>
        <w:rPr>
          <w:rFonts w:ascii="Calibri" w:cs="Calibri" w:eastAsia="Calibri" w:hAnsi="Calibri"/>
          <w:sz w:val="21"/>
          <w:szCs w:val="21"/>
        </w:rPr>
        <w:t xml:space="preserve">The script plots the 52-week high as a step line, shades sessions within 2% of it, and, if the user enters an entry price, draws that anchor and shades every session spent below it (the 'disposition zone'). The table compares 20-session forward returns near the 52-week high, far below it and on an average day, and prints the current distance from the user's anchor with the reminder that the market does not know anyone's cost.</w:t>
      </w:r>
    </w:p>
    <w:p>
      <w:pPr>
        <w:spacing w:after="120" w:before="0" w:line="276"/>
        <w:jc w:val="both"/>
      </w:pPr>
      <w:r>
        <w:rPr>
          <w:rFonts w:ascii="Calibri" w:cs="Calibri" w:eastAsia="Calibri" w:hAnsi="Calibri"/>
          <w:sz w:val="21"/>
          <w:szCs w:val="21"/>
        </w:rPr>
        <w:t xml:space="preserve">In Python we took every losing trade of Strategy B across the seven stocks and replaced the disciplined 15-session exit with an anchored rule: keep holding until the close returns to the entry price plus costs, for up to a further year.</w:t>
      </w:r>
    </w:p>
    <w:p>
      <w:pPr>
        <w:keepNext/>
        <w:spacing w:after="60" w:before="120"/>
        <w:jc w:val="center"/>
      </w:pPr>
      <w:r>
        <w:drawing>
          <wp:inline distT="0" distB="0" distL="0" distR="0">
            <wp:extent cx="5760720" cy="230970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60720" cy="2309701"/>
                    </a:xfrm>
                    <a:prstGeom prst="rect">
                      <a:avLst/>
                    </a:prstGeom>
                  </pic:spPr>
                </pic:pic>
              </a:graphicData>
            </a:graphic>
          </wp:inline>
        </w:drawing>
      </w:r>
    </w:p>
    <w:p>
      <w:pPr>
        <w:spacing w:after="200"/>
        <w:jc w:val="left"/>
      </w:pPr>
      <w:r>
        <w:rPr>
          <w:rFonts w:ascii="Calibri" w:cs="Calibri" w:eastAsia="Calibri" w:hAnsi="Calibri"/>
          <w:i/>
          <w:iCs/>
          <w:color w:val="595959"/>
          <w:sz w:val="17"/>
          <w:szCs w:val="17"/>
        </w:rPr>
        <w:t xml:space="preserve">Exhibit 24. Left: Strategy B's losing trades under the disciplined exit and under a hold-to-breakeven anchor. Right: average 20-session forward return by distance from the 52-week high (7 stocks pooled).</w:t>
      </w:r>
    </w:p>
    <w:p>
      <w:pPr>
        <w:keepNext/>
        <w:spacing w:after="80" w:before="160"/>
      </w:pPr>
      <w:r>
        <w:rPr>
          <w:rFonts w:ascii="Calibri" w:cs="Calibri" w:eastAsia="Calibri" w:hAnsi="Calibri"/>
          <w:b/>
          <w:bCs/>
          <w:color w:val="2E2E2E"/>
          <w:sz w:val="19"/>
          <w:szCs w:val="19"/>
        </w:rPr>
        <w:t xml:space="preserve">Table 5.3 Distance from the 52-week high and the next 20 sessions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1700"/>
        <w:gridCol w:w="2000"/>
        <w:gridCol w:w="1826"/>
      </w:tblGrid>
      <w:tr>
        <w:trPr>
          <w:cantSplit/>
          <w:tblHeader/>
        </w:trPr>
        <w:tc>
          <w:tcPr>
            <w:tcW w:type="dxa" w:w="35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tcPr>
          <w:p>
            <w:pPr>
              <w:jc w:val="left"/>
            </w:pPr>
            <w:r>
              <w:rPr>
                <w:rFonts w:ascii="Calibri" w:cs="Calibri" w:eastAsia="Calibri" w:hAnsi="Calibri"/>
                <w:b/>
                <w:bCs/>
                <w:color w:val="FFFFFF"/>
                <w:sz w:val="17"/>
                <w:szCs w:val="17"/>
              </w:rPr>
              <w:t xml:space="preserve">Distance from 52-week high</w:t>
            </w:r>
          </w:p>
        </w:tc>
        <w:tc>
          <w:tcPr>
            <w:tcW w:type="dxa" w:w="17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tcPr>
          <w:p>
            <w:pPr>
              <w:jc w:val="center"/>
            </w:pPr>
            <w:r>
              <w:rPr>
                <w:rFonts w:ascii="Calibri" w:cs="Calibri" w:eastAsia="Calibri" w:hAnsi="Calibri"/>
                <w:b/>
                <w:bCs/>
                <w:color w:val="FFFFFF"/>
                <w:sz w:val="17"/>
                <w:szCs w:val="17"/>
              </w:rPr>
              <w:t xml:space="preserve">Sessions (n)</w:t>
            </w:r>
          </w:p>
        </w:tc>
        <w:tc>
          <w:tcPr>
            <w:tcW w:type="dxa" w:w="20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tcPr>
          <w:p>
            <w:pPr>
              <w:jc w:val="center"/>
            </w:pPr>
            <w:r>
              <w:rPr>
                <w:rFonts w:ascii="Calibri" w:cs="Calibri" w:eastAsia="Calibri" w:hAnsi="Calibri"/>
                <w:b/>
                <w:bCs/>
                <w:color w:val="FFFFFF"/>
                <w:sz w:val="17"/>
                <w:szCs w:val="17"/>
              </w:rPr>
              <w:t xml:space="preserve">Avg 20-day return</w:t>
            </w:r>
          </w:p>
        </w:tc>
        <w:tc>
          <w:tcPr>
            <w:tcW w:type="dxa" w:w="1826"/>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tcPr>
          <w:p>
            <w:pPr>
              <w:jc w:val="center"/>
            </w:pPr>
            <w:r>
              <w:rPr>
                <w:rFonts w:ascii="Calibri" w:cs="Calibri" w:eastAsia="Calibri" w:hAnsi="Calibri"/>
                <w:b/>
                <w:bCs/>
                <w:color w:val="FFFFFF"/>
                <w:sz w:val="17"/>
                <w:szCs w:val="17"/>
              </w:rPr>
              <w:t xml:space="preserve">Hit rate</w:t>
            </w:r>
          </w:p>
        </w:tc>
      </w:tr>
      <w:tr>
        <w:trPr>
          <w:cantSplit/>
        </w:trPr>
        <w:tc>
          <w:tcPr>
            <w:tcW w:type="dxa" w:w="35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&lt;−30%</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1349</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2.78%</w:t>
            </w:r>
          </w:p>
        </w:tc>
        <w:tc>
          <w:tcPr>
            <w:tcW w:type="dxa" w:w="18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62%</w:t>
            </w:r>
          </w:p>
        </w:tc>
      </w:tr>
      <w:tr>
        <w:trPr>
          <w:cantSplit/>
        </w:trPr>
        <w:tc>
          <w:tcPr>
            <w:tcW w:type="dxa" w:w="35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color w:val="000000"/>
                <w:sz w:val="17"/>
                <w:szCs w:val="17"/>
              </w:rPr>
              <w:t xml:space="preserve">−30 to −20%</w:t>
            </w:r>
          </w:p>
        </w:tc>
        <w:tc>
          <w:tcPr>
            <w:tcW w:type="dxa" w:w="17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2716</w:t>
            </w:r>
          </w:p>
        </w:tc>
        <w:tc>
          <w:tcPr>
            <w:tcW w:type="dxa" w:w="20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0.61%</w:t>
            </w:r>
          </w:p>
        </w:tc>
        <w:tc>
          <w:tcPr>
            <w:tcW w:type="dxa" w:w="1826"/>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55%</w:t>
            </w:r>
          </w:p>
        </w:tc>
      </w:tr>
      <w:tr>
        <w:trPr>
          <w:cantSplit/>
        </w:trPr>
        <w:tc>
          <w:tcPr>
            <w:tcW w:type="dxa" w:w="35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−20 to −10%</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5566</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1.20%</w:t>
            </w:r>
          </w:p>
        </w:tc>
        <w:tc>
          <w:tcPr>
            <w:tcW w:type="dxa" w:w="18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58%</w:t>
            </w:r>
          </w:p>
        </w:tc>
      </w:tr>
      <w:tr>
        <w:trPr>
          <w:cantSplit/>
        </w:trPr>
        <w:tc>
          <w:tcPr>
            <w:tcW w:type="dxa" w:w="35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color w:val="000000"/>
                <w:sz w:val="17"/>
                <w:szCs w:val="17"/>
              </w:rPr>
              <w:t xml:space="preserve">−10 to −5%</w:t>
            </w:r>
          </w:p>
        </w:tc>
        <w:tc>
          <w:tcPr>
            <w:tcW w:type="dxa" w:w="17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4793</w:t>
            </w:r>
          </w:p>
        </w:tc>
        <w:tc>
          <w:tcPr>
            <w:tcW w:type="dxa" w:w="20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0.65%</w:t>
            </w:r>
          </w:p>
        </w:tc>
        <w:tc>
          <w:tcPr>
            <w:tcW w:type="dxa" w:w="1826"/>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53%</w:t>
            </w:r>
          </w:p>
        </w:tc>
      </w:tr>
      <w:tr>
        <w:trPr>
          <w:cantSplit/>
        </w:trPr>
        <w:tc>
          <w:tcPr>
            <w:tcW w:type="dxa" w:w="35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−5 to −2%</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3391</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0.72%</w:t>
            </w:r>
          </w:p>
        </w:tc>
        <w:tc>
          <w:tcPr>
            <w:tcW w:type="dxa" w:w="18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55%</w:t>
            </w:r>
          </w:p>
        </w:tc>
      </w:tr>
      <w:tr>
        <w:trPr>
          <w:cantSplit/>
        </w:trPr>
        <w:tc>
          <w:tcPr>
            <w:tcW w:type="dxa" w:w="35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color w:val="000000"/>
                <w:sz w:val="17"/>
                <w:szCs w:val="17"/>
              </w:rPr>
              <w:t xml:space="preserve">within 2%</w:t>
            </w:r>
          </w:p>
        </w:tc>
        <w:tc>
          <w:tcPr>
            <w:tcW w:type="dxa" w:w="17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2317</w:t>
            </w:r>
          </w:p>
        </w:tc>
        <w:tc>
          <w:tcPr>
            <w:tcW w:type="dxa" w:w="20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0.65%</w:t>
            </w:r>
          </w:p>
        </w:tc>
        <w:tc>
          <w:tcPr>
            <w:tcW w:type="dxa" w:w="1826"/>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54%</w:t>
            </w:r>
          </w:p>
        </w:tc>
      </w:tr>
    </w:tbl>
    <w:p>
      <w:pPr>
        <w:spacing w:after="120" w:before="0" w:line="276"/>
        <w:jc w:val="both"/>
      </w:pPr>
      <w:r>
        <w:rPr>
          <w:rFonts w:ascii="Calibri" w:cs="Calibri" w:eastAsia="Calibri" w:hAnsi="Calibri"/>
          <w:b/>
          <w:bCs/>
          <w:sz w:val="21"/>
          <w:szCs w:val="21"/>
        </w:rPr>
        <w:t xml:space="preserve">What the evidence shows. </w:t>
      </w:r>
      <w:r>
        <w:rPr>
          <w:rFonts w:ascii="Calibri" w:cs="Calibri" w:eastAsia="Calibri" w:hAnsi="Calibri"/>
          <w:sz w:val="21"/>
          <w:szCs w:val="21"/>
        </w:rPr>
        <w:t xml:space="preserve">Anchoring on the entry price "improved" the average losing trade from -4.8% to -2.3%, but at a cost the average hides: it tied up capital for 67 extra sessions per trade (about four and a half times the strategy's horizon), the position sat on an average worst loss of 13.3% while waiting, the worst case reached 56.1%, and 15% of losers had still not recovered after a year. The return 'improvement' is statistically significant (paired t = 3.22), which is exactly what makes the anchor persuasive; but it is bought with risk and time, and even crediting the disciplined exit with 67 sessions of Treasury-bill interest (about 1.6%) leaves a far smaller gap than the interim drawdowns suggest. The rule looks acceptable here only because the sample consists of today's large-cap survivors, which by construction recovered from most falls; on stocks that did not survive, the same anchor would have ridden losses towards zero. On the 52-week high, the George–Hwang pattern does not appear in this sample: sessions within 2% of the high were followed by 0.65% over 20 sessions, slightly below the average day, while stocks 30% or more below their high rebounded most (2.78%). The 52-week high therefore offered neither the resistance that anchored traders expect nor a reliable breakout signal. Evidence grade: clear on risk; the return effect is flattered by survivorship.</w:t>
      </w:r>
    </w:p>
    <w:p>
      <w:pPr>
        <w:pStyle w:val="Heading2"/>
        <w:keepNext/>
        <w:spacing w:after="120" w:before="240"/>
      </w:pPr>
      <w:r>
        <w:rPr>
          <w:rFonts w:ascii="Calibri" w:cs="Calibri" w:eastAsia="Calibri" w:hAnsi="Calibri"/>
          <w:b/>
          <w:bCs/>
          <w:color w:val="1F4E79"/>
          <w:sz w:val="26"/>
          <w:szCs w:val="26"/>
        </w:rPr>
        <w:t xml:space="preserve">5.4 Representativeness bias</w:t>
      </w:r>
    </w:p>
    <w:p>
      <w:pPr>
        <w:pStyle w:val="Heading3"/>
        <w:keepNext/>
        <w:spacing w:after="80" w:before="180"/>
      </w:pPr>
      <w:r>
        <w:rPr>
          <w:rFonts w:ascii="Calibri" w:cs="Calibri" w:eastAsia="Calibri" w:hAnsi="Calibri"/>
          <w:b/>
          <w:bCs/>
          <w:color w:val="2E2E2E"/>
          <w:sz w:val="22"/>
          <w:szCs w:val="22"/>
        </w:rPr>
        <w:t xml:space="preserve">Impact on a technical-analysis strategy</w:t>
      </w:r>
    </w:p>
    <w:p>
      <w:pPr>
        <w:spacing w:after="120" w:before="0" w:line="276"/>
        <w:jc w:val="both"/>
      </w:pPr>
      <w:r>
        <w:rPr>
          <w:rFonts w:ascii="Calibri" w:cs="Calibri" w:eastAsia="Calibri" w:hAnsi="Calibri"/>
          <w:sz w:val="21"/>
          <w:szCs w:val="21"/>
        </w:rPr>
        <w:t xml:space="preserve">Representativeness is judging probability by resemblance to a stereotype while ignoring base rates and sample size (Tversky &amp; Kahneman, 1974). Technical analysis is built on stereotypes — 'overbought means a fall is due', 'a golden cross starts a bull market', 'three up days make a trend' — and on judging a pattern by how much the current chart looks like a memorable past example. Barberis, Shleifer and Vishny (1998) model how this leads investors to see trends in random sequences. The bias also shows up as trusting a strategy's first few trades as representative of its long-run behaviour (the 'law of small numbers').</w:t>
      </w:r>
    </w:p>
    <w:p>
      <w:pPr>
        <w:pStyle w:val="Heading3"/>
        <w:keepNext/>
        <w:spacing w:after="80" w:before="180"/>
      </w:pPr>
      <w:r>
        <w:rPr>
          <w:rFonts w:ascii="Calibri" w:cs="Calibri" w:eastAsia="Calibri" w:hAnsi="Calibri"/>
          <w:b/>
          <w:bCs/>
          <w:color w:val="2E2E2E"/>
          <w:sz w:val="22"/>
          <w:szCs w:val="22"/>
        </w:rPr>
        <w:t xml:space="preserve">Illustration — Pine Script Bias Lab, mode "4 Representativeness" (17_Bias_Lab.pine), and evidence from the 7 stocks</w:t>
      </w:r>
    </w:p>
    <w:p>
      <w:pPr>
        <w:spacing w:after="120" w:before="0" w:line="276"/>
        <w:jc w:val="both"/>
      </w:pPr>
      <w:r>
        <w:rPr>
          <w:rFonts w:ascii="Calibri" w:cs="Calibri" w:eastAsia="Calibri" w:hAnsi="Calibri"/>
          <w:sz w:val="21"/>
          <w:szCs w:val="21"/>
        </w:rPr>
        <w:t xml:space="preserve">The script marks each RSI cross above 70 with a red ✕ and each 50/200 golden cross with a 'GC' label, and the table compares their forward returns with the base rate over the same horizon, together with three consecutive up-closes versus an average 5-session period.</w:t>
      </w:r>
    </w:p>
    <w:p>
      <w:pPr>
        <w:keepNext/>
        <w:spacing w:after="60" w:before="120"/>
        <w:jc w:val="center"/>
      </w:pPr>
      <w:r>
        <w:drawing>
          <wp:inline distT="0" distB="0" distL="0" distR="0">
            <wp:extent cx="5760720" cy="204863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60720" cy="2048632"/>
                    </a:xfrm>
                    <a:prstGeom prst="rect">
                      <a:avLst/>
                    </a:prstGeom>
                  </pic:spPr>
                </pic:pic>
              </a:graphicData>
            </a:graphic>
          </wp:inline>
        </w:drawing>
      </w:r>
    </w:p>
    <w:p>
      <w:pPr>
        <w:spacing w:after="200"/>
        <w:jc w:val="left"/>
      </w:pPr>
      <w:r>
        <w:rPr>
          <w:rFonts w:ascii="Calibri" w:cs="Calibri" w:eastAsia="Calibri" w:hAnsi="Calibri"/>
          <w:i/>
          <w:iCs/>
          <w:color w:val="595959"/>
          <w:sz w:val="17"/>
          <w:szCs w:val="17"/>
        </w:rPr>
        <w:t xml:space="preserve">Exhibit 25. Forward returns after textbook patterns versus the unconditional base rate over the same horizon (7 stocks pooled).</w:t>
      </w:r>
    </w:p>
    <w:p>
      <w:pPr>
        <w:keepNext/>
        <w:spacing w:after="80" w:before="160"/>
      </w:pPr>
      <w:r>
        <w:rPr>
          <w:rFonts w:ascii="Calibri" w:cs="Calibri" w:eastAsia="Calibri" w:hAnsi="Calibri"/>
          <w:b/>
          <w:bCs/>
          <w:color w:val="2E2E2E"/>
          <w:sz w:val="19"/>
          <w:szCs w:val="19"/>
        </w:rPr>
        <w:t xml:space="preserve">Table 5.4 Stereotype versus base rate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00"/>
        <w:gridCol w:w="1100"/>
        <w:gridCol w:w="1700"/>
        <w:gridCol w:w="1200"/>
        <w:gridCol w:w="1326"/>
      </w:tblGrid>
      <w:tr>
        <w:trPr>
          <w:cantSplit/>
          <w:tblHeader/>
        </w:trPr>
        <w:tc>
          <w:tcPr>
            <w:tcW w:type="dxa" w:w="37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tcPr>
          <w:p>
            <w:pPr>
              <w:jc w:val="left"/>
            </w:pPr>
            <w:r>
              <w:rPr>
                <w:rFonts w:ascii="Calibri" w:cs="Calibri" w:eastAsia="Calibri" w:hAnsi="Calibri"/>
                <w:b/>
                <w:bCs/>
                <w:color w:val="FFFFFF"/>
                <w:sz w:val="17"/>
                <w:szCs w:val="17"/>
              </w:rPr>
              <w:t xml:space="preserve">Pattern</w:t>
            </w:r>
          </w:p>
        </w:tc>
        <w:tc>
          <w:tcPr>
            <w:tcW w:type="dxa" w:w="11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tcPr>
          <w:p>
            <w:pPr>
              <w:jc w:val="center"/>
            </w:pPr>
            <w:r>
              <w:rPr>
                <w:rFonts w:ascii="Calibri" w:cs="Calibri" w:eastAsia="Calibri" w:hAnsi="Calibri"/>
                <w:b/>
                <w:bCs/>
                <w:color w:val="FFFFFF"/>
                <w:sz w:val="17"/>
                <w:szCs w:val="17"/>
              </w:rPr>
              <w:t xml:space="preserve">n</w:t>
            </w:r>
          </w:p>
        </w:tc>
        <w:tc>
          <w:tcPr>
            <w:tcW w:type="dxa" w:w="17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tcPr>
          <w:p>
            <w:pPr>
              <w:jc w:val="center"/>
            </w:pPr>
            <w:r>
              <w:rPr>
                <w:rFonts w:ascii="Calibri" w:cs="Calibri" w:eastAsia="Calibri" w:hAnsi="Calibri"/>
                <w:b/>
                <w:bCs/>
                <w:color w:val="FFFFFF"/>
                <w:sz w:val="17"/>
                <w:szCs w:val="17"/>
              </w:rPr>
              <w:t xml:space="preserve">Avg forward return</w:t>
            </w:r>
          </w:p>
        </w:tc>
        <w:tc>
          <w:tcPr>
            <w:tcW w:type="dxa" w:w="12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tcPr>
          <w:p>
            <w:pPr>
              <w:jc w:val="center"/>
            </w:pPr>
            <w:r>
              <w:rPr>
                <w:rFonts w:ascii="Calibri" w:cs="Calibri" w:eastAsia="Calibri" w:hAnsi="Calibri"/>
                <w:b/>
                <w:bCs/>
                <w:color w:val="FFFFFF"/>
                <w:sz w:val="17"/>
                <w:szCs w:val="17"/>
              </w:rPr>
              <w:t xml:space="preserve">Hit rate</w:t>
            </w:r>
          </w:p>
        </w:tc>
        <w:tc>
          <w:tcPr>
            <w:tcW w:type="dxa" w:w="1326"/>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tcPr>
          <w:p>
            <w:pPr>
              <w:jc w:val="center"/>
            </w:pPr>
            <w:r>
              <w:rPr>
                <w:rFonts w:ascii="Calibri" w:cs="Calibri" w:eastAsia="Calibri" w:hAnsi="Calibri"/>
                <w:b/>
                <w:bCs/>
                <w:color w:val="FFFFFF"/>
                <w:sz w:val="17"/>
                <w:szCs w:val="17"/>
              </w:rPr>
              <w:t xml:space="preserve">t vs base rate</w:t>
            </w:r>
          </w:p>
        </w:tc>
      </w:tr>
      <w:tr>
        <w:trPr>
          <w:cantSplit/>
        </w:trPr>
        <w:tc>
          <w:tcPr>
            <w:tcW w:type="dxa" w:w="37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RSI &gt; 70 ('overbought')</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415</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1.15%</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57%</w:t>
            </w:r>
          </w:p>
        </w:tc>
        <w:tc>
          <w:tcPr>
            <w:tcW w:type="dxa" w:w="13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0.58</w:t>
            </w:r>
          </w:p>
        </w:tc>
      </w:tr>
      <w:tr>
        <w:trPr>
          <w:cantSplit/>
        </w:trPr>
        <w:tc>
          <w:tcPr>
            <w:tcW w:type="dxa" w:w="37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color w:val="000000"/>
                <w:sz w:val="17"/>
                <w:szCs w:val="17"/>
              </w:rPr>
              <w:t xml:space="preserve">RSI &lt; 30 ('oversold')</w:t>
            </w:r>
          </w:p>
        </w:tc>
        <w:tc>
          <w:tcPr>
            <w:tcW w:type="dxa" w:w="11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219</w:t>
            </w:r>
          </w:p>
        </w:tc>
        <w:tc>
          <w:tcPr>
            <w:tcW w:type="dxa" w:w="17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1.02%</w:t>
            </w:r>
          </w:p>
        </w:tc>
        <w:tc>
          <w:tcPr>
            <w:tcW w:type="dxa" w:w="12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60%</w:t>
            </w:r>
          </w:p>
        </w:tc>
        <w:tc>
          <w:tcPr>
            <w:tcW w:type="dxa" w:w="1326"/>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0.07</w:t>
            </w:r>
          </w:p>
        </w:tc>
      </w:tr>
      <w:tr>
        <w:trPr>
          <w:cantSplit/>
        </w:trPr>
        <w:tc>
          <w:tcPr>
            <w:tcW w:type="dxa" w:w="37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Unconditional (any day)</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20181</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0.97%</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56%</w:t>
            </w:r>
          </w:p>
        </w:tc>
        <w:tc>
          <w:tcPr>
            <w:tcW w:type="dxa" w:w="13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w:t>
            </w:r>
          </w:p>
        </w:tc>
      </w:tr>
      <w:tr>
        <w:trPr>
          <w:cantSplit/>
        </w:trPr>
        <w:tc>
          <w:tcPr>
            <w:tcW w:type="dxa" w:w="37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color w:val="000000"/>
                <w:sz w:val="17"/>
                <w:szCs w:val="17"/>
              </w:rPr>
              <w:t xml:space="preserve">Golden cross 50/200, 60d</w:t>
            </w:r>
          </w:p>
        </w:tc>
        <w:tc>
          <w:tcPr>
            <w:tcW w:type="dxa" w:w="11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59</w:t>
            </w:r>
          </w:p>
        </w:tc>
        <w:tc>
          <w:tcPr>
            <w:tcW w:type="dxa" w:w="17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3.67%</w:t>
            </w:r>
          </w:p>
        </w:tc>
        <w:tc>
          <w:tcPr>
            <w:tcW w:type="dxa" w:w="12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59%</w:t>
            </w:r>
          </w:p>
        </w:tc>
        <w:tc>
          <w:tcPr>
            <w:tcW w:type="dxa" w:w="1326"/>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0.45</w:t>
            </w:r>
          </w:p>
        </w:tc>
      </w:tr>
      <w:tr>
        <w:trPr>
          <w:cantSplit/>
        </w:trPr>
        <w:tc>
          <w:tcPr>
            <w:tcW w:type="dxa" w:w="37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Unconditional, 60d</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19901</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2.91%</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59%</w:t>
            </w:r>
          </w:p>
        </w:tc>
        <w:tc>
          <w:tcPr>
            <w:tcW w:type="dxa" w:w="13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w:t>
            </w:r>
          </w:p>
        </w:tc>
      </w:tr>
      <w:tr>
        <w:trPr>
          <w:cantSplit/>
        </w:trPr>
        <w:tc>
          <w:tcPr>
            <w:tcW w:type="dxa" w:w="37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color w:val="000000"/>
                <w:sz w:val="17"/>
                <w:szCs w:val="17"/>
              </w:rPr>
              <w:t xml:space="preserve">3 up-closes in a row, 5d</w:t>
            </w:r>
          </w:p>
        </w:tc>
        <w:tc>
          <w:tcPr>
            <w:tcW w:type="dxa" w:w="11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2495</w:t>
            </w:r>
          </w:p>
        </w:tc>
        <w:tc>
          <w:tcPr>
            <w:tcW w:type="dxa" w:w="17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0.14%</w:t>
            </w:r>
          </w:p>
        </w:tc>
        <w:tc>
          <w:tcPr>
            <w:tcW w:type="dxa" w:w="12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52%</w:t>
            </w:r>
          </w:p>
        </w:tc>
        <w:tc>
          <w:tcPr>
            <w:tcW w:type="dxa" w:w="1326"/>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-1.42</w:t>
            </w:r>
          </w:p>
        </w:tc>
      </w:tr>
      <w:tr>
        <w:trPr>
          <w:cantSplit/>
        </w:trPr>
        <w:tc>
          <w:tcPr>
            <w:tcW w:type="dxa" w:w="37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Unconditional, 5d</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20286</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0.25%</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53%</w:t>
            </w:r>
          </w:p>
        </w:tc>
        <w:tc>
          <w:tcPr>
            <w:tcW w:type="dxa" w:w="13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w:t>
            </w:r>
          </w:p>
        </w:tc>
      </w:tr>
    </w:tbl>
    <w:p>
      <w:pPr>
        <w:keepNext/>
        <w:spacing w:after="80" w:before="160"/>
      </w:pPr>
      <w:r>
        <w:rPr>
          <w:rFonts w:ascii="Calibri" w:cs="Calibri" w:eastAsia="Calibri" w:hAnsi="Calibri"/>
          <w:b/>
          <w:bCs/>
          <w:color w:val="2E2E2E"/>
          <w:sz w:val="19"/>
          <w:szCs w:val="19"/>
        </w:rPr>
        <w:t xml:space="preserve">Table 5.5 The first five trades are not representative (Strategy 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026"/>
      </w:tblGrid>
      <w:tr>
        <w:trPr>
          <w:cantSplit/>
          <w:tblHeader/>
        </w:trPr>
        <w:tc>
          <w:tcPr>
            <w:tcW w:type="dxa" w:w="22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tcPr>
          <w:p>
            <w:pPr>
              <w:jc w:val="left"/>
            </w:pPr>
            <w:r>
              <w:rPr>
                <w:rFonts w:ascii="Calibri" w:cs="Calibri" w:eastAsia="Calibri" w:hAnsi="Calibri"/>
                <w:b/>
                <w:bCs/>
                <w:color w:val="FFFFFF"/>
                <w:sz w:val="17"/>
                <w:szCs w:val="17"/>
              </w:rPr>
              <w:t xml:space="preserve">Stock</w:t>
            </w:r>
          </w:p>
        </w:tc>
        <w:tc>
          <w:tcPr>
            <w:tcW w:type="dxa" w:w="24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tcPr>
          <w:p>
            <w:pPr>
              <w:jc w:val="center"/>
            </w:pPr>
            <w:r>
              <w:rPr>
                <w:rFonts w:ascii="Calibri" w:cs="Calibri" w:eastAsia="Calibri" w:hAnsi="Calibri"/>
                <w:b/>
                <w:bCs/>
                <w:color w:val="FFFFFF"/>
                <w:sz w:val="17"/>
                <w:szCs w:val="17"/>
              </w:rPr>
              <w:t xml:space="preserve">Win rate, first 5 trades</w:t>
            </w:r>
          </w:p>
        </w:tc>
        <w:tc>
          <w:tcPr>
            <w:tcW w:type="dxa" w:w="24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tcPr>
          <w:p>
            <w:pPr>
              <w:jc w:val="center"/>
            </w:pPr>
            <w:r>
              <w:rPr>
                <w:rFonts w:ascii="Calibri" w:cs="Calibri" w:eastAsia="Calibri" w:hAnsi="Calibri"/>
                <w:b/>
                <w:bCs/>
                <w:color w:val="FFFFFF"/>
                <w:sz w:val="17"/>
                <w:szCs w:val="17"/>
              </w:rPr>
              <w:t xml:space="preserve">Win rate, all trades</w:t>
            </w:r>
          </w:p>
        </w:tc>
        <w:tc>
          <w:tcPr>
            <w:tcW w:type="dxa" w:w="2026"/>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tcPr>
          <w:p>
            <w:pPr>
              <w:jc w:val="center"/>
            </w:pPr>
            <w:r>
              <w:rPr>
                <w:rFonts w:ascii="Calibri" w:cs="Calibri" w:eastAsia="Calibri" w:hAnsi="Calibri"/>
                <w:b/>
                <w:bCs/>
                <w:color w:val="FFFFFF"/>
                <w:sz w:val="17"/>
                <w:szCs w:val="17"/>
              </w:rPr>
              <w:t xml:space="preserve">All trades (n)</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RELIANCE</w:t>
            </w:r>
          </w:p>
        </w:tc>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80%</w:t>
            </w:r>
          </w:p>
        </w:tc>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63%</w:t>
            </w:r>
          </w:p>
        </w:tc>
        <w:tc>
          <w:tcPr>
            <w:tcW w:type="dxa" w:w="20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19</w:t>
            </w:r>
          </w:p>
        </w:tc>
      </w:tr>
      <w:tr>
        <w:trPr>
          <w:cantSplit/>
        </w:trPr>
        <w:tc>
          <w:tcPr>
            <w:tcW w:type="dxa" w:w="22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color w:val="000000"/>
                <w:sz w:val="17"/>
                <w:szCs w:val="17"/>
              </w:rPr>
              <w:t xml:space="preserve">HDFCBANK</w:t>
            </w:r>
          </w:p>
        </w:tc>
        <w:tc>
          <w:tcPr>
            <w:tcW w:type="dxa" w:w="24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100%</w:t>
            </w:r>
          </w:p>
        </w:tc>
        <w:tc>
          <w:tcPr>
            <w:tcW w:type="dxa" w:w="24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77%</w:t>
            </w:r>
          </w:p>
        </w:tc>
        <w:tc>
          <w:tcPr>
            <w:tcW w:type="dxa" w:w="2026"/>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13</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INFY</w:t>
            </w:r>
          </w:p>
        </w:tc>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60%</w:t>
            </w:r>
          </w:p>
        </w:tc>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57%</w:t>
            </w:r>
          </w:p>
        </w:tc>
        <w:tc>
          <w:tcPr>
            <w:tcW w:type="dxa" w:w="20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7</w:t>
            </w:r>
          </w:p>
        </w:tc>
      </w:tr>
      <w:tr>
        <w:trPr>
          <w:cantSplit/>
        </w:trPr>
        <w:tc>
          <w:tcPr>
            <w:tcW w:type="dxa" w:w="22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color w:val="000000"/>
                <w:sz w:val="17"/>
                <w:szCs w:val="17"/>
              </w:rPr>
              <w:t xml:space="preserve">ITC</w:t>
            </w:r>
          </w:p>
        </w:tc>
        <w:tc>
          <w:tcPr>
            <w:tcW w:type="dxa" w:w="24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40%</w:t>
            </w:r>
          </w:p>
        </w:tc>
        <w:tc>
          <w:tcPr>
            <w:tcW w:type="dxa" w:w="24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40%</w:t>
            </w:r>
          </w:p>
        </w:tc>
        <w:tc>
          <w:tcPr>
            <w:tcW w:type="dxa" w:w="2026"/>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5</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MARUTI</w:t>
            </w:r>
          </w:p>
        </w:tc>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60%</w:t>
            </w:r>
          </w:p>
        </w:tc>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56%</w:t>
            </w:r>
          </w:p>
        </w:tc>
        <w:tc>
          <w:tcPr>
            <w:tcW w:type="dxa" w:w="20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9</w:t>
            </w:r>
          </w:p>
        </w:tc>
      </w:tr>
      <w:tr>
        <w:trPr>
          <w:cantSplit/>
        </w:trPr>
        <w:tc>
          <w:tcPr>
            <w:tcW w:type="dxa" w:w="22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color w:val="000000"/>
                <w:sz w:val="17"/>
                <w:szCs w:val="17"/>
              </w:rPr>
              <w:t xml:space="preserve">SUNPHARMA</w:t>
            </w:r>
          </w:p>
        </w:tc>
        <w:tc>
          <w:tcPr>
            <w:tcW w:type="dxa" w:w="24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80%</w:t>
            </w:r>
          </w:p>
        </w:tc>
        <w:tc>
          <w:tcPr>
            <w:tcW w:type="dxa" w:w="24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67%</w:t>
            </w:r>
          </w:p>
        </w:tc>
        <w:tc>
          <w:tcPr>
            <w:tcW w:type="dxa" w:w="2026"/>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12</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LT</w:t>
            </w:r>
          </w:p>
        </w:tc>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40%</w:t>
            </w:r>
          </w:p>
        </w:tc>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53%</w:t>
            </w:r>
          </w:p>
        </w:tc>
        <w:tc>
          <w:tcPr>
            <w:tcW w:type="dxa" w:w="20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15</w:t>
            </w:r>
          </w:p>
        </w:tc>
      </w:tr>
    </w:tbl>
    <w:p>
      <w:pPr>
        <w:spacing w:after="120" w:before="0" w:line="276"/>
        <w:jc w:val="both"/>
      </w:pPr>
      <w:r>
        <w:rPr>
          <w:rFonts w:ascii="Calibri" w:cs="Calibri" w:eastAsia="Calibri" w:hAnsi="Calibri"/>
          <w:b/>
          <w:bCs/>
          <w:sz w:val="21"/>
          <w:szCs w:val="21"/>
        </w:rPr>
        <w:t xml:space="preserve">What the evidence shows. </w:t>
      </w:r>
      <w:r>
        <w:rPr>
          <w:rFonts w:ascii="Calibri" w:cs="Calibri" w:eastAsia="Calibri" w:hAnsi="Calibri"/>
          <w:sz w:val="21"/>
          <w:szCs w:val="21"/>
        </w:rPr>
        <w:t xml:space="preserve">'Overbought' was not bearish: after RSI crossed above 70 the next 20 sessions returned 1.15%, slightly more than the 0.97% base rate, consistent with momentum. The golden cross beat the 60-session base rate (3.67% vs 2.91%) but had the same hit rate (59% vs 59%) and occurred only 59 times in nearly twelve years across seven stocks, too few to rely on. Three up-closes in a row were followed by below-average returns (0.14% vs 0.25%), the opposite of 'trend'. Finally, Strategy C's first five trades overstated its eventual win rate on 5 of 7 stocks, by up to 23 pp on HDFC Bank: an early run of wins looked representative of a far better strategy than the full sample supports. None of the textbook patterns differs significantly from its base rate (all |t| &lt; 1.5): the stereotype carries no information in either direction. Evidence grade: clear.</w:t>
      </w:r>
    </w:p>
    <w:p>
      <w:pPr>
        <w:pStyle w:val="Heading2"/>
        <w:keepNext/>
        <w:spacing w:after="120" w:before="240"/>
      </w:pPr>
      <w:r>
        <w:rPr>
          <w:rFonts w:ascii="Calibri" w:cs="Calibri" w:eastAsia="Calibri" w:hAnsi="Calibri"/>
          <w:b/>
          <w:bCs/>
          <w:color w:val="1F4E79"/>
          <w:sz w:val="26"/>
          <w:szCs w:val="26"/>
        </w:rPr>
        <w:t xml:space="preserve">5.5 Recency bias</w:t>
      </w:r>
    </w:p>
    <w:p>
      <w:pPr>
        <w:pStyle w:val="Heading3"/>
        <w:keepNext/>
        <w:spacing w:after="80" w:before="180"/>
      </w:pPr>
      <w:r>
        <w:rPr>
          <w:rFonts w:ascii="Calibri" w:cs="Calibri" w:eastAsia="Calibri" w:hAnsi="Calibri"/>
          <w:b/>
          <w:bCs/>
          <w:color w:val="2E2E2E"/>
          <w:sz w:val="22"/>
          <w:szCs w:val="22"/>
        </w:rPr>
        <w:t xml:space="preserve">Impact on a technical-analysis strategy</w:t>
      </w:r>
    </w:p>
    <w:p>
      <w:pPr>
        <w:spacing w:after="120" w:before="0" w:line="276"/>
        <w:jc w:val="both"/>
      </w:pPr>
      <w:r>
        <w:rPr>
          <w:rFonts w:ascii="Calibri" w:cs="Calibri" w:eastAsia="Calibri" w:hAnsi="Calibri"/>
          <w:sz w:val="21"/>
          <w:szCs w:val="21"/>
        </w:rPr>
        <w:t xml:space="preserve">Recency bias is over-weighting the most recent observations relative to the full history. Investors extrapolate recent returns into expectations (Greenwood &amp; Shleifer, 2014). A technical trader shows it in two ways: by </w:t>
      </w:r>
      <w:r>
        <w:rPr>
          <w:rFonts w:ascii="Calibri" w:cs="Calibri" w:eastAsia="Calibri" w:hAnsi="Calibri"/>
          <w:b/>
          <w:bCs/>
          <w:sz w:val="21"/>
          <w:szCs w:val="21"/>
        </w:rPr>
        <w:t xml:space="preserve">switching strategies</w:t>
      </w:r>
      <w:r>
        <w:rPr>
          <w:rFonts w:ascii="Calibri" w:cs="Calibri" w:eastAsia="Calibri" w:hAnsi="Calibri"/>
          <w:sz w:val="21"/>
          <w:szCs w:val="21"/>
        </w:rPr>
        <w:t xml:space="preserve"> to whichever one worked over the last few weeks, abandoning a sound rule during its normal drawdown; and by </w:t>
      </w:r>
      <w:r>
        <w:rPr>
          <w:rFonts w:ascii="Calibri" w:cs="Calibri" w:eastAsia="Calibri" w:hAnsi="Calibri"/>
          <w:b/>
          <w:bCs/>
          <w:sz w:val="21"/>
          <w:szCs w:val="21"/>
        </w:rPr>
        <w:t xml:space="preserve">shortening indicator look-backs</w:t>
      </w:r>
      <w:r>
        <w:rPr>
          <w:rFonts w:ascii="Calibri" w:cs="Calibri" w:eastAsia="Calibri" w:hAnsi="Calibri"/>
          <w:sz w:val="21"/>
          <w:szCs w:val="21"/>
        </w:rPr>
        <w:t xml:space="preserve"> after a missed move so that the newest bars dominate, which produces fast signals and frequent whipsaws.</w:t>
      </w:r>
    </w:p>
    <w:p>
      <w:pPr>
        <w:pStyle w:val="Heading3"/>
        <w:keepNext/>
        <w:spacing w:after="80" w:before="180"/>
      </w:pPr>
      <w:r>
        <w:rPr>
          <w:rFonts w:ascii="Calibri" w:cs="Calibri" w:eastAsia="Calibri" w:hAnsi="Calibri"/>
          <w:b/>
          <w:bCs/>
          <w:color w:val="2E2E2E"/>
          <w:sz w:val="22"/>
          <w:szCs w:val="22"/>
        </w:rPr>
        <w:t xml:space="preserve">Illustration — Pine Script Bias Lab, mode "5 Recency" (17_Bias_Lab.pine), and evidence from the 7 stocks</w:t>
      </w:r>
    </w:p>
    <w:p>
      <w:pPr>
        <w:spacing w:after="120" w:before="0" w:line="276"/>
        <w:jc w:val="both"/>
      </w:pPr>
      <w:r>
        <w:rPr>
          <w:rFonts w:ascii="Calibri" w:cs="Calibri" w:eastAsia="Calibri" w:hAnsi="Calibri"/>
          <w:sz w:val="21"/>
          <w:szCs w:val="21"/>
        </w:rPr>
        <w:t xml:space="preserve">The script plots a recency-heavy EMA 5/10 pair alongside the SMA 50/200, marks every EMA 5/10 crossing with a pink diamond, and reports crossings per year for both. In Python we simulated a trader who, at the start of each month, moves each stock's capital into whichever of Strategies A, B or C had the best return over the previous three months, and compared this with a fixed one-third allocation to each.</w:t>
      </w:r>
    </w:p>
    <w:p>
      <w:pPr>
        <w:keepNext/>
        <w:spacing w:after="60" w:before="120"/>
        <w:jc w:val="center"/>
      </w:pPr>
      <w:r>
        <w:drawing>
          <wp:inline distT="0" distB="0" distL="0" distR="0">
            <wp:extent cx="5760720" cy="223752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60720" cy="2237523"/>
                    </a:xfrm>
                    <a:prstGeom prst="rect">
                      <a:avLst/>
                    </a:prstGeom>
                  </pic:spPr>
                </pic:pic>
              </a:graphicData>
            </a:graphic>
          </wp:inline>
        </w:drawing>
      </w:r>
    </w:p>
    <w:p>
      <w:pPr>
        <w:spacing w:after="200"/>
        <w:jc w:val="left"/>
      </w:pPr>
      <w:r>
        <w:rPr>
          <w:rFonts w:ascii="Calibri" w:cs="Calibri" w:eastAsia="Calibri" w:hAnsi="Calibri"/>
          <w:i/>
          <w:iCs/>
          <w:color w:val="595959"/>
          <w:sz w:val="17"/>
          <w:szCs w:val="17"/>
        </w:rPr>
        <w:t xml:space="preserve">Exhibit 26. Left: CAGR of chasing last quarter's best strategy versus a fixed equal mix, by stock. Right: the two approaches on Reliance.</w:t>
      </w:r>
    </w:p>
    <w:p>
      <w:pPr>
        <w:keepNext/>
        <w:spacing w:after="80" w:before="160"/>
      </w:pPr>
      <w:r>
        <w:rPr>
          <w:rFonts w:ascii="Calibri" w:cs="Calibri" w:eastAsia="Calibri" w:hAnsi="Calibri"/>
          <w:b/>
          <w:bCs/>
          <w:color w:val="2E2E2E"/>
          <w:sz w:val="19"/>
          <w:szCs w:val="19"/>
        </w:rPr>
        <w:t xml:space="preserve">Table 5.6 Chasing the recent winner versus a fixed mix (monthly rebalancing, Apr 2015 – Sep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600"/>
        <w:gridCol w:w="1500"/>
        <w:gridCol w:w="1600"/>
        <w:gridCol w:w="1326"/>
      </w:tblGrid>
      <w:tr>
        <w:trPr>
          <w:cantSplit/>
          <w:tblHeader/>
        </w:trPr>
        <w:tc>
          <w:tcPr>
            <w:tcW w:type="dxa" w:w="15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tcPr>
          <w:p>
            <w:pPr>
              <w:jc w:val="left"/>
            </w:pPr>
            <w:r>
              <w:rPr>
                <w:rFonts w:ascii="Calibri" w:cs="Calibri" w:eastAsia="Calibri" w:hAnsi="Calibri"/>
                <w:b/>
                <w:bCs/>
                <w:color w:val="FFFFFF"/>
                <w:sz w:val="17"/>
                <w:szCs w:val="17"/>
              </w:rPr>
              <w:t xml:space="preserve">Stock</w:t>
            </w:r>
          </w:p>
        </w:tc>
        <w:tc>
          <w:tcPr>
            <w:tcW w:type="dxa" w:w="15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tcPr>
          <w:p>
            <w:pPr>
              <w:jc w:val="center"/>
            </w:pPr>
            <w:r>
              <w:rPr>
                <w:rFonts w:ascii="Calibri" w:cs="Calibri" w:eastAsia="Calibri" w:hAnsi="Calibri"/>
                <w:b/>
                <w:bCs/>
                <w:color w:val="FFFFFF"/>
                <w:sz w:val="17"/>
                <w:szCs w:val="17"/>
              </w:rPr>
              <w:t xml:space="preserve">Chase: CAGR</w:t>
            </w:r>
          </w:p>
        </w:tc>
        <w:tc>
          <w:tcPr>
            <w:tcW w:type="dxa" w:w="16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tcPr>
          <w:p>
            <w:pPr>
              <w:jc w:val="center"/>
            </w:pPr>
            <w:r>
              <w:rPr>
                <w:rFonts w:ascii="Calibri" w:cs="Calibri" w:eastAsia="Calibri" w:hAnsi="Calibri"/>
                <w:b/>
                <w:bCs/>
                <w:color w:val="FFFFFF"/>
                <w:sz w:val="17"/>
                <w:szCs w:val="17"/>
              </w:rPr>
              <w:t xml:space="preserve">Fixed mix: CAGR</w:t>
            </w:r>
          </w:p>
        </w:tc>
        <w:tc>
          <w:tcPr>
            <w:tcW w:type="dxa" w:w="15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tcPr>
          <w:p>
            <w:pPr>
              <w:jc w:val="center"/>
            </w:pPr>
            <w:r>
              <w:rPr>
                <w:rFonts w:ascii="Calibri" w:cs="Calibri" w:eastAsia="Calibri" w:hAnsi="Calibri"/>
                <w:b/>
                <w:bCs/>
                <w:color w:val="FFFFFF"/>
                <w:sz w:val="17"/>
                <w:szCs w:val="17"/>
              </w:rPr>
              <w:t xml:space="preserve">Chase: Sharpe</w:t>
            </w:r>
          </w:p>
        </w:tc>
        <w:tc>
          <w:tcPr>
            <w:tcW w:type="dxa" w:w="16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tcPr>
          <w:p>
            <w:pPr>
              <w:jc w:val="center"/>
            </w:pPr>
            <w:r>
              <w:rPr>
                <w:rFonts w:ascii="Calibri" w:cs="Calibri" w:eastAsia="Calibri" w:hAnsi="Calibri"/>
                <w:b/>
                <w:bCs/>
                <w:color w:val="FFFFFF"/>
                <w:sz w:val="17"/>
                <w:szCs w:val="17"/>
              </w:rPr>
              <w:t xml:space="preserve">Fixed mix: Sharpe</w:t>
            </w:r>
          </w:p>
        </w:tc>
        <w:tc>
          <w:tcPr>
            <w:tcW w:type="dxa" w:w="1326"/>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tcPr>
          <w:p>
            <w:pPr>
              <w:jc w:val="center"/>
            </w:pPr>
            <w:r>
              <w:rPr>
                <w:rFonts w:ascii="Calibri" w:cs="Calibri" w:eastAsia="Calibri" w:hAnsi="Calibri"/>
                <w:b/>
                <w:bCs/>
                <w:color w:val="FFFFFF"/>
                <w:sz w:val="17"/>
                <w:szCs w:val="17"/>
              </w:rPr>
              <w:t xml:space="preserve">Strategy switches</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RELIANCE</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11.8%</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8.3%</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0.44</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0.26</w:t>
            </w:r>
          </w:p>
        </w:tc>
        <w:tc>
          <w:tcPr>
            <w:tcW w:type="dxa" w:w="13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45</w:t>
            </w:r>
          </w:p>
        </w:tc>
      </w:tr>
      <w:tr>
        <w:trPr>
          <w:cantSplit/>
        </w:trPr>
        <w:tc>
          <w:tcPr>
            <w:tcW w:type="dxa" w:w="15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color w:val="000000"/>
                <w:sz w:val="17"/>
                <w:szCs w:val="17"/>
              </w:rPr>
              <w:t xml:space="preserve">HDFCBANK</w:t>
            </w:r>
          </w:p>
        </w:tc>
        <w:tc>
          <w:tcPr>
            <w:tcW w:type="dxa" w:w="15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6.9%</w:t>
            </w:r>
          </w:p>
        </w:tc>
        <w:tc>
          <w:tcPr>
            <w:tcW w:type="dxa" w:w="16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6.9%</w:t>
            </w:r>
          </w:p>
        </w:tc>
        <w:tc>
          <w:tcPr>
            <w:tcW w:type="dxa" w:w="15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0.13</w:t>
            </w:r>
          </w:p>
        </w:tc>
        <w:tc>
          <w:tcPr>
            <w:tcW w:type="dxa" w:w="16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0.16</w:t>
            </w:r>
          </w:p>
        </w:tc>
        <w:tc>
          <w:tcPr>
            <w:tcW w:type="dxa" w:w="1326"/>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54</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INFY</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4.7%</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4.2%</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-0.11</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-0.30</w:t>
            </w:r>
          </w:p>
        </w:tc>
        <w:tc>
          <w:tcPr>
            <w:tcW w:type="dxa" w:w="13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44</w:t>
            </w:r>
          </w:p>
        </w:tc>
      </w:tr>
      <w:tr>
        <w:trPr>
          <w:cantSplit/>
        </w:trPr>
        <w:tc>
          <w:tcPr>
            <w:tcW w:type="dxa" w:w="15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color w:val="000000"/>
                <w:sz w:val="17"/>
                <w:szCs w:val="17"/>
              </w:rPr>
              <w:t xml:space="preserve">ITC</w:t>
            </w:r>
          </w:p>
        </w:tc>
        <w:tc>
          <w:tcPr>
            <w:tcW w:type="dxa" w:w="15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6.2%</w:t>
            </w:r>
          </w:p>
        </w:tc>
        <w:tc>
          <w:tcPr>
            <w:tcW w:type="dxa" w:w="16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3.8%</w:t>
            </w:r>
          </w:p>
        </w:tc>
        <w:tc>
          <w:tcPr>
            <w:tcW w:type="dxa" w:w="15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0.04</w:t>
            </w:r>
          </w:p>
        </w:tc>
        <w:tc>
          <w:tcPr>
            <w:tcW w:type="dxa" w:w="16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-0.46</w:t>
            </w:r>
          </w:p>
        </w:tc>
        <w:tc>
          <w:tcPr>
            <w:tcW w:type="dxa" w:w="1326"/>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34</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MARUTI</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5.0%</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6.3%</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-0.05</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0.05</w:t>
            </w:r>
          </w:p>
        </w:tc>
        <w:tc>
          <w:tcPr>
            <w:tcW w:type="dxa" w:w="13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46</w:t>
            </w:r>
          </w:p>
        </w:tc>
      </w:tr>
      <w:tr>
        <w:trPr>
          <w:cantSplit/>
        </w:trPr>
        <w:tc>
          <w:tcPr>
            <w:tcW w:type="dxa" w:w="15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color w:val="000000"/>
                <w:sz w:val="17"/>
                <w:szCs w:val="17"/>
              </w:rPr>
              <w:t xml:space="preserve">SUNPHARMA</w:t>
            </w:r>
          </w:p>
        </w:tc>
        <w:tc>
          <w:tcPr>
            <w:tcW w:type="dxa" w:w="15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3.0%</w:t>
            </w:r>
          </w:p>
        </w:tc>
        <w:tc>
          <w:tcPr>
            <w:tcW w:type="dxa" w:w="16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4.7%</w:t>
            </w:r>
          </w:p>
        </w:tc>
        <w:tc>
          <w:tcPr>
            <w:tcW w:type="dxa" w:w="15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-0.32</w:t>
            </w:r>
          </w:p>
        </w:tc>
        <w:tc>
          <w:tcPr>
            <w:tcW w:type="dxa" w:w="16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-0.14</w:t>
            </w:r>
          </w:p>
        </w:tc>
        <w:tc>
          <w:tcPr>
            <w:tcW w:type="dxa" w:w="1326"/>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45</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LT</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6.5%</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6.7%</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0.08</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0.10</w:t>
            </w:r>
          </w:p>
        </w:tc>
        <w:tc>
          <w:tcPr>
            <w:tcW w:type="dxa" w:w="13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47</w:t>
            </w:r>
          </w:p>
        </w:tc>
      </w:tr>
    </w:tbl>
    <w:p>
      <w:pPr>
        <w:spacing w:after="120" w:before="0" w:line="276"/>
        <w:jc w:val="both"/>
      </w:pPr>
      <w:r>
        <w:rPr>
          <w:rFonts w:ascii="Calibri" w:cs="Calibri" w:eastAsia="Calibri" w:hAnsi="Calibri"/>
          <w:b/>
          <w:bCs/>
          <w:sz w:val="21"/>
          <w:szCs w:val="21"/>
        </w:rPr>
        <w:t xml:space="preserve">What the evidence shows. </w:t>
      </w:r>
      <w:r>
        <w:rPr>
          <w:rFonts w:ascii="Calibri" w:cs="Calibri" w:eastAsia="Calibri" w:hAnsi="Calibri"/>
          <w:sz w:val="21"/>
          <w:szCs w:val="21"/>
        </w:rPr>
        <w:t xml:space="preserve">Chasing the recent winner raised the compound return on 4 of 7 stocks and lowered the excess Sharpe ratio on 4 of 7: it helped on about half the stocks and hurt on the rest, which is what a coin toss would produce, and it required about 45 switches over 138 months, whose tax is not charged here. Recent performance contained no reliable information about which strategy would do best next. The look-back experiment is unambiguous: an EMA 5/10 pair crossed 21.3 times a year, against 10.7 for EMA 9/21 and 1.5 for SMA 50/200; each crossing is a reaction to the most recent bars, and at 0.15% a side each round trip costs 0.3%. Evidence grade: mixed (no consistent cost or benefit).</w:t>
      </w:r>
    </w:p>
    <w:p>
      <w:pPr>
        <w:pStyle w:val="Heading2"/>
        <w:keepNext/>
        <w:spacing w:after="120" w:before="240"/>
      </w:pPr>
      <w:r>
        <w:rPr>
          <w:rFonts w:ascii="Calibri" w:cs="Calibri" w:eastAsia="Calibri" w:hAnsi="Calibri"/>
          <w:b/>
          <w:bCs/>
          <w:color w:val="1F4E79"/>
          <w:sz w:val="26"/>
          <w:szCs w:val="26"/>
        </w:rPr>
        <w:t xml:space="preserve">5.6 Conservatism bias</w:t>
      </w:r>
    </w:p>
    <w:p>
      <w:pPr>
        <w:pStyle w:val="Heading3"/>
        <w:keepNext/>
        <w:spacing w:after="80" w:before="180"/>
      </w:pPr>
      <w:r>
        <w:rPr>
          <w:rFonts w:ascii="Calibri" w:cs="Calibri" w:eastAsia="Calibri" w:hAnsi="Calibri"/>
          <w:b/>
          <w:bCs/>
          <w:color w:val="2E2E2E"/>
          <w:sz w:val="22"/>
          <w:szCs w:val="22"/>
        </w:rPr>
        <w:t xml:space="preserve">Impact on a technical-analysis strategy</w:t>
      </w:r>
    </w:p>
    <w:p>
      <w:pPr>
        <w:spacing w:after="120" w:before="0" w:line="276"/>
        <w:jc w:val="both"/>
      </w:pPr>
      <w:r>
        <w:rPr>
          <w:rFonts w:ascii="Calibri" w:cs="Calibri" w:eastAsia="Calibri" w:hAnsi="Calibri"/>
          <w:sz w:val="21"/>
          <w:szCs w:val="21"/>
        </w:rPr>
        <w:t xml:space="preserve">Conservatism is the slow updating of beliefs when new evidence arrives (Edwards, 1968); Barberis, Shleifer and Vishny (1998) use it to explain under-reaction. It is the mirror image of recency. A trader who has been profitable with a bullish view keeps reading new weakness as 'noise' and waits for the slowest possible confirmation before acting. Many classical trend rules embody conservatism by design: a 50/200 death cross needs months of data to change its mind. The cost is that exits arrive after much of the damage is done, and re-entries after much of the recovery.</w:t>
      </w:r>
    </w:p>
    <w:p>
      <w:pPr>
        <w:pStyle w:val="Heading3"/>
        <w:keepNext/>
        <w:spacing w:after="80" w:before="180"/>
      </w:pPr>
      <w:r>
        <w:rPr>
          <w:rFonts w:ascii="Calibri" w:cs="Calibri" w:eastAsia="Calibri" w:hAnsi="Calibri"/>
          <w:b/>
          <w:bCs/>
          <w:color w:val="2E2E2E"/>
          <w:sz w:val="22"/>
          <w:szCs w:val="22"/>
        </w:rPr>
        <w:t xml:space="preserve">Illustration — Pine Script Bias Lab, mode "6 Conservatism" (17_Bias_Lab.pine), and evidence from the 7 stocks</w:t>
      </w:r>
    </w:p>
    <w:p>
      <w:pPr>
        <w:spacing w:after="120" w:before="0" w:line="276"/>
        <w:jc w:val="both"/>
      </w:pPr>
      <w:r>
        <w:rPr>
          <w:rFonts w:ascii="Calibri" w:cs="Calibri" w:eastAsia="Calibri" w:hAnsi="Calibri"/>
          <w:sz w:val="21"/>
          <w:szCs w:val="21"/>
        </w:rPr>
        <w:t xml:space="preserve">The script plots the fast EMA 21 against the slow SMA 200 and shades in amber every session in which the fast evidence has turned bearish (close and EMA 9 below EMA 21) while the slow belief is still bullish (close above SMA 200). Death crosses are labelled 'DC'. The table reports how far below its 120-session high the stock already was, on average, when each rule turned bearish. We measured the same thing in Python around the COVID-19 crash, from each stock's pre-crash peak (January–February 2020).</w:t>
      </w:r>
    </w:p>
    <w:p>
      <w:pPr>
        <w:keepNext/>
        <w:spacing w:after="60" w:before="120"/>
        <w:jc w:val="center"/>
      </w:pPr>
      <w:r>
        <w:drawing>
          <wp:inline distT="0" distB="0" distL="0" distR="0">
            <wp:extent cx="5760720" cy="211117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60720" cy="2111173"/>
                    </a:xfrm>
                    <a:prstGeom prst="rect">
                      <a:avLst/>
                    </a:prstGeom>
                  </pic:spPr>
                </pic:pic>
              </a:graphicData>
            </a:graphic>
          </wp:inline>
        </w:drawing>
      </w:r>
    </w:p>
    <w:p>
      <w:pPr>
        <w:spacing w:after="200"/>
        <w:jc w:val="left"/>
      </w:pPr>
      <w:r>
        <w:rPr>
          <w:rFonts w:ascii="Calibri" w:cs="Calibri" w:eastAsia="Calibri" w:hAnsi="Calibri"/>
          <w:i/>
          <w:iCs/>
          <w:color w:val="595959"/>
          <w:sz w:val="17"/>
          <w:szCs w:val="17"/>
        </w:rPr>
        <w:t xml:space="preserve">Exhibit 27. HDFC Bank, Nov 2019 – Dec 2020: the fast rules turned bearish days after the peak; the SMA 50/200 death cross arrived near the bottom, and the slow averages then lagged the recovery.</w:t>
      </w:r>
    </w:p>
    <w:p>
      <w:pPr>
        <w:keepNext/>
        <w:spacing w:after="80" w:before="160"/>
      </w:pPr>
      <w:r>
        <w:rPr>
          <w:rFonts w:ascii="Calibri" w:cs="Calibri" w:eastAsia="Calibri" w:hAnsi="Calibri"/>
          <w:b/>
          <w:bCs/>
          <w:color w:val="2E2E2E"/>
          <w:sz w:val="19"/>
          <w:szCs w:val="19"/>
        </w:rPr>
        <w:t xml:space="preserve">Table 5.7 Sessions from the pre-COVID peak until each rule turned bearish (fall from peak at that point)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50"/>
        <w:gridCol w:w="1200"/>
        <w:gridCol w:w="1100"/>
        <w:gridCol w:w="1350"/>
        <w:gridCol w:w="1400"/>
        <w:gridCol w:w="1350"/>
        <w:gridCol w:w="1476"/>
      </w:tblGrid>
      <w:tr>
        <w:trPr>
          <w:cantSplit/>
          <w:tblHeader/>
        </w:trPr>
        <w:tc>
          <w:tcPr>
            <w:tcW w:type="dxa" w:w="115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tcPr>
          <w:p>
            <w:pPr>
              <w:jc w:val="left"/>
            </w:pPr>
            <w:r>
              <w:rPr>
                <w:rFonts w:ascii="Calibri" w:cs="Calibri" w:eastAsia="Calibri" w:hAnsi="Calibri"/>
                <w:b/>
                <w:bCs/>
                <w:color w:val="FFFFFF"/>
                <w:sz w:val="17"/>
                <w:szCs w:val="17"/>
              </w:rPr>
              <w:t xml:space="preserve">Stock</w:t>
            </w:r>
          </w:p>
        </w:tc>
        <w:tc>
          <w:tcPr>
            <w:tcW w:type="dxa" w:w="12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tcPr>
          <w:p>
            <w:pPr>
              <w:jc w:val="center"/>
            </w:pPr>
            <w:r>
              <w:rPr>
                <w:rFonts w:ascii="Calibri" w:cs="Calibri" w:eastAsia="Calibri" w:hAnsi="Calibri"/>
                <w:b/>
                <w:bCs/>
                <w:color w:val="FFFFFF"/>
                <w:sz w:val="17"/>
                <w:szCs w:val="17"/>
              </w:rPr>
              <w:t xml:space="preserve">Peak</w:t>
            </w:r>
          </w:p>
        </w:tc>
        <w:tc>
          <w:tcPr>
            <w:tcW w:type="dxa" w:w="11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tcPr>
          <w:p>
            <w:pPr>
              <w:jc w:val="center"/>
            </w:pPr>
            <w:r>
              <w:rPr>
                <w:rFonts w:ascii="Calibri" w:cs="Calibri" w:eastAsia="Calibri" w:hAnsi="Calibri"/>
                <w:b/>
                <w:bCs/>
                <w:color w:val="FFFFFF"/>
                <w:sz w:val="17"/>
                <w:szCs w:val="17"/>
              </w:rPr>
              <w:t xml:space="preserve">Peak-to-trough</w:t>
            </w:r>
          </w:p>
        </w:tc>
        <w:tc>
          <w:tcPr>
            <w:tcW w:type="dxa" w:w="135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tcPr>
          <w:p>
            <w:pPr>
              <w:jc w:val="center"/>
            </w:pPr>
            <w:r>
              <w:rPr>
                <w:rFonts w:ascii="Calibri" w:cs="Calibri" w:eastAsia="Calibri" w:hAnsi="Calibri"/>
                <w:b/>
                <w:bCs/>
                <w:color w:val="FFFFFF"/>
                <w:sz w:val="17"/>
                <w:szCs w:val="17"/>
              </w:rPr>
              <w:t xml:space="preserve">EMA 9/21 bearish</w:t>
            </w:r>
          </w:p>
        </w:tc>
        <w:tc>
          <w:tcPr>
            <w:tcW w:type="dxa" w:w="14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tcPr>
          <w:p>
            <w:pPr>
              <w:jc w:val="center"/>
            </w:pPr>
            <w:r>
              <w:rPr>
                <w:rFonts w:ascii="Calibri" w:cs="Calibri" w:eastAsia="Calibri" w:hAnsi="Calibri"/>
                <w:b/>
                <w:bCs/>
                <w:color w:val="FFFFFF"/>
                <w:sz w:val="17"/>
                <w:szCs w:val="17"/>
              </w:rPr>
              <w:t xml:space="preserve">Supertrend flips down</w:t>
            </w:r>
          </w:p>
        </w:tc>
        <w:tc>
          <w:tcPr>
            <w:tcW w:type="dxa" w:w="135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tcPr>
          <w:p>
            <w:pPr>
              <w:jc w:val="center"/>
            </w:pPr>
            <w:r>
              <w:rPr>
                <w:rFonts w:ascii="Calibri" w:cs="Calibri" w:eastAsia="Calibri" w:hAnsi="Calibri"/>
                <w:b/>
                <w:bCs/>
                <w:color w:val="FFFFFF"/>
                <w:sz w:val="17"/>
                <w:szCs w:val="17"/>
              </w:rPr>
              <w:t xml:space="preserve">Close &lt; SMA 200</w:t>
            </w:r>
          </w:p>
        </w:tc>
        <w:tc>
          <w:tcPr>
            <w:tcW w:type="dxa" w:w="1476"/>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tcPr>
          <w:p>
            <w:pPr>
              <w:jc w:val="center"/>
            </w:pPr>
            <w:r>
              <w:rPr>
                <w:rFonts w:ascii="Calibri" w:cs="Calibri" w:eastAsia="Calibri" w:hAnsi="Calibri"/>
                <w:b/>
                <w:bCs/>
                <w:color w:val="FFFFFF"/>
                <w:sz w:val="17"/>
                <w:szCs w:val="17"/>
              </w:rPr>
              <w:t xml:space="preserve">SMA 50/200 death cross</w:t>
            </w:r>
          </w:p>
        </w:tc>
      </w:tr>
      <w:tr>
        <w:trPr>
          <w:cantSplit/>
        </w:trPr>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RELIANCE</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2020-01-17</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-44%</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3 d (-3%)</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already</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29 d (-16%)</w:t>
            </w:r>
          </w:p>
        </w:tc>
        <w:tc>
          <w:tcPr>
            <w:tcW w:type="dxa" w:w="147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45 d (-40%)</w:t>
            </w:r>
          </w:p>
        </w:tc>
      </w:tr>
      <w:tr>
        <w:trPr>
          <w:cantSplit/>
        </w:trPr>
        <w:tc>
          <w:tcPr>
            <w:tcW w:type="dxa" w:w="11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color w:val="000000"/>
                <w:sz w:val="17"/>
                <w:szCs w:val="17"/>
              </w:rPr>
              <w:t xml:space="preserve">HDFCBANK</w:t>
            </w:r>
          </w:p>
        </w:tc>
        <w:tc>
          <w:tcPr>
            <w:tcW w:type="dxa" w:w="12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2020-01-14</w:t>
            </w:r>
          </w:p>
        </w:tc>
        <w:tc>
          <w:tcPr>
            <w:tcW w:type="dxa" w:w="11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-40%</w:t>
            </w:r>
          </w:p>
        </w:tc>
        <w:tc>
          <w:tcPr>
            <w:tcW w:type="dxa" w:w="13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5 d (-4%)</w:t>
            </w:r>
          </w:p>
        </w:tc>
        <w:tc>
          <w:tcPr>
            <w:tcW w:type="dxa" w:w="14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9 d (-6%)</w:t>
            </w:r>
          </w:p>
        </w:tc>
        <w:tc>
          <w:tcPr>
            <w:tcW w:type="dxa" w:w="13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14 d (-7%)</w:t>
            </w:r>
          </w:p>
        </w:tc>
        <w:tc>
          <w:tcPr>
            <w:tcW w:type="dxa" w:w="1476"/>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44 d (-32%)</w:t>
            </w:r>
          </w:p>
        </w:tc>
      </w:tr>
      <w:tr>
        <w:trPr>
          <w:cantSplit/>
        </w:trPr>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INFY</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2020-02-19</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-34%</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6 d (-9%)</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6 d (-9%)</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6 d (-9%)</w:t>
            </w:r>
          </w:p>
        </w:tc>
        <w:tc>
          <w:tcPr>
            <w:tcW w:type="dxa" w:w="147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18 d (-33%)</w:t>
            </w:r>
          </w:p>
        </w:tc>
      </w:tr>
      <w:tr>
        <w:trPr>
          <w:cantSplit/>
        </w:trPr>
        <w:tc>
          <w:tcPr>
            <w:tcW w:type="dxa" w:w="11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color w:val="000000"/>
                <w:sz w:val="17"/>
                <w:szCs w:val="17"/>
              </w:rPr>
              <w:t xml:space="preserve">ITC</w:t>
            </w:r>
          </w:p>
        </w:tc>
        <w:tc>
          <w:tcPr>
            <w:tcW w:type="dxa" w:w="12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2020-01-14</w:t>
            </w:r>
          </w:p>
        </w:tc>
        <w:tc>
          <w:tcPr>
            <w:tcW w:type="dxa" w:w="11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-39%</w:t>
            </w:r>
          </w:p>
        </w:tc>
        <w:tc>
          <w:tcPr>
            <w:tcW w:type="dxa" w:w="13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already</w:t>
            </w:r>
          </w:p>
        </w:tc>
        <w:tc>
          <w:tcPr>
            <w:tcW w:type="dxa" w:w="14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already</w:t>
            </w:r>
          </w:p>
        </w:tc>
        <w:tc>
          <w:tcPr>
            <w:tcW w:type="dxa" w:w="13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already</w:t>
            </w:r>
          </w:p>
        </w:tc>
        <w:tc>
          <w:tcPr>
            <w:tcW w:type="dxa" w:w="1476"/>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already</w:t>
            </w:r>
          </w:p>
        </w:tc>
      </w:tr>
      <w:tr>
        <w:trPr>
          <w:cantSplit/>
        </w:trPr>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MARUTI</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2020-01-17</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-47%</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5 d (-5%)</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7 d (-7%)</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25 d (-14%)</w:t>
            </w:r>
          </w:p>
        </w:tc>
        <w:tc>
          <w:tcPr>
            <w:tcW w:type="dxa" w:w="147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44 d (-44%)</w:t>
            </w:r>
          </w:p>
        </w:tc>
      </w:tr>
      <w:tr>
        <w:trPr>
          <w:cantSplit/>
        </w:trPr>
        <w:tc>
          <w:tcPr>
            <w:tcW w:type="dxa" w:w="11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color w:val="000000"/>
                <w:sz w:val="17"/>
                <w:szCs w:val="17"/>
              </w:rPr>
              <w:t xml:space="preserve">SUNPHARMA</w:t>
            </w:r>
          </w:p>
        </w:tc>
        <w:tc>
          <w:tcPr>
            <w:tcW w:type="dxa" w:w="12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2020-01-17</w:t>
            </w:r>
          </w:p>
        </w:tc>
        <w:tc>
          <w:tcPr>
            <w:tcW w:type="dxa" w:w="11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-29%</w:t>
            </w:r>
          </w:p>
        </w:tc>
        <w:tc>
          <w:tcPr>
            <w:tcW w:type="dxa" w:w="13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11 d (-8%)</w:t>
            </w:r>
          </w:p>
        </w:tc>
        <w:tc>
          <w:tcPr>
            <w:tcW w:type="dxa" w:w="14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11 d (-8%)</w:t>
            </w:r>
          </w:p>
        </w:tc>
        <w:tc>
          <w:tcPr>
            <w:tcW w:type="dxa" w:w="13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11 d (-8%)</w:t>
            </w:r>
          </w:p>
        </w:tc>
        <w:tc>
          <w:tcPr>
            <w:tcW w:type="dxa" w:w="1476"/>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41 d (-20%)</w:t>
            </w:r>
          </w:p>
        </w:tc>
      </w:tr>
      <w:tr>
        <w:trPr>
          <w:cantSplit/>
        </w:trPr>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LT</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2020-01-30</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-48%</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4 d (-4%)</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2 d (-6%)</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already</w:t>
            </w:r>
          </w:p>
        </w:tc>
        <w:tc>
          <w:tcPr>
            <w:tcW w:type="dxa" w:w="147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already</w:t>
            </w:r>
          </w:p>
        </w:tc>
      </w:tr>
    </w:tbl>
    <w:p>
      <w:pPr>
        <w:spacing w:after="120" w:before="0" w:line="276"/>
        <w:jc w:val="both"/>
      </w:pPr>
      <w:r>
        <w:rPr>
          <w:rFonts w:ascii="Calibri" w:cs="Calibri" w:eastAsia="Calibri" w:hAnsi="Calibri"/>
          <w:i/>
          <w:iCs/>
          <w:color w:val="595959"/>
          <w:sz w:val="17"/>
          <w:szCs w:val="17"/>
        </w:rPr>
        <w:t xml:space="preserve">'already' means the rule was bearish at the peak itself (ITC was in a down-trend before COVID; L&amp;T had already fallen below its 200-day average; Reliance's Supertrend was already in its down-trend state).</w:t>
      </w:r>
    </w:p>
    <w:p>
      <w:pPr>
        <w:spacing w:after="120" w:before="0" w:line="276"/>
        <w:jc w:val="both"/>
      </w:pPr>
      <w:r>
        <w:rPr>
          <w:rFonts w:ascii="Calibri" w:cs="Calibri" w:eastAsia="Calibri" w:hAnsi="Calibri"/>
          <w:b/>
          <w:bCs/>
          <w:sz w:val="21"/>
          <w:szCs w:val="21"/>
        </w:rPr>
        <w:t xml:space="preserve">What the evidence shows. </w:t>
      </w:r>
      <w:r>
        <w:rPr>
          <w:rFonts w:ascii="Calibri" w:cs="Calibri" w:eastAsia="Calibri" w:hAnsi="Calibri"/>
          <w:sz w:val="21"/>
          <w:szCs w:val="21"/>
        </w:rPr>
        <w:t xml:space="preserve">Where it applied, the fast EMA rule turned within 3–11 sessions when prices were on average 5.5% below the peak, and the volatility-scaled Supertrend flipped within 2–11 sessions at an average 7.1% below the peak. The death cross needed 38 sessions on average, by which time prices were 34% below the peak — on Reliance and Maruti the 'sell' signal arrived after 40% and 44% falls, effectively at the bottom. The trade-off with recency (Section 5.5) is explicit: the fast rule reacts early but whipsaws 7 times as often. Neither extreme is 'unbiased'; the choice of speed must be made in advance and matched to the strategy's horizon. Evidence grade: suggestive, because it rests on a single crash observed on five usable stocks.</w:t>
      </w:r>
    </w:p>
    <w:p>
      <w:pPr>
        <w:pStyle w:val="Heading2"/>
        <w:keepNext/>
        <w:spacing w:after="120" w:before="240"/>
      </w:pPr>
      <w:r>
        <w:rPr>
          <w:rFonts w:ascii="Calibri" w:cs="Calibri" w:eastAsia="Calibri" w:hAnsi="Calibri"/>
          <w:b/>
          <w:bCs/>
          <w:color w:val="1F4E79"/>
          <w:sz w:val="26"/>
          <w:szCs w:val="26"/>
        </w:rPr>
        <w:t xml:space="preserve">5.7 Herding</w:t>
      </w:r>
    </w:p>
    <w:p>
      <w:pPr>
        <w:pStyle w:val="Heading3"/>
        <w:keepNext/>
        <w:spacing w:after="80" w:before="180"/>
      </w:pPr>
      <w:r>
        <w:rPr>
          <w:rFonts w:ascii="Calibri" w:cs="Calibri" w:eastAsia="Calibri" w:hAnsi="Calibri"/>
          <w:b/>
          <w:bCs/>
          <w:color w:val="2E2E2E"/>
          <w:sz w:val="22"/>
          <w:szCs w:val="22"/>
        </w:rPr>
        <w:t xml:space="preserve">Impact on a technical-analysis strategy</w:t>
      </w:r>
    </w:p>
    <w:p>
      <w:pPr>
        <w:spacing w:after="120" w:before="0" w:line="276"/>
        <w:jc w:val="both"/>
      </w:pPr>
      <w:r>
        <w:rPr>
          <w:rFonts w:ascii="Calibri" w:cs="Calibri" w:eastAsia="Calibri" w:hAnsi="Calibri"/>
          <w:sz w:val="21"/>
          <w:szCs w:val="21"/>
        </w:rPr>
        <w:t xml:space="preserve">Herding is following the actions of others rather than one's own information (Bikhchandani, Hirshleifer &amp; Welch, 1992; Lakonishok, Shleifer &amp; Vishny, 1992). Technical analysis encourages herding because so many traders watch the same indicators with the same default settings: when a breakout is visible on every screen, buying it feels safe precisely because everyone else is buying. The consequences are crowded entries at stretched prices, and fragile moves that reverse once the crowd has finished buying. Breadth of agreement across stocks — 'everything is flashing buy' — is the market-level version of the same pressure.</w:t>
      </w:r>
    </w:p>
    <w:p>
      <w:pPr>
        <w:pStyle w:val="Heading3"/>
        <w:keepNext/>
        <w:spacing w:after="80" w:before="180"/>
      </w:pPr>
      <w:r>
        <w:rPr>
          <w:rFonts w:ascii="Calibri" w:cs="Calibri" w:eastAsia="Calibri" w:hAnsi="Calibri"/>
          <w:b/>
          <w:bCs/>
          <w:color w:val="2E2E2E"/>
          <w:sz w:val="22"/>
          <w:szCs w:val="22"/>
        </w:rPr>
        <w:t xml:space="preserve">Illustration — Pine Script Bias Lab, mode "7 Herding" (17_Bias_Lab.pine), and evidence from the 7 stocks</w:t>
      </w:r>
    </w:p>
    <w:p>
      <w:pPr>
        <w:spacing w:after="120" w:before="0" w:line="276"/>
        <w:jc w:val="both"/>
      </w:pPr>
      <w:r>
        <w:rPr>
          <w:rFonts w:ascii="Calibri" w:cs="Calibri" w:eastAsia="Calibri" w:hAnsi="Calibri"/>
          <w:sz w:val="21"/>
          <w:szCs w:val="21"/>
        </w:rPr>
        <w:t xml:space="preserve">The script calls </w:t>
      </w:r>
      <w:r>
        <w:rPr>
          <w:rFonts w:ascii="Consolas" w:cs="Consolas" w:eastAsia="Consolas" w:hAnsi="Consolas"/>
          <w:sz w:val="19"/>
          <w:szCs w:val="19"/>
        </w:rPr>
        <w:t xml:space="preserve">request.security()</w:t>
      </w:r>
      <w:r>
        <w:rPr>
          <w:rFonts w:ascii="Calibri" w:cs="Calibri" w:eastAsia="Calibri" w:hAnsi="Calibri"/>
          <w:sz w:val="21"/>
          <w:szCs w:val="21"/>
        </w:rPr>
        <w:t xml:space="preserve"> on all seven stocks to count how many are in the same bullish state (EMA 9 &gt; EMA 21 and MACD above signal) on each day, shades crowded sessions (6–7 of 7) in red and isolated ones (≤ 3 of 7) in blue, flags volume-spike breakouts (volume above twice its 20-day average with a gain of more than 3%) and marks every Donchian 20-day breakout, the most widely watched breakout rule, with a purple diamond. The table compares forward returns of Strategy B signals by crowding, and of joining volume-spike breakouts.</w:t>
      </w:r>
    </w:p>
    <w:p>
      <w:pPr>
        <w:keepNext/>
        <w:spacing w:after="60" w:before="120"/>
        <w:jc w:val="center"/>
      </w:pPr>
      <w:r>
        <w:drawing>
          <wp:inline distT="0" distB="0" distL="0" distR="0">
            <wp:extent cx="5760720" cy="223752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60720" cy="2237523"/>
                    </a:xfrm>
                    <a:prstGeom prst="rect">
                      <a:avLst/>
                    </a:prstGeom>
                  </pic:spPr>
                </pic:pic>
              </a:graphicData>
            </a:graphic>
          </wp:inline>
        </w:drawing>
      </w:r>
    </w:p>
    <w:p>
      <w:pPr>
        <w:spacing w:after="200"/>
        <w:jc w:val="left"/>
      </w:pPr>
      <w:r>
        <w:rPr>
          <w:rFonts w:ascii="Calibri" w:cs="Calibri" w:eastAsia="Calibri" w:hAnsi="Calibri"/>
          <w:i/>
          <w:iCs/>
          <w:color w:val="595959"/>
          <w:sz w:val="17"/>
          <w:szCs w:val="17"/>
        </w:rPr>
        <w:t xml:space="preserve">Exhibit 28. Left: 15-session forward return of Strategy B signals by how many of the seven stocks were in the same bullish state. Right: joining a high-volume breakout versus an average day.</w:t>
      </w:r>
    </w:p>
    <w:p>
      <w:pPr>
        <w:keepNext/>
        <w:spacing w:after="80" w:before="160"/>
      </w:pPr>
      <w:r>
        <w:rPr>
          <w:rFonts w:ascii="Calibri" w:cs="Calibri" w:eastAsia="Calibri" w:hAnsi="Calibri"/>
          <w:b/>
          <w:bCs/>
          <w:color w:val="2E2E2E"/>
          <w:sz w:val="19"/>
          <w:szCs w:val="19"/>
        </w:rPr>
        <w:t xml:space="preserve">Table 5.8 Following the crowd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00"/>
        <w:gridCol w:w="1200"/>
        <w:gridCol w:w="1900"/>
        <w:gridCol w:w="1326"/>
      </w:tblGrid>
      <w:tr>
        <w:trPr>
          <w:cantSplit/>
          <w:tblHeader/>
        </w:trPr>
        <w:tc>
          <w:tcPr>
            <w:tcW w:type="dxa" w:w="46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tcPr>
          <w:p>
            <w:pPr>
              <w:jc w:val="left"/>
            </w:pPr>
            <w:r>
              <w:rPr>
                <w:rFonts w:ascii="Calibri" w:cs="Calibri" w:eastAsia="Calibri" w:hAnsi="Calibri"/>
                <w:b/>
                <w:bCs/>
                <w:color w:val="FFFFFF"/>
                <w:sz w:val="17"/>
                <w:szCs w:val="17"/>
              </w:rPr>
              <w:t xml:space="preserve">Situation</w:t>
            </w:r>
          </w:p>
        </w:tc>
        <w:tc>
          <w:tcPr>
            <w:tcW w:type="dxa" w:w="12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tcPr>
          <w:p>
            <w:pPr>
              <w:jc w:val="center"/>
            </w:pPr>
            <w:r>
              <w:rPr>
                <w:rFonts w:ascii="Calibri" w:cs="Calibri" w:eastAsia="Calibri" w:hAnsi="Calibri"/>
                <w:b/>
                <w:bCs/>
                <w:color w:val="FFFFFF"/>
                <w:sz w:val="17"/>
                <w:szCs w:val="17"/>
              </w:rPr>
              <w:t xml:space="preserve">n</w:t>
            </w:r>
          </w:p>
        </w:tc>
        <w:tc>
          <w:tcPr>
            <w:tcW w:type="dxa" w:w="19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tcPr>
          <w:p>
            <w:pPr>
              <w:jc w:val="center"/>
            </w:pPr>
            <w:r>
              <w:rPr>
                <w:rFonts w:ascii="Calibri" w:cs="Calibri" w:eastAsia="Calibri" w:hAnsi="Calibri"/>
                <w:b/>
                <w:bCs/>
                <w:color w:val="FFFFFF"/>
                <w:sz w:val="17"/>
                <w:szCs w:val="17"/>
              </w:rPr>
              <w:t xml:space="preserve">Avg forward return</w:t>
            </w:r>
          </w:p>
        </w:tc>
        <w:tc>
          <w:tcPr>
            <w:tcW w:type="dxa" w:w="1326"/>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tcPr>
          <w:p>
            <w:pPr>
              <w:jc w:val="center"/>
            </w:pPr>
            <w:r>
              <w:rPr>
                <w:rFonts w:ascii="Calibri" w:cs="Calibri" w:eastAsia="Calibri" w:hAnsi="Calibri"/>
                <w:b/>
                <w:bCs/>
                <w:color w:val="FFFFFF"/>
                <w:sz w:val="17"/>
                <w:szCs w:val="17"/>
              </w:rPr>
              <w:t xml:space="preserve">Hit rate</w:t>
            </w:r>
          </w:p>
        </w:tc>
      </w:tr>
      <w:tr>
        <w:trPr>
          <w:cantSplit/>
        </w:trPr>
        <w:tc>
          <w:tcPr>
            <w:tcW w:type="dxa" w:w="46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Strategy B signal — Isolated (≤3 of 7) (15d)</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200</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0.26%</w:t>
            </w:r>
          </w:p>
        </w:tc>
        <w:tc>
          <w:tcPr>
            <w:tcW w:type="dxa" w:w="13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56%</w:t>
            </w:r>
          </w:p>
        </w:tc>
      </w:tr>
      <w:tr>
        <w:trPr>
          <w:cantSplit/>
        </w:trPr>
        <w:tc>
          <w:tcPr>
            <w:tcW w:type="dxa" w:w="46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color w:val="000000"/>
                <w:sz w:val="17"/>
                <w:szCs w:val="17"/>
              </w:rPr>
              <w:t xml:space="preserve">Strategy B signal — Moderate (4–5 of 7) (15d)</w:t>
            </w:r>
          </w:p>
        </w:tc>
        <w:tc>
          <w:tcPr>
            <w:tcW w:type="dxa" w:w="12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109</w:t>
            </w:r>
          </w:p>
        </w:tc>
        <w:tc>
          <w:tcPr>
            <w:tcW w:type="dxa" w:w="19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0.37%</w:t>
            </w:r>
          </w:p>
        </w:tc>
        <w:tc>
          <w:tcPr>
            <w:tcW w:type="dxa" w:w="1326"/>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51%</w:t>
            </w:r>
          </w:p>
        </w:tc>
      </w:tr>
      <w:tr>
        <w:trPr>
          <w:cantSplit/>
        </w:trPr>
        <w:tc>
          <w:tcPr>
            <w:tcW w:type="dxa" w:w="46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Strategy B signal — Crowded (6–7 of 7) (15d)</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30</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0.23%</w:t>
            </w:r>
          </w:p>
        </w:tc>
        <w:tc>
          <w:tcPr>
            <w:tcW w:type="dxa" w:w="13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50%</w:t>
            </w:r>
          </w:p>
        </w:tc>
      </w:tr>
      <w:tr>
        <w:trPr>
          <w:cantSplit/>
        </w:trPr>
        <w:tc>
          <w:tcPr>
            <w:tcW w:type="dxa" w:w="46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color w:val="000000"/>
                <w:sz w:val="17"/>
                <w:szCs w:val="17"/>
              </w:rPr>
              <w:t xml:space="preserve">Volume-spike breakout (5d)</w:t>
            </w:r>
          </w:p>
        </w:tc>
        <w:tc>
          <w:tcPr>
            <w:tcW w:type="dxa" w:w="12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235</w:t>
            </w:r>
          </w:p>
        </w:tc>
        <w:tc>
          <w:tcPr>
            <w:tcW w:type="dxa" w:w="19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-0.26%</w:t>
            </w:r>
          </w:p>
        </w:tc>
        <w:tc>
          <w:tcPr>
            <w:tcW w:type="dxa" w:w="1326"/>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52%</w:t>
            </w:r>
          </w:p>
        </w:tc>
      </w:tr>
      <w:tr>
        <w:trPr>
          <w:cantSplit/>
        </w:trPr>
        <w:tc>
          <w:tcPr>
            <w:tcW w:type="dxa" w:w="46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Any day (5d)</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20286</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0.25%</w:t>
            </w:r>
          </w:p>
        </w:tc>
        <w:tc>
          <w:tcPr>
            <w:tcW w:type="dxa" w:w="13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53%</w:t>
            </w:r>
          </w:p>
        </w:tc>
      </w:tr>
      <w:tr>
        <w:trPr>
          <w:cantSplit/>
        </w:trPr>
        <w:tc>
          <w:tcPr>
            <w:tcW w:type="dxa" w:w="46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color w:val="000000"/>
                <w:sz w:val="17"/>
                <w:szCs w:val="17"/>
              </w:rPr>
              <w:t xml:space="preserve">Volume-spike breakout (20d)</w:t>
            </w:r>
          </w:p>
        </w:tc>
        <w:tc>
          <w:tcPr>
            <w:tcW w:type="dxa" w:w="12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234</w:t>
            </w:r>
          </w:p>
        </w:tc>
        <w:tc>
          <w:tcPr>
            <w:tcW w:type="dxa" w:w="19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0.58%</w:t>
            </w:r>
          </w:p>
        </w:tc>
        <w:tc>
          <w:tcPr>
            <w:tcW w:type="dxa" w:w="1326"/>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53%</w:t>
            </w:r>
          </w:p>
        </w:tc>
      </w:tr>
      <w:tr>
        <w:trPr>
          <w:cantSplit/>
        </w:trPr>
        <w:tc>
          <w:tcPr>
            <w:tcW w:type="dxa" w:w="46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Donchian 20-day breakout (5d)</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987</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0.09%</w:t>
            </w:r>
          </w:p>
        </w:tc>
        <w:tc>
          <w:tcPr>
            <w:tcW w:type="dxa" w:w="13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51%</w:t>
            </w:r>
          </w:p>
        </w:tc>
      </w:tr>
      <w:tr>
        <w:trPr>
          <w:cantSplit/>
        </w:trPr>
        <w:tc>
          <w:tcPr>
            <w:tcW w:type="dxa" w:w="46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color w:val="000000"/>
                <w:sz w:val="17"/>
                <w:szCs w:val="17"/>
              </w:rPr>
              <w:t xml:space="preserve">Donchian 20-day breakout (20d)</w:t>
            </w:r>
          </w:p>
        </w:tc>
        <w:tc>
          <w:tcPr>
            <w:tcW w:type="dxa" w:w="12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987</w:t>
            </w:r>
          </w:p>
        </w:tc>
        <w:tc>
          <w:tcPr>
            <w:tcW w:type="dxa" w:w="19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0.77%</w:t>
            </w:r>
          </w:p>
        </w:tc>
        <w:tc>
          <w:tcPr>
            <w:tcW w:type="dxa" w:w="1326"/>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55%</w:t>
            </w:r>
          </w:p>
        </w:tc>
      </w:tr>
      <w:tr>
        <w:trPr>
          <w:cantSplit/>
        </w:trPr>
        <w:tc>
          <w:tcPr>
            <w:tcW w:type="dxa" w:w="46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Any day (20d)</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20181</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0.97%</w:t>
            </w:r>
          </w:p>
        </w:tc>
        <w:tc>
          <w:tcPr>
            <w:tcW w:type="dxa" w:w="13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56%</w:t>
            </w:r>
          </w:p>
        </w:tc>
      </w:tr>
    </w:tbl>
    <w:p>
      <w:pPr>
        <w:spacing w:after="120" w:before="60" w:line="276"/>
        <w:jc w:val="both"/>
      </w:pPr>
      <w:r>
        <w:rPr>
          <w:rFonts w:ascii="Calibri" w:cs="Calibri" w:eastAsia="Calibri" w:hAnsi="Calibri"/>
          <w:i/>
          <w:iCs/>
          <w:color w:val="595959"/>
          <w:sz w:val="17"/>
          <w:szCs w:val="17"/>
        </w:rPr>
        <w:t xml:space="preserve">Test statistics against the average day: volume-spike breakout t = -1.81 (5 days) and -0.79 (20 days); Donchian breakout t = -1.46 and -0.93, and t = -2.20 over 10 days (Table 3.1). Crowded versus isolated hit rate: z = -0.62.</w:t>
      </w:r>
    </w:p>
    <w:p>
      <w:pPr>
        <w:spacing w:after="120" w:before="0" w:line="276"/>
        <w:jc w:val="both"/>
      </w:pPr>
      <w:r>
        <w:rPr>
          <w:rFonts w:ascii="Calibri" w:cs="Calibri" w:eastAsia="Calibri" w:hAnsi="Calibri"/>
          <w:b/>
          <w:bCs/>
          <w:sz w:val="21"/>
          <w:szCs w:val="21"/>
        </w:rPr>
        <w:t xml:space="preserve">What the evidence shows. </w:t>
      </w:r>
      <w:r>
        <w:rPr>
          <w:rFonts w:ascii="Calibri" w:cs="Calibri" w:eastAsia="Calibri" w:hAnsi="Calibri"/>
          <w:sz w:val="21"/>
          <w:szCs w:val="21"/>
        </w:rPr>
        <w:t xml:space="preserve">Joining high-volume breakouts was costly: the next 5 sessions returned -0.26% against 0.25% on an average day, and the next 20 sessions 0.58% against 0.97% — the move was largely over by the time it was obvious. The Donchian breakout, which every charting package draws by default, tells the same story on a much larger sample (n = 987): 0.09% over 5 sessions and 0.77% over 20, both below the average day. Strategy B signals taken when 6–7 of the seven stocks were already bullish returned 0.23% with a 50% hit rate, the worst of the three groups, although the crowded sample is small (n = 30) and the moderate group did best, so the relationship is not monotonic. The defensible conclusion is narrower than the textbook's: signals that everyone can see at the same moment carry no extra edge, and buying the most visible breakouts carried a penalty that is significant at the 10-day horizon (t = -2.20) and borderline at 5 days. Evidence grade: suggestive.</w:t>
      </w:r>
    </w:p>
    <w:p>
      <w:pPr>
        <w:pStyle w:val="Heading2"/>
        <w:keepNext/>
        <w:spacing w:after="120" w:before="240"/>
      </w:pPr>
      <w:r>
        <w:rPr>
          <w:rFonts w:ascii="Calibri" w:cs="Calibri" w:eastAsia="Calibri" w:hAnsi="Calibri"/>
          <w:b/>
          <w:bCs/>
          <w:color w:val="1F4E79"/>
          <w:sz w:val="26"/>
          <w:szCs w:val="26"/>
        </w:rPr>
        <w:t xml:space="preserve">5.8 FOMO (fear of missing out)</w:t>
      </w:r>
    </w:p>
    <w:p>
      <w:pPr>
        <w:pStyle w:val="Heading3"/>
        <w:keepNext/>
        <w:spacing w:after="80" w:before="180"/>
      </w:pPr>
      <w:r>
        <w:rPr>
          <w:rFonts w:ascii="Calibri" w:cs="Calibri" w:eastAsia="Calibri" w:hAnsi="Calibri"/>
          <w:b/>
          <w:bCs/>
          <w:color w:val="2E2E2E"/>
          <w:sz w:val="22"/>
          <w:szCs w:val="22"/>
        </w:rPr>
        <w:t xml:space="preserve">Impact on a technical-analysis strategy</w:t>
      </w:r>
    </w:p>
    <w:p>
      <w:pPr>
        <w:spacing w:after="120" w:before="0" w:line="276"/>
        <w:jc w:val="both"/>
      </w:pPr>
      <w:r>
        <w:rPr>
          <w:rFonts w:ascii="Calibri" w:cs="Calibri" w:eastAsia="Calibri" w:hAnsi="Calibri"/>
          <w:sz w:val="21"/>
          <w:szCs w:val="21"/>
        </w:rPr>
        <w:t xml:space="preserve">FOMO is the anxiety that others are profiting from an opportunity one is missing (Przybylski et al., 2013). In trading it shows up as entering late, after a signal has already played out, and as abandoning entry rules to buy extended prices because 'it keeps going up'. It is closely related to herding but is driven by regret aversion: the pain of watching a move without participating outweighs the analysis. In a rules-based strategy, FOMO adds trades that the rules did not generate or takes the rule's trades at worse prices.</w:t>
      </w:r>
    </w:p>
    <w:p>
      <w:pPr>
        <w:pStyle w:val="Heading3"/>
        <w:keepNext/>
        <w:spacing w:after="80" w:before="180"/>
      </w:pPr>
      <w:r>
        <w:rPr>
          <w:rFonts w:ascii="Calibri" w:cs="Calibri" w:eastAsia="Calibri" w:hAnsi="Calibri"/>
          <w:b/>
          <w:bCs/>
          <w:color w:val="2E2E2E"/>
          <w:sz w:val="22"/>
          <w:szCs w:val="22"/>
        </w:rPr>
        <w:t xml:space="preserve">Illustration — Pine Script Bias Lab, mode "8 FOMO" (17_Bias_Lab.pine), and evidence from the 7 stocks</w:t>
      </w:r>
    </w:p>
    <w:p>
      <w:pPr>
        <w:spacing w:after="120" w:before="0" w:line="276"/>
        <w:jc w:val="both"/>
      </w:pPr>
      <w:r>
        <w:rPr>
          <w:rFonts w:ascii="Calibri" w:cs="Calibri" w:eastAsia="Calibri" w:hAnsi="Calibri"/>
          <w:sz w:val="21"/>
          <w:szCs w:val="21"/>
        </w:rPr>
        <w:t xml:space="preserve">The script draws a 'chase line' at EMA 21 + 1.5 × ATR and shades sessions in red when price is above it or RSI is above 70. Strategy B signals are marked green when taken calmly and red when taken while extended; the table compares the two groups and also measures the same signal taken five sessions late. In Python we re-ran Strategies B and C with entries delayed by 0, 2, 5 and 10 sessions, and split Strategy B's actual trades by how extended the price was at entry.</w:t>
      </w:r>
    </w:p>
    <w:p>
      <w:pPr>
        <w:keepNext/>
        <w:spacing w:after="60" w:before="120"/>
        <w:jc w:val="center"/>
      </w:pPr>
      <w:r>
        <w:drawing>
          <wp:inline distT="0" distB="0" distL="0" distR="0">
            <wp:extent cx="5760720" cy="225162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60720" cy="2251629"/>
                    </a:xfrm>
                    <a:prstGeom prst="rect">
                      <a:avLst/>
                    </a:prstGeom>
                  </pic:spPr>
                </pic:pic>
              </a:graphicData>
            </a:graphic>
          </wp:inline>
        </w:drawing>
      </w:r>
    </w:p>
    <w:p>
      <w:pPr>
        <w:spacing w:after="200"/>
        <w:jc w:val="left"/>
      </w:pPr>
      <w:r>
        <w:rPr>
          <w:rFonts w:ascii="Calibri" w:cs="Calibri" w:eastAsia="Calibri" w:hAnsi="Calibri"/>
          <w:i/>
          <w:iCs/>
          <w:color w:val="595959"/>
          <w:sz w:val="17"/>
          <w:szCs w:val="17"/>
        </w:rPr>
        <w:t xml:space="preserve">Exhibit 29. Left: average return per trade when entry is delayed after the signal. Right: Strategy B trades split by entry extension.</w:t>
      </w:r>
    </w:p>
    <w:p>
      <w:pPr>
        <w:keepNext/>
        <w:spacing w:after="80" w:before="160"/>
      </w:pPr>
      <w:r>
        <w:rPr>
          <w:rFonts w:ascii="Calibri" w:cs="Calibri" w:eastAsia="Calibri" w:hAnsi="Calibri"/>
          <w:b/>
          <w:bCs/>
          <w:color w:val="2E2E2E"/>
          <w:sz w:val="19"/>
          <w:szCs w:val="19"/>
        </w:rPr>
        <w:t xml:space="preserve">Table 5.9 Late and extended entries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2700"/>
        <w:gridCol w:w="2726"/>
      </w:tblGrid>
      <w:tr>
        <w:trPr>
          <w:cantSplit/>
          <w:tblHeader/>
        </w:trPr>
        <w:tc>
          <w:tcPr>
            <w:tcW w:type="dxa" w:w="36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tcPr>
          <w:p>
            <w:pPr>
              <w:jc w:val="left"/>
            </w:pPr>
            <w:r>
              <w:rPr>
                <w:rFonts w:ascii="Calibri" w:cs="Calibri" w:eastAsia="Calibri" w:hAnsi="Calibri"/>
                <w:b/>
                <w:bCs/>
                <w:color w:val="FFFFFF"/>
                <w:sz w:val="17"/>
                <w:szCs w:val="17"/>
              </w:rPr>
              <w:t xml:space="preserve">Entry</w:t>
            </w:r>
          </w:p>
        </w:tc>
        <w:tc>
          <w:tcPr>
            <w:tcW w:type="dxa" w:w="27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tcPr>
          <w:p>
            <w:pPr>
              <w:jc w:val="center"/>
            </w:pPr>
            <w:r>
              <w:rPr>
                <w:rFonts w:ascii="Calibri" w:cs="Calibri" w:eastAsia="Calibri" w:hAnsi="Calibri"/>
                <w:b/>
                <w:bCs/>
                <w:color w:val="FFFFFF"/>
                <w:sz w:val="17"/>
                <w:szCs w:val="17"/>
              </w:rPr>
              <w:t xml:space="preserve">Strategy B avg trade</w:t>
            </w:r>
          </w:p>
        </w:tc>
        <w:tc>
          <w:tcPr>
            <w:tcW w:type="dxa" w:w="2726"/>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tcPr>
          <w:p>
            <w:pPr>
              <w:jc w:val="center"/>
            </w:pPr>
            <w:r>
              <w:rPr>
                <w:rFonts w:ascii="Calibri" w:cs="Calibri" w:eastAsia="Calibri" w:hAnsi="Calibri"/>
                <w:b/>
                <w:bCs/>
                <w:color w:val="FFFFFF"/>
                <w:sz w:val="17"/>
                <w:szCs w:val="17"/>
              </w:rPr>
              <w:t xml:space="preserve">Strategy C avg trade</w:t>
            </w:r>
          </w:p>
        </w:tc>
      </w:tr>
      <w:tr>
        <w:trPr>
          <w:cantSplit/>
        </w:trPr>
        <w:tc>
          <w:tcPr>
            <w:tcW w:type="dxa" w:w="36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On signal (next open)</w:t>
            </w:r>
          </w:p>
        </w:tc>
        <w:tc>
          <w:tcPr>
            <w:tcW w:type="dxa" w:w="27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-0.15%</w:t>
            </w:r>
          </w:p>
        </w:tc>
        <w:tc>
          <w:tcPr>
            <w:tcW w:type="dxa" w:w="27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2.86%</w:t>
            </w:r>
          </w:p>
        </w:tc>
      </w:tr>
      <w:tr>
        <w:trPr>
          <w:cantSplit/>
        </w:trPr>
        <w:tc>
          <w:tcPr>
            <w:tcW w:type="dxa" w:w="36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color w:val="000000"/>
                <w:sz w:val="17"/>
                <w:szCs w:val="17"/>
              </w:rPr>
              <w:t xml:space="preserve">2 sessions late</w:t>
            </w:r>
          </w:p>
        </w:tc>
        <w:tc>
          <w:tcPr>
            <w:tcW w:type="dxa" w:w="27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-0.41%</w:t>
            </w:r>
          </w:p>
        </w:tc>
        <w:tc>
          <w:tcPr>
            <w:tcW w:type="dxa" w:w="2726"/>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2.90%</w:t>
            </w:r>
          </w:p>
        </w:tc>
      </w:tr>
      <w:tr>
        <w:trPr>
          <w:cantSplit/>
        </w:trPr>
        <w:tc>
          <w:tcPr>
            <w:tcW w:type="dxa" w:w="36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5 sessions late</w:t>
            </w:r>
          </w:p>
        </w:tc>
        <w:tc>
          <w:tcPr>
            <w:tcW w:type="dxa" w:w="27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-0.17%</w:t>
            </w:r>
          </w:p>
        </w:tc>
        <w:tc>
          <w:tcPr>
            <w:tcW w:type="dxa" w:w="27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2.83%</w:t>
            </w:r>
          </w:p>
        </w:tc>
      </w:tr>
      <w:tr>
        <w:trPr>
          <w:cantSplit/>
        </w:trPr>
        <w:tc>
          <w:tcPr>
            <w:tcW w:type="dxa" w:w="36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color w:val="000000"/>
                <w:sz w:val="17"/>
                <w:szCs w:val="17"/>
              </w:rPr>
              <w:t xml:space="preserve">10 sessions late</w:t>
            </w:r>
          </w:p>
        </w:tc>
        <w:tc>
          <w:tcPr>
            <w:tcW w:type="dxa" w:w="27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0.20%</w:t>
            </w:r>
          </w:p>
        </w:tc>
        <w:tc>
          <w:tcPr>
            <w:tcW w:type="dxa" w:w="2726"/>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1.75%</w:t>
            </w:r>
          </w:p>
        </w:tc>
      </w:tr>
    </w:tbl>
    <w:p>
      <w:pPr>
        <w:spacing w:after="120" w:before="0" w:line="276"/>
        <w:jc w:val="both"/>
      </w:pPr>
      <w:r>
        <w:rPr>
          <w:rFonts w:ascii="Calibri" w:cs="Calibri" w:eastAsia="Calibri" w:hAnsi="Calibri"/>
          <w:b/>
          <w:bCs/>
          <w:sz w:val="21"/>
          <w:szCs w:val="21"/>
        </w:rPr>
        <w:t xml:space="preserve">What the evidence shows. </w:t>
      </w:r>
      <w:r>
        <w:rPr>
          <w:rFonts w:ascii="Calibri" w:cs="Calibri" w:eastAsia="Calibri" w:hAnsi="Calibri"/>
          <w:sz w:val="21"/>
          <w:szCs w:val="21"/>
        </w:rPr>
        <w:t xml:space="preserve">For the 60-day trend strategy, lateness was costly but not immediately: a 2–5 session delay barely mattered (2.90% and 2.83% vs 2.86% per trade), while a 10-session delay cut the average trade by 1.1 pp, about 39%. For the 15-day momentum strategy, delay made no systematic difference because its edge per trade is close to zero anyway. Contrary to the textbook expectation, Strategy B trades entered at extended prices (n = 151) did slightly better than calm entries (-0.00% vs -0.19%; hit rate 55% vs 49%), consistent with short-term momentum in large caps. We report this rather than force the narrative: FOMO's damage in this sample comes from lateness on long-horizon trades and from the herding-style breakout chasing in Section 5.7, not from extension per se. The 10-session penalty on Strategy C is also not statistically significant (t = 0.63 on 80 trades). This also matters for mitigation: an anti-FOMO filter that blocks extended entries is not automatically beneficial, and has to be tested before it is adopted (Section 6). Evidence grade: not supported in this sample.</w:t>
      </w:r>
    </w:p>
    <w:p>
      <w:pPr>
        <w:pStyle w:val="Heading1"/>
        <w:pageBreakBefore/>
        <w:spacing w:after="200" w:before="0"/>
      </w:pPr>
      <w:r>
        <w:rPr>
          <w:rFonts w:ascii="Calibri" w:cs="Calibri" w:eastAsia="Calibri" w:hAnsi="Calibri"/>
          <w:b/>
          <w:bCs/>
          <w:color w:val="1F4E79"/>
          <w:sz w:val="32"/>
          <w:szCs w:val="32"/>
        </w:rPr>
        <w:t xml:space="preserve">6. Mitigating the Biases (Requirement 5)</w:t>
      </w:r>
    </w:p>
    <w:p>
      <w:pPr>
        <w:spacing w:after="120" w:before="0" w:line="276"/>
        <w:jc w:val="both"/>
      </w:pPr>
      <w:r>
        <w:rPr>
          <w:rFonts w:ascii="Calibri" w:cs="Calibri" w:eastAsia="Calibri" w:hAnsi="Calibri"/>
          <w:sz w:val="21"/>
          <w:szCs w:val="21"/>
        </w:rPr>
        <w:t xml:space="preserve">The common thread in Section 5 is that every bias enters through a </w:t>
      </w:r>
      <w:r>
        <w:rPr>
          <w:rFonts w:ascii="Calibri" w:cs="Calibri" w:eastAsia="Calibri" w:hAnsi="Calibri"/>
          <w:b/>
          <w:bCs/>
          <w:sz w:val="21"/>
          <w:szCs w:val="21"/>
        </w:rPr>
        <w:t xml:space="preserve">discretionary decision</w:t>
      </w:r>
      <w:r>
        <w:rPr>
          <w:rFonts w:ascii="Calibri" w:cs="Calibri" w:eastAsia="Calibri" w:hAnsi="Calibri"/>
          <w:sz w:val="21"/>
          <w:szCs w:val="21"/>
        </w:rPr>
        <w:t xml:space="preserve"> made after seeing the data: which indicators count as confirmation, which parameters to believe, when to exit a loser, which strategy to switch to, whether to chase. Mitigation therefore has three parts. The first is to remove discretion by writing the decision into code before the trade, so the rule cannot be bent in the moment. The second is to decide which rules to adopt using data the rule has not seen, so that the mitigation itself does not become another overfitted belief. The third, which the results below make the most important, is a hurdle: a rule must beat what its capital would earn in Treasury bills after realistic costs, or it is dropped.</w:t>
      </w:r>
    </w:p>
    <w:p>
      <w:pPr>
        <w:pStyle w:val="Heading2"/>
        <w:keepNext/>
        <w:spacing w:after="120" w:before="240"/>
      </w:pPr>
      <w:r>
        <w:rPr>
          <w:rFonts w:ascii="Calibri" w:cs="Calibri" w:eastAsia="Calibri" w:hAnsi="Calibri"/>
          <w:b/>
          <w:bCs/>
          <w:color w:val="1F4E79"/>
          <w:sz w:val="26"/>
          <w:szCs w:val="26"/>
        </w:rPr>
        <w:t xml:space="preserve">6.1 Bias-by-bias mitigation and its Pine Script implementation</w:t>
      </w:r>
    </w:p>
    <w:p>
      <w:pPr>
        <w:keepNext/>
        <w:spacing w:after="80" w:before="160"/>
      </w:pPr>
      <w:r>
        <w:rPr>
          <w:rFonts w:ascii="Calibri" w:cs="Calibri" w:eastAsia="Calibri" w:hAnsi="Calibri"/>
          <w:b/>
          <w:bCs/>
          <w:color w:val="2E2E2E"/>
          <w:sz w:val="19"/>
          <w:szCs w:val="19"/>
        </w:rPr>
        <w:t xml:space="preserve">Table 6.1 Mitigation toolkit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50"/>
        <w:gridCol w:w="2700"/>
        <w:gridCol w:w="2600"/>
        <w:gridCol w:w="2476"/>
      </w:tblGrid>
      <w:tr>
        <w:trPr>
          <w:cantSplit/>
          <w:tblHeader/>
        </w:trPr>
        <w:tc>
          <w:tcPr>
            <w:tcW w:type="dxa" w:w="125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Bias</w:t>
            </w:r>
          </w:p>
        </w:tc>
        <w:tc>
          <w:tcPr>
            <w:tcW w:type="dxa" w:w="27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Mitigation</w:t>
            </w:r>
          </w:p>
        </w:tc>
        <w:tc>
          <w:tcPr>
            <w:tcW w:type="dxa" w:w="26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Pine Script implementation</w:t>
            </w:r>
          </w:p>
        </w:tc>
        <w:tc>
          <w:tcPr>
            <w:tcW w:type="dxa" w:w="2476"/>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Evidence in this report</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bCs/>
                <w:color w:val="000000"/>
                <w:sz w:val="16"/>
                <w:szCs w:val="16"/>
              </w:rPr>
              <w:t xml:space="preserve">Confirmation</w:t>
            </w:r>
          </w:p>
        </w:tc>
        <w:tc>
          <w:tcPr>
            <w:tcW w:type="dxa" w:w="27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color w:val="000000"/>
                <w:sz w:val="16"/>
                <w:szCs w:val="16"/>
              </w:rPr>
              <w:t xml:space="preserve">Confirm only with independent information (volume, trend regime, a different horizon); write the pass/fail test before looking at the chart; review all trades, not chosen ones</w:t>
            </w:r>
          </w:p>
        </w:tc>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color w:val="000000"/>
                <w:sz w:val="16"/>
                <w:szCs w:val="16"/>
              </w:rPr>
              <w:t xml:space="preserve">M3: obv &gt; ta.ema(obv,20) in 18; Bias Lab mode 1 prints the correlation of the 'confirmations'</w:t>
            </w:r>
          </w:p>
        </w:tc>
        <w:tc>
          <w:tcPr>
            <w:tcW w:type="dxa" w:w="247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color w:val="000000"/>
                <w:sz w:val="16"/>
                <w:szCs w:val="16"/>
              </w:rPr>
              <w:t xml:space="preserve">Price-based confirmations correlate 0.64–0.95 with RSI and change its hit rate by |z| &lt; 0.2 (Table 5.1)</w:t>
            </w:r>
          </w:p>
        </w:tc>
      </w:tr>
      <w:tr>
        <w:trPr>
          <w:cantSplit/>
        </w:trPr>
        <w:tc>
          <w:tcPr>
            <w:tcW w:type="dxa" w:w="12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b/>
                <w:bCs/>
                <w:color w:val="000000"/>
                <w:sz w:val="16"/>
                <w:szCs w:val="16"/>
              </w:rPr>
              <w:t xml:space="preserve">Overconfidence</w:t>
            </w:r>
          </w:p>
        </w:tc>
        <w:tc>
          <w:tcPr>
            <w:tcW w:type="dxa" w:w="27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b w:val="false"/>
                <w:bCs w:val="false"/>
                <w:color w:val="000000"/>
                <w:sz w:val="16"/>
                <w:szCs w:val="16"/>
              </w:rPr>
              <w:t xml:space="preserve">Fix parameters in advance; hold out an out-of-sample period; treat in-sample results as optimistic; size from volatility, never from a streak</w:t>
            </w:r>
          </w:p>
        </w:tc>
        <w:tc>
          <w:tcPr>
            <w:tcW w:type="dxa" w:w="26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b w:val="false"/>
                <w:bCs w:val="false"/>
                <w:color w:val="000000"/>
                <w:sz w:val="16"/>
                <w:szCs w:val="16"/>
              </w:rPr>
              <w:t xml:space="preserve">Fixed inputs; pre-registered split input and IS/OOS scorecard from strategy.closedtrades in 18</w:t>
            </w:r>
          </w:p>
        </w:tc>
        <w:tc>
          <w:tcPr>
            <w:tcW w:type="dxa" w:w="2476"/>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b w:val="false"/>
                <w:bCs w:val="false"/>
                <w:color w:val="000000"/>
                <w:sz w:val="16"/>
                <w:szCs w:val="16"/>
              </w:rPr>
              <w:t xml:space="preserve">Promised Sharpe 0.33, delivered -0.02; no hot hand (Table 5.2)</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bCs/>
                <w:color w:val="000000"/>
                <w:sz w:val="16"/>
                <w:szCs w:val="16"/>
              </w:rPr>
              <w:t xml:space="preserve">Anchoring</w:t>
            </w:r>
          </w:p>
        </w:tc>
        <w:tc>
          <w:tcPr>
            <w:tcW w:type="dxa" w:w="27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color w:val="000000"/>
                <w:sz w:val="16"/>
                <w:szCs w:val="16"/>
              </w:rPr>
              <w:t xml:space="preserve">Exit on time or on a volatility stop that ignores the entry price; never average down to 'get back to cost'</w:t>
            </w:r>
          </w:p>
        </w:tc>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color w:val="000000"/>
                <w:sz w:val="16"/>
                <w:szCs w:val="16"/>
              </w:rPr>
              <w:t xml:space="preserve">Time exit via strategy.opentrades.entry_bar_index; M1: strategy.exit(stop = close − k·ATR)</w:t>
            </w:r>
          </w:p>
        </w:tc>
        <w:tc>
          <w:tcPr>
            <w:tcW w:type="dxa" w:w="247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color w:val="000000"/>
                <w:sz w:val="16"/>
                <w:szCs w:val="16"/>
              </w:rPr>
              <w:t xml:space="preserve">Hold-to-breakeven: +67 sessions, -13.3% interim loss, 15% never recover (Section 5.3)</w:t>
            </w:r>
          </w:p>
        </w:tc>
      </w:tr>
      <w:tr>
        <w:trPr>
          <w:cantSplit/>
        </w:trPr>
        <w:tc>
          <w:tcPr>
            <w:tcW w:type="dxa" w:w="12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b/>
                <w:bCs/>
                <w:color w:val="000000"/>
                <w:sz w:val="16"/>
                <w:szCs w:val="16"/>
              </w:rPr>
              <w:t xml:space="preserve">Representativeness</w:t>
            </w:r>
          </w:p>
        </w:tc>
        <w:tc>
          <w:tcPr>
            <w:tcW w:type="dxa" w:w="27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b w:val="false"/>
                <w:bCs w:val="false"/>
                <w:color w:val="000000"/>
                <w:sz w:val="16"/>
                <w:szCs w:val="16"/>
              </w:rPr>
              <w:t xml:space="preserve">Judge every pattern against its base rate and sample size; demand a minimum number of trades before believing a result</w:t>
            </w:r>
          </w:p>
        </w:tc>
        <w:tc>
          <w:tcPr>
            <w:tcW w:type="dxa" w:w="26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b w:val="false"/>
                <w:bCs w:val="false"/>
                <w:color w:val="000000"/>
                <w:sz w:val="16"/>
                <w:szCs w:val="16"/>
              </w:rPr>
              <w:t xml:space="preserve">Bias Lab mode 4 prints the base rate next to every pattern</w:t>
            </w:r>
          </w:p>
        </w:tc>
        <w:tc>
          <w:tcPr>
            <w:tcW w:type="dxa" w:w="2476"/>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b w:val="false"/>
                <w:bCs w:val="false"/>
                <w:color w:val="000000"/>
                <w:sz w:val="16"/>
                <w:szCs w:val="16"/>
              </w:rPr>
              <w:t xml:space="preserve">No textbook pattern differs from its base rate, |t| &lt; 1.5 (Tables 5.4–5.5)</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bCs/>
                <w:color w:val="000000"/>
                <w:sz w:val="16"/>
                <w:szCs w:val="16"/>
              </w:rPr>
              <w:t xml:space="preserve">Recency</w:t>
            </w:r>
          </w:p>
        </w:tc>
        <w:tc>
          <w:tcPr>
            <w:tcW w:type="dxa" w:w="27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color w:val="000000"/>
                <w:sz w:val="16"/>
                <w:szCs w:val="16"/>
              </w:rPr>
              <w:t xml:space="preserve">Allocate across strategies by rule, not by last quarter; match look-back to horizon</w:t>
            </w:r>
          </w:p>
        </w:tc>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color w:val="000000"/>
                <w:sz w:val="16"/>
                <w:szCs w:val="16"/>
              </w:rPr>
              <w:t xml:space="preserve">One fixed strategy per horizon, adopted only if it clears the cash hurdle</w:t>
            </w:r>
          </w:p>
        </w:tc>
        <w:tc>
          <w:tcPr>
            <w:tcW w:type="dxa" w:w="247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color w:val="000000"/>
                <w:sz w:val="16"/>
                <w:szCs w:val="16"/>
              </w:rPr>
              <w:t xml:space="preserve">Chasing lowered the Sharpe ratio on 4 of 7 stocks (Table 5.6)</w:t>
            </w:r>
          </w:p>
        </w:tc>
      </w:tr>
      <w:tr>
        <w:trPr>
          <w:cantSplit/>
        </w:trPr>
        <w:tc>
          <w:tcPr>
            <w:tcW w:type="dxa" w:w="12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b/>
                <w:bCs/>
                <w:color w:val="000000"/>
                <w:sz w:val="16"/>
                <w:szCs w:val="16"/>
              </w:rPr>
              <w:t xml:space="preserve">Conservatism</w:t>
            </w:r>
          </w:p>
        </w:tc>
        <w:tc>
          <w:tcPr>
            <w:tcW w:type="dxa" w:w="27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b w:val="false"/>
                <w:bCs w:val="false"/>
                <w:color w:val="000000"/>
                <w:sz w:val="16"/>
                <w:szCs w:val="16"/>
              </w:rPr>
              <w:t xml:space="preserve">Pair a slow trend filter with a fast, pre-defined risk exit; decide in advance what evidence changes the view</w:t>
            </w:r>
          </w:p>
        </w:tc>
        <w:tc>
          <w:tcPr>
            <w:tcW w:type="dxa" w:w="26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b w:val="false"/>
                <w:bCs w:val="false"/>
                <w:color w:val="000000"/>
                <w:sz w:val="16"/>
                <w:szCs w:val="16"/>
              </w:rPr>
              <w:t xml:space="preserve">Horizon-scaled ATR stop alongside SMA/ADX filters; Bias Lab mode 6 shades the lag zone</w:t>
            </w:r>
          </w:p>
        </w:tc>
        <w:tc>
          <w:tcPr>
            <w:tcW w:type="dxa" w:w="2476"/>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b w:val="false"/>
                <w:bCs w:val="false"/>
                <w:color w:val="000000"/>
                <w:sz w:val="16"/>
                <w:szCs w:val="16"/>
              </w:rPr>
              <w:t xml:space="preserve">Death cross arrived 38 sessions and 34% below the COVID peak (Table 5.7)</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bCs/>
                <w:color w:val="000000"/>
                <w:sz w:val="16"/>
                <w:szCs w:val="16"/>
              </w:rPr>
              <w:t xml:space="preserve">Herding</w:t>
            </w:r>
          </w:p>
        </w:tc>
        <w:tc>
          <w:tcPr>
            <w:tcW w:type="dxa" w:w="27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color w:val="000000"/>
                <w:sz w:val="16"/>
                <w:szCs w:val="16"/>
              </w:rPr>
              <w:t xml:space="preserve">Trade only own pre-defined signals; treat extreme breadth, volume spikes and textbook breakouts as warnings, not triggers</w:t>
            </w:r>
          </w:p>
        </w:tc>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color w:val="000000"/>
                <w:sz w:val="16"/>
                <w:szCs w:val="16"/>
              </w:rPr>
              <w:t xml:space="preserve">Bias Lab mode 7: breadth count via request.security on 7 stocks; breakout markers</w:t>
            </w:r>
          </w:p>
        </w:tc>
        <w:tc>
          <w:tcPr>
            <w:tcW w:type="dxa" w:w="247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color w:val="000000"/>
                <w:sz w:val="16"/>
                <w:szCs w:val="16"/>
              </w:rPr>
              <w:t xml:space="preserve">Donchian breakouts trail the average day (t = -2.20 at 10 days) (Table 5.8)</w:t>
            </w:r>
          </w:p>
        </w:tc>
      </w:tr>
      <w:tr>
        <w:trPr>
          <w:cantSplit/>
        </w:trPr>
        <w:tc>
          <w:tcPr>
            <w:tcW w:type="dxa" w:w="12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b/>
                <w:bCs/>
                <w:color w:val="000000"/>
                <w:sz w:val="16"/>
                <w:szCs w:val="16"/>
              </w:rPr>
              <w:t xml:space="preserve">FOMO</w:t>
            </w:r>
          </w:p>
        </w:tc>
        <w:tc>
          <w:tcPr>
            <w:tcW w:type="dxa" w:w="27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b w:val="false"/>
                <w:bCs w:val="false"/>
                <w:color w:val="000000"/>
                <w:sz w:val="16"/>
                <w:szCs w:val="16"/>
              </w:rPr>
              <w:t xml:space="preserve">Never enter without a signal; if a signal is missed by more than a set number of bars, skip it; test any 'no-chase' filter before using it</w:t>
            </w:r>
          </w:p>
        </w:tc>
        <w:tc>
          <w:tcPr>
            <w:tcW w:type="dxa" w:w="26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b w:val="false"/>
                <w:bCs w:val="false"/>
                <w:color w:val="000000"/>
                <w:sz w:val="16"/>
                <w:szCs w:val="16"/>
              </w:rPr>
              <w:t xml:space="preserve">M2: anti-FOMO filter in 18 (tested, not assumed); entry gated on the signal bar</w:t>
            </w:r>
          </w:p>
        </w:tc>
        <w:tc>
          <w:tcPr>
            <w:tcW w:type="dxa" w:w="2476"/>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b w:val="false"/>
                <w:bCs w:val="false"/>
                <w:color w:val="000000"/>
                <w:sz w:val="16"/>
                <w:szCs w:val="16"/>
              </w:rPr>
              <w:t xml:space="preserve">10-session delay cut Strategy C's average trade by ~39%, not significant (Table 5.9)</w:t>
            </w:r>
          </w:p>
        </w:tc>
      </w:tr>
    </w:tbl>
    <w:p>
      <w:pPr>
        <w:pStyle w:val="Heading2"/>
        <w:keepNext/>
        <w:pageBreakBefore/>
        <w:spacing w:after="120" w:before="0"/>
      </w:pPr>
      <w:r>
        <w:rPr>
          <w:rFonts w:ascii="Calibri" w:cs="Calibri" w:eastAsia="Calibri" w:hAnsi="Calibri"/>
          <w:b/>
          <w:bCs/>
          <w:color w:val="1F4E79"/>
          <w:sz w:val="26"/>
          <w:szCs w:val="26"/>
        </w:rPr>
        <w:t xml:space="preserve">6.2 Testing the mitigations: chosen in-sample, judged out-of-sample</w:t>
      </w:r>
    </w:p>
    <w:p>
      <w:pPr>
        <w:spacing w:after="120" w:before="0" w:line="276"/>
        <w:jc w:val="both"/>
      </w:pPr>
      <w:r>
        <w:rPr>
          <w:rFonts w:ascii="Calibri" w:cs="Calibri" w:eastAsia="Calibri" w:hAnsi="Calibri"/>
          <w:sz w:val="21"/>
          <w:szCs w:val="21"/>
        </w:rPr>
        <w:t xml:space="preserve">A mitigation that is adopted because it looks good on the full history is itself a product of overconfidence and hindsight. We therefore pre-registered six candidate versions of each strategy: M0 as built; M1 a horizon-scaled ATR stop (2×, 3× and 4× ATR for A, B and C); M2 an anti-FOMO entry filter; M3 independent volume confirmation; M4 = M1 + M3; and M5 a Supertrend (10, 3) trailing exit, which gives one of the four added indicators a concrete job. For each strategy we chose the candidate with the highest equal-weighted Sharpe ratio on 2015–21 only, and then judged every candidate on 2022–26. All candidates are switches in </w:t>
      </w:r>
      <w:r>
        <w:rPr>
          <w:rFonts w:ascii="Consolas" w:cs="Consolas" w:eastAsia="Consolas" w:hAnsi="Consolas"/>
          <w:sz w:val="19"/>
          <w:szCs w:val="19"/>
        </w:rPr>
        <w:t xml:space="preserve">18_Strategy_Disciplined.pine</w:t>
      </w:r>
      <w:r>
        <w:rPr>
          <w:rFonts w:ascii="Calibri" w:cs="Calibri" w:eastAsia="Calibri" w:hAnsi="Calibri"/>
          <w:sz w:val="21"/>
          <w:szCs w:val="21"/>
        </w:rPr>
        <w:t xml:space="preserve">, whose 'In-sample chosen' preset reproduces the selection.</w:t>
      </w:r>
    </w:p>
    <w:p>
      <w:pPr>
        <w:keepNext/>
        <w:spacing w:after="80" w:before="160"/>
      </w:pPr>
      <w:r>
        <w:rPr>
          <w:rFonts w:ascii="Calibri" w:cs="Calibri" w:eastAsia="Calibri" w:hAnsi="Calibri"/>
          <w:b/>
          <w:bCs/>
          <w:color w:val="2E2E2E"/>
          <w:sz w:val="19"/>
          <w:szCs w:val="19"/>
        </w:rPr>
        <w:t xml:space="preserve">Table 6.2 Candidate de-biasing rules (equal-weighted 7-stock portfolio; excess Sharpe, net of 0.15% per side)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
        <w:gridCol w:w="3200"/>
        <w:gridCol w:w="950"/>
        <w:gridCol w:w="1000"/>
        <w:gridCol w:w="1000"/>
        <w:gridCol w:w="1250"/>
        <w:gridCol w:w="976"/>
      </w:tblGrid>
      <w:tr>
        <w:trPr>
          <w:cantSplit/>
          <w:tblHeader/>
        </w:trPr>
        <w:tc>
          <w:tcPr>
            <w:tcW w:type="dxa" w:w="65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Strat.</w:t>
            </w:r>
          </w:p>
        </w:tc>
        <w:tc>
          <w:tcPr>
            <w:tcW w:type="dxa" w:w="32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tcPr>
          <w:p>
            <w:pPr>
              <w:jc w:val="center"/>
            </w:pPr>
            <w:r>
              <w:rPr>
                <w:rFonts w:ascii="Calibri" w:cs="Calibri" w:eastAsia="Calibri" w:hAnsi="Calibri"/>
                <w:b/>
                <w:bCs/>
                <w:color w:val="FFFFFF"/>
                <w:sz w:val="16"/>
                <w:szCs w:val="16"/>
              </w:rPr>
              <w:t xml:space="preserve">Candidate</w:t>
            </w:r>
          </w:p>
        </w:tc>
        <w:tc>
          <w:tcPr>
            <w:tcW w:type="dxa" w:w="95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tcPr>
          <w:p>
            <w:pPr>
              <w:jc w:val="center"/>
            </w:pPr>
            <w:r>
              <w:rPr>
                <w:rFonts w:ascii="Calibri" w:cs="Calibri" w:eastAsia="Calibri" w:hAnsi="Calibri"/>
                <w:b/>
                <w:bCs/>
                <w:color w:val="FFFFFF"/>
                <w:sz w:val="16"/>
                <w:szCs w:val="16"/>
              </w:rPr>
              <w:t xml:space="preserve">IS Sharpe</w:t>
            </w:r>
          </w:p>
        </w:tc>
        <w:tc>
          <w:tcPr>
            <w:tcW w:type="dxa" w:w="10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tcPr>
          <w:p>
            <w:pPr>
              <w:jc w:val="center"/>
            </w:pPr>
            <w:r>
              <w:rPr>
                <w:rFonts w:ascii="Calibri" w:cs="Calibri" w:eastAsia="Calibri" w:hAnsi="Calibri"/>
                <w:b/>
                <w:bCs/>
                <w:color w:val="FFFFFF"/>
                <w:sz w:val="16"/>
                <w:szCs w:val="16"/>
              </w:rPr>
              <w:t xml:space="preserve">OOS Sharpe</w:t>
            </w:r>
          </w:p>
        </w:tc>
        <w:tc>
          <w:tcPr>
            <w:tcW w:type="dxa" w:w="10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tcPr>
          <w:p>
            <w:pPr>
              <w:jc w:val="center"/>
            </w:pPr>
            <w:r>
              <w:rPr>
                <w:rFonts w:ascii="Calibri" w:cs="Calibri" w:eastAsia="Calibri" w:hAnsi="Calibri"/>
                <w:b/>
                <w:bCs/>
                <w:color w:val="FFFFFF"/>
                <w:sz w:val="16"/>
                <w:szCs w:val="16"/>
              </w:rPr>
              <w:t xml:space="preserve">OOS CAGR</w:t>
            </w:r>
          </w:p>
        </w:tc>
        <w:tc>
          <w:tcPr>
            <w:tcW w:type="dxa" w:w="125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tcPr>
          <w:p>
            <w:pPr>
              <w:jc w:val="center"/>
            </w:pPr>
            <w:r>
              <w:rPr>
                <w:rFonts w:ascii="Calibri" w:cs="Calibri" w:eastAsia="Calibri" w:hAnsi="Calibri"/>
                <w:b/>
                <w:bCs/>
                <w:color w:val="FFFFFF"/>
                <w:sz w:val="16"/>
                <w:szCs w:val="16"/>
              </w:rPr>
              <w:t xml:space="preserve">OOS avg stock DD</w:t>
            </w:r>
          </w:p>
        </w:tc>
        <w:tc>
          <w:tcPr>
            <w:tcW w:type="dxa" w:w="976"/>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tcPr>
          <w:p>
            <w:pPr>
              <w:jc w:val="center"/>
            </w:pPr>
            <w:r>
              <w:rPr>
                <w:rFonts w:ascii="Calibri" w:cs="Calibri" w:eastAsia="Calibri" w:hAnsi="Calibri"/>
                <w:b/>
                <w:bCs/>
                <w:color w:val="FFFFFF"/>
                <w:sz w:val="16"/>
                <w:szCs w:val="16"/>
              </w:rPr>
              <w:t xml:space="preserve">Trades (full)</w:t>
            </w:r>
          </w:p>
        </w:tc>
      </w:tr>
      <w:tr>
        <w:trPr>
          <w:cantSplit/>
        </w:trPr>
        <w:tc>
          <w:tcPr>
            <w:tcW w:type="dxa" w:w="6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6"/>
                <w:szCs w:val="16"/>
              </w:rPr>
              <w:t xml:space="preserve">A</w:t>
            </w:r>
          </w:p>
        </w:tc>
        <w:tc>
          <w:tcPr>
            <w:tcW w:type="dxa" w:w="3200"/>
            <w:tcBorders>
              <w:top w:val="single" w:color="BFBFBF" w:sz="4"/>
              <w:left w:val="single" w:color="BFBFBF" w:sz="4"/>
              <w:bottom w:val="single" w:color="BFBFBF" w:sz="4"/>
              <w:right w:val="single" w:color="BFBFBF" w:sz="4"/>
            </w:tcBorders>
            <w:shd w:fill="FFF2CC" w:color="auto" w:val="clear"/>
            <w:tcMar>
              <w:top w:type="dxa" w:w="50"/>
              <w:left w:type="dxa" w:w="80"/>
              <w:bottom w:type="dxa" w:w="50"/>
              <w:right w:type="dxa" w:w="80"/>
            </w:tcMar>
          </w:tcPr>
          <w:p>
            <w:pPr>
              <w:jc w:val="center"/>
            </w:pPr>
            <w:r>
              <w:rPr>
                <w:rFonts w:ascii="Calibri" w:cs="Calibri" w:eastAsia="Calibri" w:hAnsi="Calibri"/>
                <w:color w:val="000000"/>
                <w:sz w:val="16"/>
                <w:szCs w:val="16"/>
              </w:rPr>
              <w:t xml:space="preserve">M0 Naive (as built)  ← chosen</w:t>
            </w:r>
          </w:p>
        </w:tc>
        <w:tc>
          <w:tcPr>
            <w:tcW w:type="dxa" w:w="9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6"/>
                <w:szCs w:val="16"/>
              </w:rPr>
              <w:t xml:space="preserve">0.35</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6"/>
                <w:szCs w:val="16"/>
              </w:rPr>
              <w:t xml:space="preserve">-0.71</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6"/>
                <w:szCs w:val="16"/>
              </w:rPr>
              <w:t xml:space="preserve">4.3%</w:t>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6"/>
                <w:szCs w:val="16"/>
              </w:rPr>
              <w:t xml:space="preserve">-10.4%</w:t>
            </w:r>
          </w:p>
        </w:tc>
        <w:tc>
          <w:tcPr>
            <w:tcW w:type="dxa" w:w="97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6"/>
                <w:szCs w:val="16"/>
              </w:rPr>
              <w:t xml:space="preserve">234</w:t>
            </w:r>
          </w:p>
        </w:tc>
      </w:tr>
      <w:tr>
        <w:trPr>
          <w:cantSplit/>
        </w:trPr>
        <w:tc>
          <w:tcPr>
            <w:tcW w:type="dxa" w:w="6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color w:val="000000"/>
                <w:sz w:val="16"/>
                <w:szCs w:val="16"/>
              </w:rPr>
              <w:t xml:space="preserve">A</w:t>
            </w:r>
          </w:p>
        </w:tc>
        <w:tc>
          <w:tcPr>
            <w:tcW w:type="dxa" w:w="32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6"/>
                <w:szCs w:val="16"/>
              </w:rPr>
              <w:t xml:space="preserve">M1 Horizon-scaled ATR stop</w:t>
            </w:r>
          </w:p>
        </w:tc>
        <w:tc>
          <w:tcPr>
            <w:tcW w:type="dxa" w:w="9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6"/>
                <w:szCs w:val="16"/>
              </w:rPr>
              <w:t xml:space="preserve">0.29</w:t>
            </w:r>
          </w:p>
        </w:tc>
        <w:tc>
          <w:tcPr>
            <w:tcW w:type="dxa" w:w="10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6"/>
                <w:szCs w:val="16"/>
              </w:rPr>
              <w:t xml:space="preserve">-0.68</w:t>
            </w:r>
          </w:p>
        </w:tc>
        <w:tc>
          <w:tcPr>
            <w:tcW w:type="dxa" w:w="10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6"/>
                <w:szCs w:val="16"/>
              </w:rPr>
              <w:t xml:space="preserve">4.4%</w:t>
            </w:r>
          </w:p>
        </w:tc>
        <w:tc>
          <w:tcPr>
            <w:tcW w:type="dxa" w:w="12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6"/>
                <w:szCs w:val="16"/>
              </w:rPr>
              <w:t xml:space="preserve">-8.4%</w:t>
            </w:r>
          </w:p>
        </w:tc>
        <w:tc>
          <w:tcPr>
            <w:tcW w:type="dxa" w:w="976"/>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6"/>
                <w:szCs w:val="16"/>
              </w:rPr>
              <w:t xml:space="preserve">249</w:t>
            </w:r>
          </w:p>
        </w:tc>
      </w:tr>
      <w:tr>
        <w:trPr>
          <w:cantSplit/>
        </w:trPr>
        <w:tc>
          <w:tcPr>
            <w:tcW w:type="dxa" w:w="6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6"/>
                <w:szCs w:val="16"/>
              </w:rPr>
              <w:t xml:space="preserve">A</w:t>
            </w:r>
          </w:p>
        </w:tc>
        <w:tc>
          <w:tcPr>
            <w:tcW w:type="dxa" w:w="32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6"/>
                <w:szCs w:val="16"/>
              </w:rPr>
              <w:t xml:space="preserve">M2 Anti-FOMO entry filter</w:t>
            </w:r>
          </w:p>
        </w:tc>
        <w:tc>
          <w:tcPr>
            <w:tcW w:type="dxa" w:w="9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6"/>
                <w:szCs w:val="16"/>
              </w:rPr>
              <w:t xml:space="preserve">0.35</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6"/>
                <w:szCs w:val="16"/>
              </w:rPr>
              <w:t xml:space="preserve">-0.71</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6"/>
                <w:szCs w:val="16"/>
              </w:rPr>
              <w:t xml:space="preserve">4.3%</w:t>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6"/>
                <w:szCs w:val="16"/>
              </w:rPr>
              <w:t xml:space="preserve">-10.4%</w:t>
            </w:r>
          </w:p>
        </w:tc>
        <w:tc>
          <w:tcPr>
            <w:tcW w:type="dxa" w:w="97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6"/>
                <w:szCs w:val="16"/>
              </w:rPr>
              <w:t xml:space="preserve">234</w:t>
            </w:r>
          </w:p>
        </w:tc>
      </w:tr>
      <w:tr>
        <w:trPr>
          <w:cantSplit/>
        </w:trPr>
        <w:tc>
          <w:tcPr>
            <w:tcW w:type="dxa" w:w="6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color w:val="000000"/>
                <w:sz w:val="16"/>
                <w:szCs w:val="16"/>
              </w:rPr>
              <w:t xml:space="preserve">A</w:t>
            </w:r>
          </w:p>
        </w:tc>
        <w:tc>
          <w:tcPr>
            <w:tcW w:type="dxa" w:w="32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6"/>
                <w:szCs w:val="16"/>
              </w:rPr>
              <w:t xml:space="preserve">M3 Independent volume confirmation</w:t>
            </w:r>
          </w:p>
        </w:tc>
        <w:tc>
          <w:tcPr>
            <w:tcW w:type="dxa" w:w="9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6"/>
                <w:szCs w:val="16"/>
              </w:rPr>
              <w:t xml:space="preserve">0.06</w:t>
            </w:r>
          </w:p>
        </w:tc>
        <w:tc>
          <w:tcPr>
            <w:tcW w:type="dxa" w:w="10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6"/>
                <w:szCs w:val="16"/>
              </w:rPr>
              <w:t xml:space="preserve">-0.26</w:t>
            </w:r>
          </w:p>
        </w:tc>
        <w:tc>
          <w:tcPr>
            <w:tcW w:type="dxa" w:w="10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6"/>
                <w:szCs w:val="16"/>
              </w:rPr>
              <w:t xml:space="preserve">5.8%</w:t>
            </w:r>
          </w:p>
        </w:tc>
        <w:tc>
          <w:tcPr>
            <w:tcW w:type="dxa" w:w="12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6"/>
                <w:szCs w:val="16"/>
              </w:rPr>
              <w:t xml:space="preserve">-5.0%</w:t>
            </w:r>
          </w:p>
        </w:tc>
        <w:tc>
          <w:tcPr>
            <w:tcW w:type="dxa" w:w="976"/>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6"/>
                <w:szCs w:val="16"/>
              </w:rPr>
              <w:t xml:space="preserve">53</w:t>
            </w:r>
          </w:p>
        </w:tc>
      </w:tr>
      <w:tr>
        <w:trPr>
          <w:cantSplit/>
        </w:trPr>
        <w:tc>
          <w:tcPr>
            <w:tcW w:type="dxa" w:w="6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6"/>
                <w:szCs w:val="16"/>
              </w:rPr>
              <w:t xml:space="preserve">A</w:t>
            </w:r>
          </w:p>
        </w:tc>
        <w:tc>
          <w:tcPr>
            <w:tcW w:type="dxa" w:w="32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6"/>
                <w:szCs w:val="16"/>
              </w:rPr>
              <w:t xml:space="preserve">M4 ATR stop + volume confirmation</w:t>
            </w:r>
          </w:p>
        </w:tc>
        <w:tc>
          <w:tcPr>
            <w:tcW w:type="dxa" w:w="9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6"/>
                <w:szCs w:val="16"/>
              </w:rPr>
              <w:t xml:space="preserve">-0.08</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6"/>
                <w:szCs w:val="16"/>
              </w:rPr>
              <w:t xml:space="preserve">-0.54</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6"/>
                <w:szCs w:val="16"/>
              </w:rPr>
              <w:t xml:space="preserve">5.5%</w:t>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6"/>
                <w:szCs w:val="16"/>
              </w:rPr>
              <w:t xml:space="preserve">-3.8%</w:t>
            </w:r>
          </w:p>
        </w:tc>
        <w:tc>
          <w:tcPr>
            <w:tcW w:type="dxa" w:w="97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6"/>
                <w:szCs w:val="16"/>
              </w:rPr>
              <w:t xml:space="preserve">53</w:t>
            </w:r>
          </w:p>
        </w:tc>
      </w:tr>
      <w:tr>
        <w:trPr>
          <w:cantSplit/>
        </w:trPr>
        <w:tc>
          <w:tcPr>
            <w:tcW w:type="dxa" w:w="6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color w:val="000000"/>
                <w:sz w:val="16"/>
                <w:szCs w:val="16"/>
              </w:rPr>
              <w:t xml:space="preserve">A</w:t>
            </w:r>
          </w:p>
        </w:tc>
        <w:tc>
          <w:tcPr>
            <w:tcW w:type="dxa" w:w="32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6"/>
                <w:szCs w:val="16"/>
              </w:rPr>
              <w:t xml:space="preserve">M5 Supertrend trailing exit</w:t>
            </w:r>
          </w:p>
        </w:tc>
        <w:tc>
          <w:tcPr>
            <w:tcW w:type="dxa" w:w="9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6"/>
                <w:szCs w:val="16"/>
              </w:rPr>
              <w:t xml:space="preserve">-0.32</w:t>
            </w:r>
          </w:p>
        </w:tc>
        <w:tc>
          <w:tcPr>
            <w:tcW w:type="dxa" w:w="10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6"/>
                <w:szCs w:val="16"/>
              </w:rPr>
              <w:t xml:space="preserve">-1.42</w:t>
            </w:r>
          </w:p>
        </w:tc>
        <w:tc>
          <w:tcPr>
            <w:tcW w:type="dxa" w:w="10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6"/>
                <w:szCs w:val="16"/>
              </w:rPr>
              <w:t xml:space="preserve">4.1%</w:t>
            </w:r>
          </w:p>
        </w:tc>
        <w:tc>
          <w:tcPr>
            <w:tcW w:type="dxa" w:w="12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6"/>
                <w:szCs w:val="16"/>
              </w:rPr>
              <w:t xml:space="preserve">-5.5%</w:t>
            </w:r>
          </w:p>
        </w:tc>
        <w:tc>
          <w:tcPr>
            <w:tcW w:type="dxa" w:w="976"/>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6"/>
                <w:szCs w:val="16"/>
              </w:rPr>
              <w:t xml:space="preserve">322</w:t>
            </w:r>
          </w:p>
        </w:tc>
      </w:tr>
      <w:tr>
        <w:trPr>
          <w:cantSplit/>
        </w:trPr>
        <w:tc>
          <w:tcPr>
            <w:tcW w:type="dxa" w:w="6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6"/>
                <w:szCs w:val="16"/>
              </w:rPr>
              <w:t xml:space="preserve">B</w:t>
            </w:r>
          </w:p>
        </w:tc>
        <w:tc>
          <w:tcPr>
            <w:tcW w:type="dxa" w:w="32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6"/>
                <w:szCs w:val="16"/>
              </w:rPr>
              <w:t xml:space="preserve">M0 Naive (as built)</w:t>
            </w:r>
          </w:p>
        </w:tc>
        <w:tc>
          <w:tcPr>
            <w:tcW w:type="dxa" w:w="9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6"/>
                <w:szCs w:val="16"/>
              </w:rPr>
              <w:t xml:space="preserve">0.03</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6"/>
                <w:szCs w:val="16"/>
              </w:rPr>
              <w:t xml:space="preserve">-0.88</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6"/>
                <w:szCs w:val="16"/>
              </w:rPr>
              <w:t xml:space="preserve">2.7%</w:t>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6"/>
                <w:szCs w:val="16"/>
              </w:rPr>
              <w:t xml:space="preserve">-16.0%</w:t>
            </w:r>
          </w:p>
        </w:tc>
        <w:tc>
          <w:tcPr>
            <w:tcW w:type="dxa" w:w="97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6"/>
                <w:szCs w:val="16"/>
              </w:rPr>
              <w:t xml:space="preserve">270</w:t>
            </w:r>
          </w:p>
        </w:tc>
      </w:tr>
      <w:tr>
        <w:trPr>
          <w:cantSplit/>
        </w:trPr>
        <w:tc>
          <w:tcPr>
            <w:tcW w:type="dxa" w:w="6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color w:val="000000"/>
                <w:sz w:val="16"/>
                <w:szCs w:val="16"/>
              </w:rPr>
              <w:t xml:space="preserve">B</w:t>
            </w:r>
          </w:p>
        </w:tc>
        <w:tc>
          <w:tcPr>
            <w:tcW w:type="dxa" w:w="3200"/>
            <w:tcBorders>
              <w:top w:val="single" w:color="BFBFBF" w:sz="4"/>
              <w:left w:val="single" w:color="BFBFBF" w:sz="4"/>
              <w:bottom w:val="single" w:color="BFBFBF" w:sz="4"/>
              <w:right w:val="single" w:color="BFBFBF" w:sz="4"/>
            </w:tcBorders>
            <w:shd w:fill="FFF2CC" w:color="auto" w:val="clear"/>
            <w:tcMar>
              <w:top w:type="dxa" w:w="50"/>
              <w:left w:type="dxa" w:w="80"/>
              <w:bottom w:type="dxa" w:w="50"/>
              <w:right w:type="dxa" w:w="80"/>
            </w:tcMar>
          </w:tcPr>
          <w:p>
            <w:pPr>
              <w:jc w:val="center"/>
            </w:pPr>
            <w:r>
              <w:rPr>
                <w:rFonts w:ascii="Calibri" w:cs="Calibri" w:eastAsia="Calibri" w:hAnsi="Calibri"/>
                <w:color w:val="000000"/>
                <w:sz w:val="16"/>
                <w:szCs w:val="16"/>
              </w:rPr>
              <w:t xml:space="preserve">M1 Horizon-scaled ATR stop  ← chosen</w:t>
            </w:r>
          </w:p>
        </w:tc>
        <w:tc>
          <w:tcPr>
            <w:tcW w:type="dxa" w:w="9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6"/>
                <w:szCs w:val="16"/>
              </w:rPr>
              <w:t xml:space="preserve">0.10</w:t>
            </w:r>
          </w:p>
        </w:tc>
        <w:tc>
          <w:tcPr>
            <w:tcW w:type="dxa" w:w="10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6"/>
                <w:szCs w:val="16"/>
              </w:rPr>
              <w:t xml:space="preserve">-0.69</w:t>
            </w:r>
          </w:p>
        </w:tc>
        <w:tc>
          <w:tcPr>
            <w:tcW w:type="dxa" w:w="10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6"/>
                <w:szCs w:val="16"/>
              </w:rPr>
              <w:t xml:space="preserve">3.6%</w:t>
            </w:r>
          </w:p>
        </w:tc>
        <w:tc>
          <w:tcPr>
            <w:tcW w:type="dxa" w:w="12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6"/>
                <w:szCs w:val="16"/>
              </w:rPr>
              <w:t xml:space="preserve">-11.9%</w:t>
            </w:r>
          </w:p>
        </w:tc>
        <w:tc>
          <w:tcPr>
            <w:tcW w:type="dxa" w:w="976"/>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6"/>
                <w:szCs w:val="16"/>
              </w:rPr>
              <w:t xml:space="preserve">276</w:t>
            </w:r>
          </w:p>
        </w:tc>
      </w:tr>
      <w:tr>
        <w:trPr>
          <w:cantSplit/>
        </w:trPr>
        <w:tc>
          <w:tcPr>
            <w:tcW w:type="dxa" w:w="6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6"/>
                <w:szCs w:val="16"/>
              </w:rPr>
              <w:t xml:space="preserve">B</w:t>
            </w:r>
          </w:p>
        </w:tc>
        <w:tc>
          <w:tcPr>
            <w:tcW w:type="dxa" w:w="32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6"/>
                <w:szCs w:val="16"/>
              </w:rPr>
              <w:t xml:space="preserve">M2 Anti-FOMO entry filter</w:t>
            </w:r>
          </w:p>
        </w:tc>
        <w:tc>
          <w:tcPr>
            <w:tcW w:type="dxa" w:w="9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6"/>
                <w:szCs w:val="16"/>
              </w:rPr>
              <w:t xml:space="preserve">-0.37</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6"/>
                <w:szCs w:val="16"/>
              </w:rPr>
              <w:t xml:space="preserve">-0.26</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6"/>
                <w:szCs w:val="16"/>
              </w:rPr>
              <w:t xml:space="preserve">5.5%</w:t>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6"/>
                <w:szCs w:val="16"/>
              </w:rPr>
              <w:t xml:space="preserve">-8.9%</w:t>
            </w:r>
          </w:p>
        </w:tc>
        <w:tc>
          <w:tcPr>
            <w:tcW w:type="dxa" w:w="97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6"/>
                <w:szCs w:val="16"/>
              </w:rPr>
              <w:t xml:space="preserve">129</w:t>
            </w:r>
          </w:p>
        </w:tc>
      </w:tr>
      <w:tr>
        <w:trPr>
          <w:cantSplit/>
        </w:trPr>
        <w:tc>
          <w:tcPr>
            <w:tcW w:type="dxa" w:w="6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color w:val="000000"/>
                <w:sz w:val="16"/>
                <w:szCs w:val="16"/>
              </w:rPr>
              <w:t xml:space="preserve">B</w:t>
            </w:r>
          </w:p>
        </w:tc>
        <w:tc>
          <w:tcPr>
            <w:tcW w:type="dxa" w:w="32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6"/>
                <w:szCs w:val="16"/>
              </w:rPr>
              <w:t xml:space="preserve">M3 Independent volume confirmation</w:t>
            </w:r>
          </w:p>
        </w:tc>
        <w:tc>
          <w:tcPr>
            <w:tcW w:type="dxa" w:w="9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6"/>
                <w:szCs w:val="16"/>
              </w:rPr>
              <w:t xml:space="preserve">0.03</w:t>
            </w:r>
          </w:p>
        </w:tc>
        <w:tc>
          <w:tcPr>
            <w:tcW w:type="dxa" w:w="10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6"/>
                <w:szCs w:val="16"/>
              </w:rPr>
              <w:t xml:space="preserve">-0.88</w:t>
            </w:r>
          </w:p>
        </w:tc>
        <w:tc>
          <w:tcPr>
            <w:tcW w:type="dxa" w:w="10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6"/>
                <w:szCs w:val="16"/>
              </w:rPr>
              <w:t xml:space="preserve">2.7%</w:t>
            </w:r>
          </w:p>
        </w:tc>
        <w:tc>
          <w:tcPr>
            <w:tcW w:type="dxa" w:w="12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6"/>
                <w:szCs w:val="16"/>
              </w:rPr>
              <w:t xml:space="preserve">-16.0%</w:t>
            </w:r>
          </w:p>
        </w:tc>
        <w:tc>
          <w:tcPr>
            <w:tcW w:type="dxa" w:w="976"/>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6"/>
                <w:szCs w:val="16"/>
              </w:rPr>
              <w:t xml:space="preserve">270</w:t>
            </w:r>
          </w:p>
        </w:tc>
      </w:tr>
      <w:tr>
        <w:trPr>
          <w:cantSplit/>
        </w:trPr>
        <w:tc>
          <w:tcPr>
            <w:tcW w:type="dxa" w:w="6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6"/>
                <w:szCs w:val="16"/>
              </w:rPr>
              <w:t xml:space="preserve">B</w:t>
            </w:r>
          </w:p>
        </w:tc>
        <w:tc>
          <w:tcPr>
            <w:tcW w:type="dxa" w:w="32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6"/>
                <w:szCs w:val="16"/>
              </w:rPr>
              <w:t xml:space="preserve">M4 ATR stop + volume confirmation</w:t>
            </w:r>
          </w:p>
        </w:tc>
        <w:tc>
          <w:tcPr>
            <w:tcW w:type="dxa" w:w="9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6"/>
                <w:szCs w:val="16"/>
              </w:rPr>
              <w:t xml:space="preserve">0.10</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6"/>
                <w:szCs w:val="16"/>
              </w:rPr>
              <w:t xml:space="preserve">-0.69</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6"/>
                <w:szCs w:val="16"/>
              </w:rPr>
              <w:t xml:space="preserve">3.6%</w:t>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6"/>
                <w:szCs w:val="16"/>
              </w:rPr>
              <w:t xml:space="preserve">-11.9%</w:t>
            </w:r>
          </w:p>
        </w:tc>
        <w:tc>
          <w:tcPr>
            <w:tcW w:type="dxa" w:w="97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6"/>
                <w:szCs w:val="16"/>
              </w:rPr>
              <w:t xml:space="preserve">276</w:t>
            </w:r>
          </w:p>
        </w:tc>
      </w:tr>
      <w:tr>
        <w:trPr>
          <w:cantSplit/>
        </w:trPr>
        <w:tc>
          <w:tcPr>
            <w:tcW w:type="dxa" w:w="6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color w:val="000000"/>
                <w:sz w:val="16"/>
                <w:szCs w:val="16"/>
              </w:rPr>
              <w:t xml:space="preserve">B</w:t>
            </w:r>
          </w:p>
        </w:tc>
        <w:tc>
          <w:tcPr>
            <w:tcW w:type="dxa" w:w="32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6"/>
                <w:szCs w:val="16"/>
              </w:rPr>
              <w:t xml:space="preserve">M5 Supertrend trailing exit</w:t>
            </w:r>
          </w:p>
        </w:tc>
        <w:tc>
          <w:tcPr>
            <w:tcW w:type="dxa" w:w="9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6"/>
                <w:szCs w:val="16"/>
              </w:rPr>
              <w:t xml:space="preserve">-0.08</w:t>
            </w:r>
          </w:p>
        </w:tc>
        <w:tc>
          <w:tcPr>
            <w:tcW w:type="dxa" w:w="10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6"/>
                <w:szCs w:val="16"/>
              </w:rPr>
              <w:t xml:space="preserve">-0.80</w:t>
            </w:r>
          </w:p>
        </w:tc>
        <w:tc>
          <w:tcPr>
            <w:tcW w:type="dxa" w:w="10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6"/>
                <w:szCs w:val="16"/>
              </w:rPr>
              <w:t xml:space="preserve">3.4%</w:t>
            </w:r>
          </w:p>
        </w:tc>
        <w:tc>
          <w:tcPr>
            <w:tcW w:type="dxa" w:w="12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6"/>
                <w:szCs w:val="16"/>
              </w:rPr>
              <w:t xml:space="preserve">-13.0%</w:t>
            </w:r>
          </w:p>
        </w:tc>
        <w:tc>
          <w:tcPr>
            <w:tcW w:type="dxa" w:w="976"/>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6"/>
                <w:szCs w:val="16"/>
              </w:rPr>
              <w:t xml:space="preserve">282</w:t>
            </w:r>
          </w:p>
        </w:tc>
      </w:tr>
      <w:tr>
        <w:trPr>
          <w:cantSplit/>
        </w:trPr>
        <w:tc>
          <w:tcPr>
            <w:tcW w:type="dxa" w:w="6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6"/>
                <w:szCs w:val="16"/>
              </w:rPr>
              <w:t xml:space="preserve">C</w:t>
            </w:r>
          </w:p>
        </w:tc>
        <w:tc>
          <w:tcPr>
            <w:tcW w:type="dxa" w:w="3200"/>
            <w:tcBorders>
              <w:top w:val="single" w:color="BFBFBF" w:sz="4"/>
              <w:left w:val="single" w:color="BFBFBF" w:sz="4"/>
              <w:bottom w:val="single" w:color="BFBFBF" w:sz="4"/>
              <w:right w:val="single" w:color="BFBFBF" w:sz="4"/>
            </w:tcBorders>
            <w:shd w:fill="FFF2CC" w:color="auto" w:val="clear"/>
            <w:tcMar>
              <w:top w:type="dxa" w:w="50"/>
              <w:left w:type="dxa" w:w="80"/>
              <w:bottom w:type="dxa" w:w="50"/>
              <w:right w:type="dxa" w:w="80"/>
            </w:tcMar>
          </w:tcPr>
          <w:p>
            <w:pPr>
              <w:jc w:val="center"/>
            </w:pPr>
            <w:r>
              <w:rPr>
                <w:rFonts w:ascii="Calibri" w:cs="Calibri" w:eastAsia="Calibri" w:hAnsi="Calibri"/>
                <w:color w:val="000000"/>
                <w:sz w:val="16"/>
                <w:szCs w:val="16"/>
              </w:rPr>
              <w:t xml:space="preserve">M0 Naive (as built)  ← chosen</w:t>
            </w:r>
          </w:p>
        </w:tc>
        <w:tc>
          <w:tcPr>
            <w:tcW w:type="dxa" w:w="9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6"/>
                <w:szCs w:val="16"/>
              </w:rPr>
              <w:t xml:space="preserve">0.44</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6"/>
                <w:szCs w:val="16"/>
              </w:rPr>
              <w:t xml:space="preserve">0.42</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6"/>
                <w:szCs w:val="16"/>
              </w:rPr>
              <w:t xml:space="preserve">8.5%</w:t>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6"/>
                <w:szCs w:val="16"/>
              </w:rPr>
              <w:t xml:space="preserve">-18.9%</w:t>
            </w:r>
          </w:p>
        </w:tc>
        <w:tc>
          <w:tcPr>
            <w:tcW w:type="dxa" w:w="97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6"/>
                <w:szCs w:val="16"/>
              </w:rPr>
              <w:t xml:space="preserve">80</w:t>
            </w:r>
          </w:p>
        </w:tc>
      </w:tr>
      <w:tr>
        <w:trPr>
          <w:cantSplit/>
        </w:trPr>
        <w:tc>
          <w:tcPr>
            <w:tcW w:type="dxa" w:w="6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color w:val="000000"/>
                <w:sz w:val="16"/>
                <w:szCs w:val="16"/>
              </w:rPr>
              <w:t xml:space="preserve">C</w:t>
            </w:r>
          </w:p>
        </w:tc>
        <w:tc>
          <w:tcPr>
            <w:tcW w:type="dxa" w:w="32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6"/>
                <w:szCs w:val="16"/>
              </w:rPr>
              <w:t xml:space="preserve">M1 Horizon-scaled ATR stop</w:t>
            </w:r>
          </w:p>
        </w:tc>
        <w:tc>
          <w:tcPr>
            <w:tcW w:type="dxa" w:w="9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6"/>
                <w:szCs w:val="16"/>
              </w:rPr>
              <w:t xml:space="preserve">0.19</w:t>
            </w:r>
          </w:p>
        </w:tc>
        <w:tc>
          <w:tcPr>
            <w:tcW w:type="dxa" w:w="10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6"/>
                <w:szCs w:val="16"/>
              </w:rPr>
              <w:t xml:space="preserve">0.00</w:t>
            </w:r>
          </w:p>
        </w:tc>
        <w:tc>
          <w:tcPr>
            <w:tcW w:type="dxa" w:w="10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6"/>
                <w:szCs w:val="16"/>
              </w:rPr>
              <w:t xml:space="preserve">6.0%</w:t>
            </w:r>
          </w:p>
        </w:tc>
        <w:tc>
          <w:tcPr>
            <w:tcW w:type="dxa" w:w="12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6"/>
                <w:szCs w:val="16"/>
              </w:rPr>
              <w:t xml:space="preserve">-17.1%</w:t>
            </w:r>
          </w:p>
        </w:tc>
        <w:tc>
          <w:tcPr>
            <w:tcW w:type="dxa" w:w="976"/>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6"/>
                <w:szCs w:val="16"/>
              </w:rPr>
              <w:t xml:space="preserve">85</w:t>
            </w:r>
          </w:p>
        </w:tc>
      </w:tr>
      <w:tr>
        <w:trPr>
          <w:cantSplit/>
        </w:trPr>
        <w:tc>
          <w:tcPr>
            <w:tcW w:type="dxa" w:w="6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6"/>
                <w:szCs w:val="16"/>
              </w:rPr>
              <w:t xml:space="preserve">C</w:t>
            </w:r>
          </w:p>
        </w:tc>
        <w:tc>
          <w:tcPr>
            <w:tcW w:type="dxa" w:w="32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6"/>
                <w:szCs w:val="16"/>
              </w:rPr>
              <w:t xml:space="preserve">M2 Anti-FOMO entry filter</w:t>
            </w:r>
          </w:p>
        </w:tc>
        <w:tc>
          <w:tcPr>
            <w:tcW w:type="dxa" w:w="9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6"/>
                <w:szCs w:val="16"/>
              </w:rPr>
              <w:t xml:space="preserve">0.37</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6"/>
                <w:szCs w:val="16"/>
              </w:rPr>
              <w:t xml:space="preserve">0.63</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6"/>
                <w:szCs w:val="16"/>
              </w:rPr>
              <w:t xml:space="preserve">9.0%</w:t>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6"/>
                <w:szCs w:val="16"/>
              </w:rPr>
              <w:t xml:space="preserve">-14.8%</w:t>
            </w:r>
          </w:p>
        </w:tc>
        <w:tc>
          <w:tcPr>
            <w:tcW w:type="dxa" w:w="97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6"/>
                <w:szCs w:val="16"/>
              </w:rPr>
              <w:t xml:space="preserve">61</w:t>
            </w:r>
          </w:p>
        </w:tc>
      </w:tr>
      <w:tr>
        <w:trPr>
          <w:cantSplit/>
        </w:trPr>
        <w:tc>
          <w:tcPr>
            <w:tcW w:type="dxa" w:w="6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color w:val="000000"/>
                <w:sz w:val="16"/>
                <w:szCs w:val="16"/>
              </w:rPr>
              <w:t xml:space="preserve">C</w:t>
            </w:r>
          </w:p>
        </w:tc>
        <w:tc>
          <w:tcPr>
            <w:tcW w:type="dxa" w:w="32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6"/>
                <w:szCs w:val="16"/>
              </w:rPr>
              <w:t xml:space="preserve">M3 Independent volume confirmation</w:t>
            </w:r>
          </w:p>
        </w:tc>
        <w:tc>
          <w:tcPr>
            <w:tcW w:type="dxa" w:w="9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6"/>
                <w:szCs w:val="16"/>
              </w:rPr>
              <w:t xml:space="preserve">0.41</w:t>
            </w:r>
          </w:p>
        </w:tc>
        <w:tc>
          <w:tcPr>
            <w:tcW w:type="dxa" w:w="10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6"/>
                <w:szCs w:val="16"/>
              </w:rPr>
              <w:t xml:space="preserve">0.33</w:t>
            </w:r>
          </w:p>
        </w:tc>
        <w:tc>
          <w:tcPr>
            <w:tcW w:type="dxa" w:w="10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6"/>
                <w:szCs w:val="16"/>
              </w:rPr>
              <w:t xml:space="preserve">7.8%</w:t>
            </w:r>
          </w:p>
        </w:tc>
        <w:tc>
          <w:tcPr>
            <w:tcW w:type="dxa" w:w="12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6"/>
                <w:szCs w:val="16"/>
              </w:rPr>
              <w:t xml:space="preserve">-18.9%</w:t>
            </w:r>
          </w:p>
        </w:tc>
        <w:tc>
          <w:tcPr>
            <w:tcW w:type="dxa" w:w="976"/>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6"/>
                <w:szCs w:val="16"/>
              </w:rPr>
              <w:t xml:space="preserve">73</w:t>
            </w:r>
          </w:p>
        </w:tc>
      </w:tr>
      <w:tr>
        <w:trPr>
          <w:cantSplit/>
        </w:trPr>
        <w:tc>
          <w:tcPr>
            <w:tcW w:type="dxa" w:w="6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6"/>
                <w:szCs w:val="16"/>
              </w:rPr>
              <w:t xml:space="preserve">C</w:t>
            </w:r>
          </w:p>
        </w:tc>
        <w:tc>
          <w:tcPr>
            <w:tcW w:type="dxa" w:w="32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6"/>
                <w:szCs w:val="16"/>
              </w:rPr>
              <w:t xml:space="preserve">M4 ATR stop + volume confirmation</w:t>
            </w:r>
          </w:p>
        </w:tc>
        <w:tc>
          <w:tcPr>
            <w:tcW w:type="dxa" w:w="9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6"/>
                <w:szCs w:val="16"/>
              </w:rPr>
              <w:t xml:space="preserve">0.10</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6"/>
                <w:szCs w:val="16"/>
              </w:rPr>
              <w:t xml:space="preserve">-0.13</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6"/>
                <w:szCs w:val="16"/>
              </w:rPr>
              <w:t xml:space="preserve">5.4%</w:t>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6"/>
                <w:szCs w:val="16"/>
              </w:rPr>
              <w:t xml:space="preserve">-17.1%</w:t>
            </w:r>
          </w:p>
        </w:tc>
        <w:tc>
          <w:tcPr>
            <w:tcW w:type="dxa" w:w="97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6"/>
                <w:szCs w:val="16"/>
              </w:rPr>
              <w:t xml:space="preserve">77</w:t>
            </w:r>
          </w:p>
        </w:tc>
      </w:tr>
      <w:tr>
        <w:trPr>
          <w:cantSplit/>
        </w:trPr>
        <w:tc>
          <w:tcPr>
            <w:tcW w:type="dxa" w:w="6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color w:val="000000"/>
                <w:sz w:val="16"/>
                <w:szCs w:val="16"/>
              </w:rPr>
              <w:t xml:space="preserve">C</w:t>
            </w:r>
          </w:p>
        </w:tc>
        <w:tc>
          <w:tcPr>
            <w:tcW w:type="dxa" w:w="32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6"/>
                <w:szCs w:val="16"/>
              </w:rPr>
              <w:t xml:space="preserve">M5 Supertrend trailing exit</w:t>
            </w:r>
          </w:p>
        </w:tc>
        <w:tc>
          <w:tcPr>
            <w:tcW w:type="dxa" w:w="9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6"/>
                <w:szCs w:val="16"/>
              </w:rPr>
              <w:t xml:space="preserve">0.13</w:t>
            </w:r>
          </w:p>
        </w:tc>
        <w:tc>
          <w:tcPr>
            <w:tcW w:type="dxa" w:w="10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6"/>
                <w:szCs w:val="16"/>
              </w:rPr>
              <w:t xml:space="preserve">0.33</w:t>
            </w:r>
          </w:p>
        </w:tc>
        <w:tc>
          <w:tcPr>
            <w:tcW w:type="dxa" w:w="10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6"/>
                <w:szCs w:val="16"/>
              </w:rPr>
              <w:t xml:space="preserve">7.3%</w:t>
            </w:r>
          </w:p>
        </w:tc>
        <w:tc>
          <w:tcPr>
            <w:tcW w:type="dxa" w:w="12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6"/>
                <w:szCs w:val="16"/>
              </w:rPr>
              <w:t xml:space="preserve">-10.3%</w:t>
            </w:r>
          </w:p>
        </w:tc>
        <w:tc>
          <w:tcPr>
            <w:tcW w:type="dxa" w:w="976"/>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6"/>
                <w:szCs w:val="16"/>
              </w:rPr>
              <w:t xml:space="preserve">108</w:t>
            </w:r>
          </w:p>
        </w:tc>
      </w:tr>
    </w:tbl>
    <w:p>
      <w:pPr>
        <w:spacing w:after="120" w:before="80" w:line="276"/>
        <w:jc w:val="both"/>
      </w:pPr>
      <w:r>
        <w:rPr>
          <w:rFonts w:ascii="Calibri" w:cs="Calibri" w:eastAsia="Calibri" w:hAnsi="Calibri"/>
          <w:i/>
          <w:iCs/>
          <w:color w:val="595959"/>
          <w:sz w:val="17"/>
          <w:szCs w:val="17"/>
        </w:rPr>
        <w:t xml:space="preserve">Notes: M2 is identical to M0 for Strategy A because A buys oversold dips, which are never 'extended'; M3 is identical to M0 for Strategy B because B already requires OBV confirmation. OOS CAGR includes interest on idle cash.</w:t>
      </w:r>
    </w:p>
    <w:p>
      <w:pPr>
        <w:keepNext/>
        <w:spacing w:after="60" w:before="120"/>
        <w:jc w:val="center"/>
      </w:pPr>
      <w:r>
        <w:drawing>
          <wp:inline distT="0" distB="0" distL="0" distR="0">
            <wp:extent cx="5760720" cy="217451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760720" cy="2174518"/>
                    </a:xfrm>
                    <a:prstGeom prst="rect">
                      <a:avLst/>
                    </a:prstGeom>
                  </pic:spPr>
                </pic:pic>
              </a:graphicData>
            </a:graphic>
          </wp:inline>
        </w:drawing>
      </w:r>
    </w:p>
    <w:p>
      <w:pPr>
        <w:spacing w:after="200"/>
        <w:jc w:val="left"/>
      </w:pPr>
      <w:r>
        <w:rPr>
          <w:rFonts w:ascii="Calibri" w:cs="Calibri" w:eastAsia="Calibri" w:hAnsi="Calibri"/>
          <w:i/>
          <w:iCs/>
          <w:color w:val="595959"/>
          <w:sz w:val="17"/>
          <w:szCs w:val="17"/>
        </w:rPr>
        <w:t xml:space="preserve">Exhibit 30. Each strategy's chosen rule (bold) against the other candidates (grey); the dashed line marks the start of the out-of-sample period.</w:t>
      </w:r>
    </w:p>
    <w:p>
      <w:pPr>
        <w:spacing w:after="120" w:before="0" w:line="276"/>
        <w:jc w:val="both"/>
      </w:pPr>
      <w:r>
        <w:rPr>
          <w:rFonts w:ascii="Calibri" w:cs="Calibri" w:eastAsia="Calibri" w:hAnsi="Calibri"/>
          <w:b/>
          <w:bCs/>
          <w:sz w:val="21"/>
          <w:szCs w:val="21"/>
        </w:rPr>
        <w:t xml:space="preserve">What the test shows. </w:t>
      </w:r>
      <w:r>
        <w:rPr>
          <w:rFonts w:ascii="Calibri" w:cs="Calibri" w:eastAsia="Calibri" w:hAnsi="Calibri"/>
          <w:sz w:val="21"/>
          <w:szCs w:val="21"/>
        </w:rPr>
        <w:t xml:space="preserve">For Strategy B the in-sample choice was the ATR stop; out-of-sample it narrowed the loss (Sharpe -0.88 to -0.69; average per-stock drawdown -16.0% to -11.9%) but B remained well below the cash hurdle. For Strategies A and C no overlay beat the original rule in-sample, so the disciplined choice was to add nothing. The Supertrend trailing exit (M5) was worse than the original rule in-sample for all three strategies and was rejected; out-of-sample it would also have lowered Strategy C's Sharpe (0.42 to 0.33). Two lessons follow. First, "more rules" is not "less bias": the volume confirmation that looked attractive in Table 5.1 cut Strategy A's trades by three-quarters, and stops on the 60-day strategy reduced its returns in both periods. Second, hindsight is tempting: the anti-FOMO filter (M2) would have been the best choice for Strategy C out-of-sample (Sharpe 0.63), but nothing in the 2015–21 data justified choosing it; switching to it now would be recency bias in action.</w:t>
      </w:r>
    </w:p>
    <w:p>
      <w:pPr>
        <w:pStyle w:val="Heading2"/>
        <w:keepNext/>
        <w:spacing w:after="120" w:before="240"/>
      </w:pPr>
      <w:r>
        <w:rPr>
          <w:rFonts w:ascii="Calibri" w:cs="Calibri" w:eastAsia="Calibri" w:hAnsi="Calibri"/>
          <w:b/>
          <w:bCs/>
          <w:color w:val="1F4E79"/>
          <w:sz w:val="26"/>
          <w:szCs w:val="26"/>
        </w:rPr>
        <w:t xml:space="preserve">6.3 The out-of-sample verdict: subtraction beats addition</w:t>
      </w:r>
    </w:p>
    <w:p>
      <w:pPr>
        <w:spacing w:after="120" w:before="0" w:line="276"/>
        <w:jc w:val="both"/>
      </w:pPr>
      <w:r>
        <w:rPr>
          <w:rFonts w:ascii="Calibri" w:cs="Calibri" w:eastAsia="Calibri" w:hAnsi="Calibri"/>
          <w:sz w:val="21"/>
          <w:szCs w:val="21"/>
        </w:rPr>
        <w:t xml:space="preserve">Rules chosen on 2015–21 can only be judged fairly on 2022–26; a full-period figure mixes the period used for the choice with the period used to judge it. Exhibit 31 and Table 6.3 therefore report the out-of-sample period alone.</w:t>
      </w:r>
    </w:p>
    <w:p>
      <w:pPr>
        <w:keepNext/>
        <w:spacing w:after="60" w:before="120"/>
        <w:jc w:val="center"/>
      </w:pPr>
      <w:r>
        <w:drawing>
          <wp:inline distT="0" distB="0" distL="0" distR="0">
            <wp:extent cx="5760720" cy="185775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760720" cy="1857759"/>
                    </a:xfrm>
                    <a:prstGeom prst="rect">
                      <a:avLst/>
                    </a:prstGeom>
                  </pic:spPr>
                </pic:pic>
              </a:graphicData>
            </a:graphic>
          </wp:inline>
        </w:drawing>
      </w:r>
    </w:p>
    <w:p>
      <w:pPr>
        <w:spacing w:after="200"/>
        <w:jc w:val="left"/>
      </w:pPr>
      <w:r>
        <w:rPr>
          <w:rFonts w:ascii="Calibri" w:cs="Calibri" w:eastAsia="Calibri" w:hAnsi="Calibri"/>
          <w:i/>
          <w:iCs/>
          <w:color w:val="595959"/>
          <w:sz w:val="17"/>
          <w:szCs w:val="17"/>
        </w:rPr>
        <w:t xml:space="preserve">Exhibit 31. Out-of-sample only (Jan 2022 – Sep 2026): Strategy C alone, the 21-sleeve portfolios and equal-weighted buy-and-hold, each rebased to 1.</w:t>
      </w:r>
    </w:p>
    <w:p>
      <w:pPr>
        <w:keepNext/>
        <w:spacing w:after="80" w:before="160"/>
      </w:pPr>
      <w:r>
        <w:rPr>
          <w:rFonts w:ascii="Calibri" w:cs="Calibri" w:eastAsia="Calibri" w:hAnsi="Calibri"/>
          <w:b/>
          <w:bCs/>
          <w:color w:val="2E2E2E"/>
          <w:sz w:val="19"/>
          <w:szCs w:val="19"/>
        </w:rPr>
        <w:t xml:space="preserve">Table 6.3 Out-of-sample results, Jan 2022 – Sep 2026 (excess Sharpe ± one standard error)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1700"/>
        <w:gridCol w:w="1400"/>
        <w:gridCol w:w="1726"/>
      </w:tblGrid>
      <w:tr>
        <w:trPr>
          <w:cantSplit/>
          <w:tblHeader/>
        </w:trPr>
        <w:tc>
          <w:tcPr>
            <w:tcW w:type="dxa" w:w="42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tcPr>
          <w:p>
            <w:pPr>
              <w:jc w:val="left"/>
            </w:pPr>
            <w:r>
              <w:rPr>
                <w:rFonts w:ascii="Calibri" w:cs="Calibri" w:eastAsia="Calibri" w:hAnsi="Calibri"/>
                <w:b/>
                <w:bCs/>
                <w:color w:val="FFFFFF"/>
                <w:sz w:val="17"/>
                <w:szCs w:val="17"/>
              </w:rPr>
              <w:t xml:space="preserve">Portfolio</w:t>
            </w:r>
          </w:p>
        </w:tc>
        <w:tc>
          <w:tcPr>
            <w:tcW w:type="dxa" w:w="17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tcPr>
          <w:p>
            <w:pPr>
              <w:jc w:val="center"/>
            </w:pPr>
            <w:r>
              <w:rPr>
                <w:rFonts w:ascii="Calibri" w:cs="Calibri" w:eastAsia="Calibri" w:hAnsi="Calibri"/>
                <w:b/>
                <w:bCs/>
                <w:color w:val="FFFFFF"/>
                <w:sz w:val="17"/>
                <w:szCs w:val="17"/>
              </w:rPr>
              <w:t xml:space="preserve">Sharpe ± SE</w:t>
            </w:r>
          </w:p>
        </w:tc>
        <w:tc>
          <w:tcPr>
            <w:tcW w:type="dxa" w:w="14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tcPr>
          <w:p>
            <w:pPr>
              <w:jc w:val="center"/>
            </w:pPr>
            <w:r>
              <w:rPr>
                <w:rFonts w:ascii="Calibri" w:cs="Calibri" w:eastAsia="Calibri" w:hAnsi="Calibri"/>
                <w:b/>
                <w:bCs/>
                <w:color w:val="FFFFFF"/>
                <w:sz w:val="17"/>
                <w:szCs w:val="17"/>
              </w:rPr>
              <w:t xml:space="preserve">CAGR</w:t>
            </w:r>
          </w:p>
        </w:tc>
        <w:tc>
          <w:tcPr>
            <w:tcW w:type="dxa" w:w="1726"/>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tcPr>
          <w:p>
            <w:pPr>
              <w:jc w:val="center"/>
            </w:pPr>
            <w:r>
              <w:rPr>
                <w:rFonts w:ascii="Calibri" w:cs="Calibri" w:eastAsia="Calibri" w:hAnsi="Calibri"/>
                <w:b/>
                <w:bCs/>
                <w:color w:val="FFFFFF"/>
                <w:sz w:val="17"/>
                <w:szCs w:val="17"/>
              </w:rPr>
              <w:t xml:space="preserve">Max drawdown</w:t>
            </w:r>
          </w:p>
        </w:tc>
      </w:tr>
      <w:tr>
        <w:trPr>
          <w:cantSplit/>
        </w:trPr>
        <w:tc>
          <w:tcPr>
            <w:tcW w:type="dxa" w:w="4200"/>
            <w:tcBorders>
              <w:top w:val="single" w:color="BFBFBF" w:sz="4"/>
              <w:left w:val="single" w:color="BFBFBF" w:sz="4"/>
              <w:bottom w:val="single" w:color="BFBFBF" w:sz="4"/>
              <w:right w:val="single" w:color="BFBFBF" w:sz="4"/>
            </w:tcBorders>
            <w:shd w:fill="E2EFDA" w:color="auto" w:val="clear"/>
            <w:tcMar>
              <w:top w:type="dxa" w:w="50"/>
              <w:left w:type="dxa" w:w="80"/>
              <w:bottom w:type="dxa" w:w="50"/>
              <w:right w:type="dxa" w:w="80"/>
            </w:tcMar>
          </w:tcPr>
          <w:p>
            <w:pPr>
              <w:jc w:val="left"/>
            </w:pPr>
            <w:r>
              <w:rPr>
                <w:rFonts w:ascii="Calibri" w:cs="Calibri" w:eastAsia="Calibri" w:hAnsi="Calibri"/>
                <w:color w:val="000000"/>
                <w:sz w:val="17"/>
                <w:szCs w:val="17"/>
              </w:rPr>
              <w:t xml:space="preserve">Strategy C alone (pre-registered, no overlay)</w:t>
            </w:r>
          </w:p>
        </w:tc>
        <w:tc>
          <w:tcPr>
            <w:tcW w:type="dxa" w:w="1700"/>
            <w:tcBorders>
              <w:top w:val="single" w:color="BFBFBF" w:sz="4"/>
              <w:left w:val="single" w:color="BFBFBF" w:sz="4"/>
              <w:bottom w:val="single" w:color="BFBFBF" w:sz="4"/>
              <w:right w:val="single" w:color="BFBFBF" w:sz="4"/>
            </w:tcBorders>
            <w:shd w:fill="E2EFDA"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0.42 ± 0.48</w:t>
            </w:r>
          </w:p>
        </w:tc>
        <w:tc>
          <w:tcPr>
            <w:tcW w:type="dxa" w:w="1400"/>
            <w:tcBorders>
              <w:top w:val="single" w:color="BFBFBF" w:sz="4"/>
              <w:left w:val="single" w:color="BFBFBF" w:sz="4"/>
              <w:bottom w:val="single" w:color="BFBFBF" w:sz="4"/>
              <w:right w:val="single" w:color="BFBFBF" w:sz="4"/>
            </w:tcBorders>
            <w:shd w:fill="E2EFDA"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8.5%</w:t>
            </w:r>
          </w:p>
        </w:tc>
        <w:tc>
          <w:tcPr>
            <w:tcW w:type="dxa" w:w="1726"/>
            <w:tcBorders>
              <w:top w:val="single" w:color="BFBFBF" w:sz="4"/>
              <w:left w:val="single" w:color="BFBFBF" w:sz="4"/>
              <w:bottom w:val="single" w:color="BFBFBF" w:sz="4"/>
              <w:right w:val="single" w:color="BFBFBF" w:sz="4"/>
            </w:tcBorders>
            <w:shd w:fill="E2EFDA"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-7.0%</w:t>
            </w:r>
          </w:p>
        </w:tc>
      </w:tr>
      <w:tr>
        <w:trPr>
          <w:cantSplit/>
        </w:trPr>
        <w:tc>
          <w:tcPr>
            <w:tcW w:type="dxa" w:w="42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color w:val="000000"/>
                <w:sz w:val="17"/>
                <w:szCs w:val="17"/>
              </w:rPr>
              <w:t xml:space="preserve">Buy-and-hold, equal-weighted 7 stocks</w:t>
            </w:r>
          </w:p>
        </w:tc>
        <w:tc>
          <w:tcPr>
            <w:tcW w:type="dxa" w:w="17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0.14 ± 0.46</w:t>
            </w:r>
          </w:p>
        </w:tc>
        <w:tc>
          <w:tcPr>
            <w:tcW w:type="dxa" w:w="14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7.1%</w:t>
            </w:r>
          </w:p>
        </w:tc>
        <w:tc>
          <w:tcPr>
            <w:tcW w:type="dxa" w:w="1726"/>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-19.3%</w:t>
            </w:r>
          </w:p>
        </w:tc>
      </w:tr>
      <w:tr>
        <w:trPr>
          <w:cantSplit/>
        </w:trPr>
        <w:tc>
          <w:tcPr>
            <w:tcW w:type="dxa" w:w="42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21 sleeves (A + B + C), disciplined</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-0.16 ± 0.46</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5.5%</w:t>
            </w:r>
          </w:p>
        </w:tc>
        <w:tc>
          <w:tcPr>
            <w:tcW w:type="dxa" w:w="17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-3.9%</w:t>
            </w:r>
          </w:p>
        </w:tc>
      </w:tr>
      <w:tr>
        <w:trPr>
          <w:cantSplit/>
        </w:trPr>
        <w:tc>
          <w:tcPr>
            <w:tcW w:type="dxa" w:w="42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color w:val="000000"/>
                <w:sz w:val="17"/>
                <w:szCs w:val="17"/>
              </w:rPr>
              <w:t xml:space="preserve">21 sleeves (A + B + C), naive</w:t>
            </w:r>
          </w:p>
        </w:tc>
        <w:tc>
          <w:tcPr>
            <w:tcW w:type="dxa" w:w="17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-0.24 ± 0.47</w:t>
            </w:r>
          </w:p>
        </w:tc>
        <w:tc>
          <w:tcPr>
            <w:tcW w:type="dxa" w:w="14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5.3%</w:t>
            </w:r>
          </w:p>
        </w:tc>
        <w:tc>
          <w:tcPr>
            <w:tcW w:type="dxa" w:w="1726"/>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-4.3%</w:t>
            </w:r>
          </w:p>
        </w:tc>
      </w:tr>
    </w:tbl>
    <w:p>
      <w:pPr>
        <w:spacing w:after="120" w:before="120" w:line="276"/>
        <w:jc w:val="both"/>
      </w:pPr>
      <w:r>
        <w:rPr>
          <w:rFonts w:ascii="Calibri" w:cs="Calibri" w:eastAsia="Calibri" w:hAnsi="Calibri"/>
          <w:sz w:val="21"/>
          <w:szCs w:val="21"/>
        </w:rPr>
        <w:t xml:space="preserve">Strategy C, specified in advance and never re-tuned, beat buy-and-hold on unseen data on every measure: Sharpe 0.42 against 0.14, return 8.5% against 7.1%, and a maximum drawdown of -7.0% against -19.3%. We do not claim this proves skill: with 4.7 years of data the standard error of each Sharpe ratio is about ±0.5, so the difference is within sampling noise. Combining all 21 sleeves, by contrast, lowered the out-of-sample Sharpe to -0.16, because Strategies A and B lost money relative to cash after 2021. Diversification across rules helps only when each rule clears the hurdle on its own; the decisive de-biasing step here was to drop A and B, which is the hardest step behaviourally because it means admitting that two of three strategies we built do not work.</w:t>
      </w:r>
    </w:p>
    <w:p>
      <w:pPr>
        <w:pStyle w:val="Heading2"/>
        <w:keepNext/>
        <w:spacing w:after="120" w:before="240"/>
      </w:pPr>
      <w:r>
        <w:rPr>
          <w:rFonts w:ascii="Calibri" w:cs="Calibri" w:eastAsia="Calibri" w:hAnsi="Calibri"/>
          <w:b/>
          <w:bCs/>
          <w:color w:val="1F4E79"/>
          <w:sz w:val="26"/>
          <w:szCs w:val="26"/>
        </w:rPr>
        <w:t xml:space="preserve">6.4 A pre-trade checklist enforced in code</w:t>
      </w:r>
    </w:p>
    <w:p>
      <w:pPr>
        <w:spacing w:after="120" w:before="0" w:line="276"/>
        <w:jc w:val="both"/>
      </w:pPr>
      <w:r>
        <w:rPr>
          <w:rFonts w:ascii="Calibri" w:cs="Calibri" w:eastAsia="Calibri" w:hAnsi="Calibri"/>
          <w:sz w:val="21"/>
          <w:szCs w:val="21"/>
        </w:rPr>
        <w:t xml:space="preserve">The disciplined strategy draws a red ✕ wherever a base signal was vetoed by an active filter and a scorecard showing in-sample and out-of-sample results side by side, so the user sees both what the rules refused to do and whether the edge is surviving. Together with the Bias Lab, it turns the checklist below from good intentions into chart objects:</w:t>
      </w:r>
    </w:p>
    <w:p>
      <w:pPr>
        <w:pStyle w:val="ListParagraph"/>
        <w:numPr>
          <w:ilvl w:val="0"/>
          <w:numId w:val="2"/>
        </w:numPr>
        <w:spacing w:after="60" w:line="264"/>
        <w:jc w:val="left"/>
      </w:pPr>
      <w:r>
        <w:rPr>
          <w:rFonts w:ascii="Calibri" w:cs="Calibri" w:eastAsia="Calibri" w:hAnsi="Calibri"/>
          <w:b/>
          <w:bCs/>
          <w:sz w:val="21"/>
          <w:szCs w:val="21"/>
        </w:rPr>
        <w:t xml:space="preserve">Hurdle: </w:t>
      </w:r>
      <w:r>
        <w:rPr>
          <w:rFonts w:ascii="Calibri" w:cs="Calibri" w:eastAsia="Calibri" w:hAnsi="Calibri"/>
          <w:sz w:val="21"/>
          <w:szCs w:val="21"/>
        </w:rPr>
        <w:t xml:space="preserve">does the rule beat Treasury bills after realistic costs (0.15% a side, not the brokerage headline of zero)? If not, it is not traded.</w:t>
      </w:r>
    </w:p>
    <w:p>
      <w:pPr>
        <w:pStyle w:val="ListParagraph"/>
        <w:numPr>
          <w:ilvl w:val="0"/>
          <w:numId w:val="2"/>
        </w:numPr>
        <w:spacing w:after="60" w:line="264"/>
        <w:jc w:val="left"/>
      </w:pPr>
      <w:r>
        <w:rPr>
          <w:rFonts w:ascii="Calibri" w:cs="Calibri" w:eastAsia="Calibri" w:hAnsi="Calibri"/>
          <w:b/>
          <w:bCs/>
          <w:sz w:val="21"/>
          <w:szCs w:val="21"/>
        </w:rPr>
        <w:t xml:space="preserve">Before the trade: </w:t>
      </w:r>
      <w:r>
        <w:rPr>
          <w:rFonts w:ascii="Calibri" w:cs="Calibri" w:eastAsia="Calibri" w:hAnsi="Calibri"/>
          <w:sz w:val="21"/>
          <w:szCs w:val="21"/>
        </w:rPr>
        <w:t xml:space="preserve">is there a signal from the pre-registered rule, generated on this bar (not five bars ago)? Is the confirmation from independent information?</w:t>
      </w:r>
    </w:p>
    <w:p>
      <w:pPr>
        <w:pStyle w:val="ListParagraph"/>
        <w:numPr>
          <w:ilvl w:val="0"/>
          <w:numId w:val="2"/>
        </w:numPr>
        <w:spacing w:after="60" w:line="264"/>
        <w:jc w:val="left"/>
      </w:pPr>
      <w:r>
        <w:rPr>
          <w:rFonts w:ascii="Calibri" w:cs="Calibri" w:eastAsia="Calibri" w:hAnsi="Calibri"/>
          <w:b/>
          <w:bCs/>
          <w:sz w:val="21"/>
          <w:szCs w:val="21"/>
        </w:rPr>
        <w:t xml:space="preserve">Sizing: </w:t>
      </w:r>
      <w:r>
        <w:rPr>
          <w:rFonts w:ascii="Calibri" w:cs="Calibri" w:eastAsia="Calibri" w:hAnsi="Calibri"/>
          <w:sz w:val="21"/>
          <w:szCs w:val="21"/>
        </w:rPr>
        <w:t xml:space="preserve">is the position sized by the rule, regardless of the last few results?</w:t>
      </w:r>
    </w:p>
    <w:p>
      <w:pPr>
        <w:pStyle w:val="ListParagraph"/>
        <w:numPr>
          <w:ilvl w:val="0"/>
          <w:numId w:val="2"/>
        </w:numPr>
        <w:spacing w:after="60" w:line="264"/>
        <w:jc w:val="left"/>
      </w:pPr>
      <w:r>
        <w:rPr>
          <w:rFonts w:ascii="Calibri" w:cs="Calibri" w:eastAsia="Calibri" w:hAnsi="Calibri"/>
          <w:b/>
          <w:bCs/>
          <w:sz w:val="21"/>
          <w:szCs w:val="21"/>
        </w:rPr>
        <w:t xml:space="preserve">Exit: </w:t>
      </w:r>
      <w:r>
        <w:rPr>
          <w:rFonts w:ascii="Calibri" w:cs="Calibri" w:eastAsia="Calibri" w:hAnsi="Calibri"/>
          <w:sz w:val="21"/>
          <w:szCs w:val="21"/>
        </w:rPr>
        <w:t xml:space="preserve">is the exit fixed in advance (time and/or ATR stop), with no reference to the entry price?</w:t>
      </w:r>
    </w:p>
    <w:p>
      <w:pPr>
        <w:pStyle w:val="ListParagraph"/>
        <w:numPr>
          <w:ilvl w:val="0"/>
          <w:numId w:val="2"/>
        </w:numPr>
        <w:spacing w:after="60" w:line="264"/>
        <w:jc w:val="left"/>
      </w:pPr>
      <w:r>
        <w:rPr>
          <w:rFonts w:ascii="Calibri" w:cs="Calibri" w:eastAsia="Calibri" w:hAnsi="Calibri"/>
          <w:b/>
          <w:bCs/>
          <w:sz w:val="21"/>
          <w:szCs w:val="21"/>
        </w:rPr>
        <w:t xml:space="preserve">Review: </w:t>
      </w:r>
      <w:r>
        <w:rPr>
          <w:rFonts w:ascii="Calibri" w:cs="Calibri" w:eastAsia="Calibri" w:hAnsi="Calibri"/>
          <w:sz w:val="21"/>
          <w:szCs w:val="21"/>
        </w:rPr>
        <w:t xml:space="preserve">are all trades reviewed, including losers and missed signals, and is the out-of-sample record compared with the in-sample record before any rule is changed?</w:t>
      </w:r>
    </w:p>
    <w:p>
      <w:pPr>
        <w:pStyle w:val="ListParagraph"/>
        <w:numPr>
          <w:ilvl w:val="0"/>
          <w:numId w:val="2"/>
        </w:numPr>
        <w:spacing w:after="60" w:line="264"/>
        <w:jc w:val="left"/>
      </w:pPr>
      <w:r>
        <w:rPr>
          <w:rFonts w:ascii="Calibri" w:cs="Calibri" w:eastAsia="Calibri" w:hAnsi="Calibri"/>
          <w:b/>
          <w:bCs/>
          <w:sz w:val="21"/>
          <w:szCs w:val="21"/>
        </w:rPr>
        <w:t xml:space="preserve">Change control: </w:t>
      </w:r>
      <w:r>
        <w:rPr>
          <w:rFonts w:ascii="Calibri" w:cs="Calibri" w:eastAsia="Calibri" w:hAnsi="Calibri"/>
          <w:sz w:val="21"/>
          <w:szCs w:val="21"/>
        </w:rPr>
        <w:t xml:space="preserve">is any rule change tested on data it was not designed on, and adopted only if it improves out-of-sample results?</w:t>
      </w:r>
    </w:p>
    <w:p>
      <w:pPr>
        <w:pStyle w:val="Heading2"/>
        <w:keepNext/>
        <w:spacing w:after="120" w:before="240"/>
      </w:pPr>
      <w:r>
        <w:rPr>
          <w:rFonts w:ascii="Calibri" w:cs="Calibri" w:eastAsia="Calibri" w:hAnsi="Calibri"/>
          <w:b/>
          <w:bCs/>
          <w:color w:val="1F4E79"/>
          <w:sz w:val="26"/>
          <w:szCs w:val="26"/>
        </w:rPr>
        <w:t xml:space="preserve">6.5 Robustness: what would change our conclusions</w:t>
      </w:r>
    </w:p>
    <w:p>
      <w:pPr>
        <w:spacing w:after="120" w:before="0" w:line="276"/>
        <w:jc w:val="both"/>
      </w:pPr>
      <w:r>
        <w:rPr>
          <w:rFonts w:ascii="Calibri" w:cs="Calibri" w:eastAsia="Calibri" w:hAnsi="Calibri"/>
          <w:sz w:val="21"/>
          <w:szCs w:val="21"/>
        </w:rPr>
        <w:t xml:space="preserve">Three assumptions could plausibly overturn the findings: the cost per trade, the return on idle cash and sampling error. Table 6.4 re-runs the three strategies and buy-and-hold under each combination of cost and cash rate (with a 0% cash rate the Sharpe ratio is the raw ratio).</w:t>
      </w:r>
    </w:p>
    <w:p>
      <w:pPr>
        <w:keepNext/>
        <w:spacing w:after="80" w:before="160"/>
      </w:pPr>
      <w:r>
        <w:rPr>
          <w:rFonts w:ascii="Calibri" w:cs="Calibri" w:eastAsia="Calibri" w:hAnsi="Calibri"/>
          <w:b/>
          <w:bCs/>
          <w:color w:val="2E2E2E"/>
          <w:sz w:val="19"/>
          <w:szCs w:val="19"/>
        </w:rPr>
        <w:t xml:space="preserve">Table 6.4 Sharpe ratio under alternative cost and cash assumptions</w:t>
      </w:r>
    </w:p>
    <w:tbl>
      <w:tblPr>
        <w:tblW w:type="dxa" w:w="8976"/>
        <w:tblBorders>
          <w:top w:val="single" w:color="auto" w:sz="4"/>
          <w:left w:val="single" w:color="auto" w:sz="4"/>
          <w:bottom w:val="single" w:color="auto" w:sz="4"/>
          <w:right w:val="single" w:color="auto" w:sz="4"/>
          <w:insideH w:val="single" w:color="auto" w:sz="4"/>
          <w:insideV w:val="single" w:color="auto" w:sz="4"/>
        </w:tblBorders>
      </w:tblPr>
      <w:tblGrid>
        <w:gridCol w:w="1250"/>
        <w:gridCol w:w="1050"/>
        <w:gridCol w:w="1050"/>
        <w:gridCol w:w="1050"/>
        <w:gridCol w:w="1050"/>
        <w:gridCol w:w="1150"/>
        <w:gridCol w:w="1150"/>
        <w:gridCol w:w="1226"/>
      </w:tblGrid>
      <w:tr>
        <w:trPr>
          <w:cantSplit/>
          <w:tblHeader/>
        </w:trPr>
        <w:tc>
          <w:tcPr>
            <w:tcW w:type="dxa" w:w="125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tcPr>
          <w:p>
            <w:pPr>
              <w:jc w:val="left"/>
            </w:pPr>
            <w:r>
              <w:rPr>
                <w:rFonts w:ascii="Calibri" w:cs="Calibri" w:eastAsia="Calibri" w:hAnsi="Calibri"/>
                <w:b/>
                <w:bCs/>
                <w:color w:val="FFFFFF"/>
                <w:sz w:val="17"/>
                <w:szCs w:val="17"/>
              </w:rPr>
              <w:t xml:space="preserve">Cost per side</w:t>
            </w:r>
          </w:p>
        </w:tc>
        <w:tc>
          <w:tcPr>
            <w:tcW w:type="dxa" w:w="105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tcPr>
          <w:p>
            <w:pPr>
              <w:jc w:val="center"/>
            </w:pPr>
            <w:r>
              <w:rPr>
                <w:rFonts w:ascii="Calibri" w:cs="Calibri" w:eastAsia="Calibri" w:hAnsi="Calibri"/>
                <w:b/>
                <w:bCs/>
                <w:color w:val="FFFFFF"/>
                <w:sz w:val="17"/>
                <w:szCs w:val="17"/>
              </w:rPr>
              <w:t xml:space="preserve">Cash rate</w:t>
            </w:r>
          </w:p>
        </w:tc>
        <w:tc>
          <w:tcPr>
            <w:tcW w:type="dxa" w:w="105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tcPr>
          <w:p>
            <w:pPr>
              <w:jc w:val="center"/>
            </w:pPr>
            <w:r>
              <w:rPr>
                <w:rFonts w:ascii="Calibri" w:cs="Calibri" w:eastAsia="Calibri" w:hAnsi="Calibri"/>
                <w:b/>
                <w:bCs/>
                <w:color w:val="FFFFFF"/>
                <w:sz w:val="17"/>
                <w:szCs w:val="17"/>
              </w:rPr>
              <w:t xml:space="preserve">A full</w:t>
            </w:r>
          </w:p>
        </w:tc>
        <w:tc>
          <w:tcPr>
            <w:tcW w:type="dxa" w:w="105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tcPr>
          <w:p>
            <w:pPr>
              <w:jc w:val="center"/>
            </w:pPr>
            <w:r>
              <w:rPr>
                <w:rFonts w:ascii="Calibri" w:cs="Calibri" w:eastAsia="Calibri" w:hAnsi="Calibri"/>
                <w:b/>
                <w:bCs/>
                <w:color w:val="FFFFFF"/>
                <w:sz w:val="17"/>
                <w:szCs w:val="17"/>
              </w:rPr>
              <w:t xml:space="preserve">B full</w:t>
            </w:r>
          </w:p>
        </w:tc>
        <w:tc>
          <w:tcPr>
            <w:tcW w:type="dxa" w:w="105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tcPr>
          <w:p>
            <w:pPr>
              <w:jc w:val="center"/>
            </w:pPr>
            <w:r>
              <w:rPr>
                <w:rFonts w:ascii="Calibri" w:cs="Calibri" w:eastAsia="Calibri" w:hAnsi="Calibri"/>
                <w:b/>
                <w:bCs/>
                <w:color w:val="FFFFFF"/>
                <w:sz w:val="17"/>
                <w:szCs w:val="17"/>
              </w:rPr>
              <w:t xml:space="preserve">C full</w:t>
            </w:r>
          </w:p>
        </w:tc>
        <w:tc>
          <w:tcPr>
            <w:tcW w:type="dxa" w:w="115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tcPr>
          <w:p>
            <w:pPr>
              <w:jc w:val="center"/>
            </w:pPr>
            <w:r>
              <w:rPr>
                <w:rFonts w:ascii="Calibri" w:cs="Calibri" w:eastAsia="Calibri" w:hAnsi="Calibri"/>
                <w:b/>
                <w:bCs/>
                <w:color w:val="FFFFFF"/>
                <w:sz w:val="17"/>
                <w:szCs w:val="17"/>
              </w:rPr>
              <w:t xml:space="preserve">B&amp;H full</w:t>
            </w:r>
          </w:p>
        </w:tc>
        <w:tc>
          <w:tcPr>
            <w:tcW w:type="dxa" w:w="115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tcPr>
          <w:p>
            <w:pPr>
              <w:jc w:val="center"/>
            </w:pPr>
            <w:r>
              <w:rPr>
                <w:rFonts w:ascii="Calibri" w:cs="Calibri" w:eastAsia="Calibri" w:hAnsi="Calibri"/>
                <w:b/>
                <w:bCs/>
                <w:color w:val="FFFFFF"/>
                <w:sz w:val="17"/>
                <w:szCs w:val="17"/>
              </w:rPr>
              <w:t xml:space="preserve">C OOS</w:t>
            </w:r>
          </w:p>
        </w:tc>
        <w:tc>
          <w:tcPr>
            <w:tcW w:type="dxa" w:w="1226"/>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tcPr>
          <w:p>
            <w:pPr>
              <w:jc w:val="center"/>
            </w:pPr>
            <w:r>
              <w:rPr>
                <w:rFonts w:ascii="Calibri" w:cs="Calibri" w:eastAsia="Calibri" w:hAnsi="Calibri"/>
                <w:b/>
                <w:bCs/>
                <w:color w:val="FFFFFF"/>
                <w:sz w:val="17"/>
                <w:szCs w:val="17"/>
              </w:rPr>
              <w:t xml:space="preserve">B&amp;H OOS</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0.05%</w:t>
            </w:r>
          </w:p>
        </w:tc>
        <w:tc>
          <w:tcPr>
            <w:tcW w:type="dxa" w:w="10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0%</w:t>
            </w:r>
          </w:p>
        </w:tc>
        <w:tc>
          <w:tcPr>
            <w:tcW w:type="dxa" w:w="10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0.35</w:t>
            </w:r>
          </w:p>
        </w:tc>
        <w:tc>
          <w:tcPr>
            <w:tcW w:type="dxa" w:w="10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0.18</w:t>
            </w:r>
          </w:p>
        </w:tc>
        <w:tc>
          <w:tcPr>
            <w:tcW w:type="dxa" w:w="10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0.62</w:t>
            </w:r>
          </w:p>
        </w:tc>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0.67</w:t>
            </w:r>
          </w:p>
        </w:tc>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0.75</w:t>
            </w:r>
          </w:p>
        </w:tc>
        <w:tc>
          <w:tcPr>
            <w:tcW w:type="dxa" w:w="12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0.58</w:t>
            </w:r>
          </w:p>
        </w:tc>
      </w:tr>
      <w:tr>
        <w:trPr>
          <w:cantSplit/>
        </w:trPr>
        <w:tc>
          <w:tcPr>
            <w:tcW w:type="dxa" w:w="12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color w:val="000000"/>
                <w:sz w:val="17"/>
                <w:szCs w:val="17"/>
              </w:rPr>
              <w:t xml:space="preserve">0.05%</w:t>
            </w:r>
          </w:p>
        </w:tc>
        <w:tc>
          <w:tcPr>
            <w:tcW w:type="dxa" w:w="10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6%</w:t>
            </w:r>
          </w:p>
        </w:tc>
        <w:tc>
          <w:tcPr>
            <w:tcW w:type="dxa" w:w="10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0.18</w:t>
            </w:r>
          </w:p>
        </w:tc>
        <w:tc>
          <w:tcPr>
            <w:tcW w:type="dxa" w:w="10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-0.09</w:t>
            </w:r>
          </w:p>
        </w:tc>
        <w:tc>
          <w:tcPr>
            <w:tcW w:type="dxa" w:w="10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0.36</w:t>
            </w:r>
          </w:p>
        </w:tc>
        <w:tc>
          <w:tcPr>
            <w:tcW w:type="dxa" w:w="11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0.32</w:t>
            </w:r>
          </w:p>
        </w:tc>
        <w:tc>
          <w:tcPr>
            <w:tcW w:type="dxa" w:w="11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0.46</w:t>
            </w:r>
          </w:p>
        </w:tc>
        <w:tc>
          <w:tcPr>
            <w:tcW w:type="dxa" w:w="1226"/>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0.14</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0.15%</w:t>
            </w:r>
          </w:p>
        </w:tc>
        <w:tc>
          <w:tcPr>
            <w:tcW w:type="dxa" w:w="10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0%</w:t>
            </w:r>
          </w:p>
        </w:tc>
        <w:tc>
          <w:tcPr>
            <w:tcW w:type="dxa" w:w="10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0.15</w:t>
            </w:r>
          </w:p>
        </w:tc>
        <w:tc>
          <w:tcPr>
            <w:tcW w:type="dxa" w:w="10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0.03</w:t>
            </w:r>
          </w:p>
        </w:tc>
        <w:tc>
          <w:tcPr>
            <w:tcW w:type="dxa" w:w="10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0.58</w:t>
            </w:r>
          </w:p>
        </w:tc>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0.67</w:t>
            </w:r>
          </w:p>
        </w:tc>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0.71</w:t>
            </w:r>
          </w:p>
        </w:tc>
        <w:tc>
          <w:tcPr>
            <w:tcW w:type="dxa" w:w="12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0.58</w:t>
            </w:r>
          </w:p>
        </w:tc>
      </w:tr>
      <w:tr>
        <w:trPr>
          <w:cantSplit/>
        </w:trPr>
        <w:tc>
          <w:tcPr>
            <w:tcW w:type="dxa" w:w="1250"/>
            <w:tcBorders>
              <w:top w:val="single" w:color="BFBFBF" w:sz="4"/>
              <w:left w:val="single" w:color="BFBFBF" w:sz="4"/>
              <w:bottom w:val="single" w:color="BFBFBF" w:sz="4"/>
              <w:right w:val="single" w:color="BFBFBF" w:sz="4"/>
            </w:tcBorders>
            <w:shd w:fill="FFF2CC" w:color="auto" w:val="clear"/>
            <w:tcMar>
              <w:top w:type="dxa" w:w="50"/>
              <w:left w:type="dxa" w:w="80"/>
              <w:bottom w:type="dxa" w:w="50"/>
              <w:right w:type="dxa" w:w="80"/>
            </w:tcMar>
          </w:tcPr>
          <w:p>
            <w:pPr>
              <w:jc w:val="left"/>
            </w:pPr>
            <w:r>
              <w:rPr>
                <w:rFonts w:ascii="Calibri" w:cs="Calibri" w:eastAsia="Calibri" w:hAnsi="Calibri"/>
                <w:color w:val="000000"/>
                <w:sz w:val="17"/>
                <w:szCs w:val="17"/>
              </w:rPr>
              <w:t xml:space="preserve">0.15%</w:t>
            </w:r>
          </w:p>
        </w:tc>
        <w:tc>
          <w:tcPr>
            <w:tcW w:type="dxa" w:w="1050"/>
            <w:tcBorders>
              <w:top w:val="single" w:color="BFBFBF" w:sz="4"/>
              <w:left w:val="single" w:color="BFBFBF" w:sz="4"/>
              <w:bottom w:val="single" w:color="BFBFBF" w:sz="4"/>
              <w:right w:val="single" w:color="BFBFBF" w:sz="4"/>
            </w:tcBorders>
            <w:shd w:fill="FFF2CC"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6%</w:t>
            </w:r>
          </w:p>
        </w:tc>
        <w:tc>
          <w:tcPr>
            <w:tcW w:type="dxa" w:w="1050"/>
            <w:tcBorders>
              <w:top w:val="single" w:color="BFBFBF" w:sz="4"/>
              <w:left w:val="single" w:color="BFBFBF" w:sz="4"/>
              <w:bottom w:val="single" w:color="BFBFBF" w:sz="4"/>
              <w:right w:val="single" w:color="BFBFBF" w:sz="4"/>
            </w:tcBorders>
            <w:shd w:fill="FFF2CC"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-0.02</w:t>
            </w:r>
          </w:p>
        </w:tc>
        <w:tc>
          <w:tcPr>
            <w:tcW w:type="dxa" w:w="1050"/>
            <w:tcBorders>
              <w:top w:val="single" w:color="BFBFBF" w:sz="4"/>
              <w:left w:val="single" w:color="BFBFBF" w:sz="4"/>
              <w:bottom w:val="single" w:color="BFBFBF" w:sz="4"/>
              <w:right w:val="single" w:color="BFBFBF" w:sz="4"/>
            </w:tcBorders>
            <w:shd w:fill="FFF2CC"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-0.24</w:t>
            </w:r>
          </w:p>
        </w:tc>
        <w:tc>
          <w:tcPr>
            <w:tcW w:type="dxa" w:w="1050"/>
            <w:tcBorders>
              <w:top w:val="single" w:color="BFBFBF" w:sz="4"/>
              <w:left w:val="single" w:color="BFBFBF" w:sz="4"/>
              <w:bottom w:val="single" w:color="BFBFBF" w:sz="4"/>
              <w:right w:val="single" w:color="BFBFBF" w:sz="4"/>
            </w:tcBorders>
            <w:shd w:fill="FFF2CC"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0.33</w:t>
            </w:r>
          </w:p>
        </w:tc>
        <w:tc>
          <w:tcPr>
            <w:tcW w:type="dxa" w:w="1150"/>
            <w:tcBorders>
              <w:top w:val="single" w:color="BFBFBF" w:sz="4"/>
              <w:left w:val="single" w:color="BFBFBF" w:sz="4"/>
              <w:bottom w:val="single" w:color="BFBFBF" w:sz="4"/>
              <w:right w:val="single" w:color="BFBFBF" w:sz="4"/>
            </w:tcBorders>
            <w:shd w:fill="FFF2CC"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0.32</w:t>
            </w:r>
          </w:p>
        </w:tc>
        <w:tc>
          <w:tcPr>
            <w:tcW w:type="dxa" w:w="1150"/>
            <w:tcBorders>
              <w:top w:val="single" w:color="BFBFBF" w:sz="4"/>
              <w:left w:val="single" w:color="BFBFBF" w:sz="4"/>
              <w:bottom w:val="single" w:color="BFBFBF" w:sz="4"/>
              <w:right w:val="single" w:color="BFBFBF" w:sz="4"/>
            </w:tcBorders>
            <w:shd w:fill="FFF2CC"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0.42</w:t>
            </w:r>
          </w:p>
        </w:tc>
        <w:tc>
          <w:tcPr>
            <w:tcW w:type="dxa" w:w="1226"/>
            <w:tcBorders>
              <w:top w:val="single" w:color="BFBFBF" w:sz="4"/>
              <w:left w:val="single" w:color="BFBFBF" w:sz="4"/>
              <w:bottom w:val="single" w:color="BFBFBF" w:sz="4"/>
              <w:right w:val="single" w:color="BFBFBF" w:sz="4"/>
            </w:tcBorders>
            <w:shd w:fill="FFF2CC"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0.14</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0.25%</w:t>
            </w:r>
          </w:p>
        </w:tc>
        <w:tc>
          <w:tcPr>
            <w:tcW w:type="dxa" w:w="10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0%</w:t>
            </w:r>
          </w:p>
        </w:tc>
        <w:tc>
          <w:tcPr>
            <w:tcW w:type="dxa" w:w="10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-0.06</w:t>
            </w:r>
          </w:p>
        </w:tc>
        <w:tc>
          <w:tcPr>
            <w:tcW w:type="dxa" w:w="10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-0.12</w:t>
            </w:r>
          </w:p>
        </w:tc>
        <w:tc>
          <w:tcPr>
            <w:tcW w:type="dxa" w:w="10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0.54</w:t>
            </w:r>
          </w:p>
        </w:tc>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0.67</w:t>
            </w:r>
          </w:p>
        </w:tc>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0.67</w:t>
            </w:r>
          </w:p>
        </w:tc>
        <w:tc>
          <w:tcPr>
            <w:tcW w:type="dxa" w:w="12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color w:val="000000"/>
                <w:sz w:val="17"/>
                <w:szCs w:val="17"/>
              </w:rPr>
              <w:t xml:space="preserve">0.58</w:t>
            </w:r>
          </w:p>
        </w:tc>
      </w:tr>
      <w:tr>
        <w:trPr>
          <w:cantSplit/>
        </w:trPr>
        <w:tc>
          <w:tcPr>
            <w:tcW w:type="dxa" w:w="12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color w:val="000000"/>
                <w:sz w:val="17"/>
                <w:szCs w:val="17"/>
              </w:rPr>
              <w:t xml:space="preserve">0.25%</w:t>
            </w:r>
          </w:p>
        </w:tc>
        <w:tc>
          <w:tcPr>
            <w:tcW w:type="dxa" w:w="10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6%</w:t>
            </w:r>
          </w:p>
        </w:tc>
        <w:tc>
          <w:tcPr>
            <w:tcW w:type="dxa" w:w="10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-0.22</w:t>
            </w:r>
          </w:p>
        </w:tc>
        <w:tc>
          <w:tcPr>
            <w:tcW w:type="dxa" w:w="10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-0.39</w:t>
            </w:r>
          </w:p>
        </w:tc>
        <w:tc>
          <w:tcPr>
            <w:tcW w:type="dxa" w:w="10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0.29</w:t>
            </w:r>
          </w:p>
        </w:tc>
        <w:tc>
          <w:tcPr>
            <w:tcW w:type="dxa" w:w="11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0.32</w:t>
            </w:r>
          </w:p>
        </w:tc>
        <w:tc>
          <w:tcPr>
            <w:tcW w:type="dxa" w:w="115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0.37</w:t>
            </w:r>
          </w:p>
        </w:tc>
        <w:tc>
          <w:tcPr>
            <w:tcW w:type="dxa" w:w="1226"/>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center"/>
            </w:pPr>
            <w:r>
              <w:rPr>
                <w:rFonts w:ascii="Calibri" w:cs="Calibri" w:eastAsia="Calibri" w:hAnsi="Calibri"/>
                <w:color w:val="000000"/>
                <w:sz w:val="17"/>
                <w:szCs w:val="17"/>
              </w:rPr>
              <w:t xml:space="preserve">0.14</w:t>
            </w:r>
          </w:p>
        </w:tc>
      </w:tr>
    </w:tbl>
    <w:p>
      <w:pPr>
        <w:spacing w:after="120" w:before="60" w:line="276"/>
        <w:jc w:val="both"/>
      </w:pPr>
      <w:r>
        <w:rPr>
          <w:rFonts w:ascii="Calibri" w:cs="Calibri" w:eastAsia="Calibri" w:hAnsi="Calibri"/>
          <w:i/>
          <w:iCs/>
          <w:color w:val="595959"/>
          <w:sz w:val="17"/>
          <w:szCs w:val="17"/>
        </w:rPr>
        <w:t xml:space="preserve">Shaded row = base case. Full = Jan 2015 – Sep 2026; OOS = Jan 2022 – Sep 2026.</w:t>
      </w:r>
    </w:p>
    <w:p>
      <w:pPr>
        <w:pStyle w:val="ListParagraph"/>
        <w:numPr>
          <w:ilvl w:val="0"/>
          <w:numId w:val="2"/>
        </w:numPr>
        <w:spacing w:after="60" w:line="264"/>
        <w:jc w:val="left"/>
      </w:pPr>
      <w:r>
        <w:rPr>
          <w:rFonts w:ascii="Calibri" w:cs="Calibri" w:eastAsia="Calibri" w:hAnsi="Calibri"/>
          <w:b/>
          <w:bCs/>
          <w:sz w:val="21"/>
          <w:szCs w:val="21"/>
        </w:rPr>
        <w:t xml:space="preserve">Costs decide A and B. </w:t>
      </w:r>
      <w:r>
        <w:rPr>
          <w:rFonts w:ascii="Calibri" w:cs="Calibri" w:eastAsia="Calibri" w:hAnsi="Calibri"/>
          <w:sz w:val="21"/>
          <w:szCs w:val="21"/>
        </w:rPr>
        <w:t xml:space="preserve">At 0.05% a side with no cash return, A and B look acceptable (Sharpe 0.35 and 0.18); once a realistic cost and the cash alternative are counted, both fall below zero. Strategy C stays positive in every cell, between 0.29 and 0.62, because it trades only about once a year per stock, so costs barely touch it.</w:t>
      </w:r>
    </w:p>
    <w:p>
      <w:pPr>
        <w:pStyle w:val="ListParagraph"/>
        <w:numPr>
          <w:ilvl w:val="0"/>
          <w:numId w:val="2"/>
        </w:numPr>
        <w:spacing w:after="60" w:line="264"/>
        <w:jc w:val="left"/>
      </w:pPr>
      <w:r>
        <w:rPr>
          <w:rFonts w:ascii="Calibri" w:cs="Calibri" w:eastAsia="Calibri" w:hAnsi="Calibri"/>
          <w:b/>
          <w:bCs/>
          <w:sz w:val="21"/>
          <w:szCs w:val="21"/>
        </w:rPr>
        <w:t xml:space="preserve">The cash rate decides the comparison with buy-and-hold. </w:t>
      </w:r>
      <w:r>
        <w:rPr>
          <w:rFonts w:ascii="Calibri" w:cs="Calibri" w:eastAsia="Calibri" w:hAnsi="Calibri"/>
          <w:sz w:val="21"/>
          <w:szCs w:val="21"/>
        </w:rPr>
        <w:t xml:space="preserve">With cash earning nothing, buy-and-hold's Sharpe (0.67) is above C's (0.58); with cash earning 6% the two are level (0.32 and 0.33). A zero rate is not a neutral assumption in India; it penalises any strategy that holds cash.</w:t>
      </w:r>
    </w:p>
    <w:p>
      <w:pPr>
        <w:pStyle w:val="ListParagraph"/>
        <w:numPr>
          <w:ilvl w:val="0"/>
          <w:numId w:val="2"/>
        </w:numPr>
        <w:spacing w:after="60" w:line="264"/>
        <w:jc w:val="left"/>
      </w:pPr>
      <w:r>
        <w:rPr>
          <w:rFonts w:ascii="Calibri" w:cs="Calibri" w:eastAsia="Calibri" w:hAnsi="Calibri"/>
          <w:b/>
          <w:bCs/>
          <w:sz w:val="21"/>
          <w:szCs w:val="21"/>
        </w:rPr>
        <w:t xml:space="preserve">Sampling error limits every Sharpe comparison. </w:t>
      </w:r>
      <w:r>
        <w:rPr>
          <w:rFonts w:ascii="Calibri" w:cs="Calibri" w:eastAsia="Calibri" w:hAnsi="Calibri"/>
          <w:sz w:val="21"/>
          <w:szCs w:val="21"/>
        </w:rPr>
        <w:t xml:space="preserve">The standard error of a 12-year Sharpe ratio is about ±0.30 and of a 4.7-year one about ±0.5 (Lo, 2002). We therefore state C's advantage as a much smaller drawdown, which holds in every row of Table 6.4, with a Sharpe ratio level with buy-and-hold once cash earns its Treasury-bill rate, rather than as a statistically proven outperformance.</w:t>
      </w:r>
    </w:p>
    <w:p>
      <w:pPr>
        <w:pStyle w:val="ListParagraph"/>
        <w:numPr>
          <w:ilvl w:val="0"/>
          <w:numId w:val="2"/>
        </w:numPr>
        <w:spacing w:after="60" w:line="264"/>
        <w:jc w:val="left"/>
      </w:pPr>
      <w:r>
        <w:rPr>
          <w:rFonts w:ascii="Calibri" w:cs="Calibri" w:eastAsia="Calibri" w:hAnsi="Calibri"/>
          <w:b/>
          <w:bCs/>
          <w:sz w:val="21"/>
          <w:szCs w:val="21"/>
        </w:rPr>
        <w:t xml:space="preserve">What would change our mind. </w:t>
      </w:r>
      <w:r>
        <w:rPr>
          <w:rFonts w:ascii="Calibri" w:cs="Calibri" w:eastAsia="Calibri" w:hAnsi="Calibri"/>
          <w:sz w:val="21"/>
          <w:szCs w:val="21"/>
        </w:rPr>
        <w:t xml:space="preserve">A point-in-time universe in which buy-and-hold suffers from delisted stocks would favour the timing rules; a period without a deep crash (no 2020) would favour buy-and-hold; and at 0.25% a side, the highest cost tested, C's Sharpe fell to 0.29, just below buy-and-hold's 0.32, so costs much above that level would remove its advantage.</w:t>
      </w:r>
    </w:p>
    <w:p>
      <w:pPr>
        <w:pStyle w:val="Heading1"/>
        <w:pageBreakBefore/>
        <w:spacing w:after="200" w:before="0"/>
      </w:pPr>
      <w:r>
        <w:rPr>
          <w:rFonts w:ascii="Calibri" w:cs="Calibri" w:eastAsia="Calibri" w:hAnsi="Calibri"/>
          <w:b/>
          <w:bCs/>
          <w:color w:val="1F4E79"/>
          <w:sz w:val="32"/>
          <w:szCs w:val="32"/>
        </w:rPr>
        <w:t xml:space="preserve">7. Limitations</w:t>
      </w:r>
    </w:p>
    <w:p>
      <w:pPr>
        <w:pStyle w:val="ListParagraph"/>
        <w:numPr>
          <w:ilvl w:val="0"/>
          <w:numId w:val="2"/>
        </w:numPr>
        <w:spacing w:after="60" w:line="264"/>
        <w:jc w:val="left"/>
      </w:pPr>
      <w:r>
        <w:rPr>
          <w:rFonts w:ascii="Calibri" w:cs="Calibri" w:eastAsia="Calibri" w:hAnsi="Calibri"/>
          <w:b/>
          <w:bCs/>
          <w:sz w:val="21"/>
          <w:szCs w:val="21"/>
        </w:rPr>
        <w:t xml:space="preserve">Survivorship bias. </w:t>
      </w:r>
      <w:r>
        <w:rPr>
          <w:rFonts w:ascii="Calibri" w:cs="Calibri" w:eastAsia="Calibri" w:hAnsi="Calibri"/>
          <w:sz w:val="21"/>
          <w:szCs w:val="21"/>
        </w:rPr>
        <w:t xml:space="preserve">The seven stocks are today's large caps applied back to 2015. Stocks that fell out of the Top 100 are absent, which flatters buy-and-hold and the hold-to-breakeven anchor in Section 5.3, and may flatter mean-reversion rules generally. A point-in-time Top-100 universe would correct this.</w:t>
      </w:r>
    </w:p>
    <w:p>
      <w:pPr>
        <w:pStyle w:val="ListParagraph"/>
        <w:numPr>
          <w:ilvl w:val="0"/>
          <w:numId w:val="2"/>
        </w:numPr>
        <w:spacing w:after="60" w:line="264"/>
        <w:jc w:val="left"/>
      </w:pPr>
      <w:r>
        <w:rPr>
          <w:rFonts w:ascii="Calibri" w:cs="Calibri" w:eastAsia="Calibri" w:hAnsi="Calibri"/>
          <w:b/>
          <w:bCs/>
          <w:sz w:val="21"/>
          <w:szCs w:val="21"/>
        </w:rPr>
        <w:t xml:space="preserve">Small samples and sampling error. </w:t>
      </w:r>
      <w:r>
        <w:rPr>
          <w:rFonts w:ascii="Calibri" w:cs="Calibri" w:eastAsia="Calibri" w:hAnsi="Calibri"/>
          <w:sz w:val="21"/>
          <w:szCs w:val="21"/>
        </w:rPr>
        <w:t xml:space="preserve">Strategy C produces 5–19 trades per stock, several bias tests rest on a few dozen events (crowded signals, n = 30; volume-confirmed RSI signals, n = 62), and the conservatism test rests on one crash. We report n and a test statistic with every comparison and grade the evidence accordingly.</w:t>
      </w:r>
    </w:p>
    <w:p>
      <w:pPr>
        <w:pStyle w:val="ListParagraph"/>
        <w:numPr>
          <w:ilvl w:val="0"/>
          <w:numId w:val="2"/>
        </w:numPr>
        <w:spacing w:after="60" w:line="264"/>
        <w:jc w:val="left"/>
      </w:pPr>
      <w:r>
        <w:rPr>
          <w:rFonts w:ascii="Calibri" w:cs="Calibri" w:eastAsia="Calibri" w:hAnsi="Calibri"/>
          <w:b/>
          <w:bCs/>
          <w:sz w:val="21"/>
          <w:szCs w:val="21"/>
        </w:rPr>
        <w:t xml:space="preserve">Bias prevalence is not measured. </w:t>
      </w:r>
      <w:r>
        <w:rPr>
          <w:rFonts w:ascii="Calibri" w:cs="Calibri" w:eastAsia="Calibri" w:hAnsi="Calibri"/>
          <w:sz w:val="21"/>
          <w:szCs w:val="21"/>
        </w:rPr>
        <w:t xml:space="preserve">The experiments measure the cost of a bias written into a rule, not how often traders exhibit it; prevalence is taken from the literature and from SEBI (2024).</w:t>
      </w:r>
    </w:p>
    <w:p>
      <w:pPr>
        <w:pStyle w:val="ListParagraph"/>
        <w:numPr>
          <w:ilvl w:val="0"/>
          <w:numId w:val="2"/>
        </w:numPr>
        <w:spacing w:after="60" w:line="264"/>
        <w:jc w:val="left"/>
      </w:pPr>
      <w:r>
        <w:rPr>
          <w:rFonts w:ascii="Calibri" w:cs="Calibri" w:eastAsia="Calibri" w:hAnsi="Calibri"/>
          <w:b/>
          <w:bCs/>
          <w:sz w:val="21"/>
          <w:szCs w:val="21"/>
        </w:rPr>
        <w:t xml:space="preserve">Replication versus screenshots. </w:t>
      </w:r>
      <w:r>
        <w:rPr>
          <w:rFonts w:ascii="Calibri" w:cs="Calibri" w:eastAsia="Calibri" w:hAnsi="Calibri"/>
          <w:sz w:val="21"/>
          <w:szCs w:val="21"/>
        </w:rPr>
        <w:t xml:space="preserve">Pooled exhibits are generated from a Python replication of the Pine logic, because TradingView cannot pool seven stocks or run parameter grids on one chart. The live validation (Section 4.6) used 0.05% costs and no interest on cash, since the Strategy Tester credits none; small residual differences remain for the reasons given there.</w:t>
      </w:r>
    </w:p>
    <w:p>
      <w:pPr>
        <w:pStyle w:val="ListParagraph"/>
        <w:numPr>
          <w:ilvl w:val="0"/>
          <w:numId w:val="2"/>
        </w:numPr>
        <w:spacing w:after="60" w:line="264"/>
        <w:jc w:val="left"/>
      </w:pPr>
      <w:r>
        <w:rPr>
          <w:rFonts w:ascii="Calibri" w:cs="Calibri" w:eastAsia="Calibri" w:hAnsi="Calibri"/>
          <w:b/>
          <w:bCs/>
          <w:sz w:val="21"/>
          <w:szCs w:val="21"/>
        </w:rPr>
        <w:t xml:space="preserve">Costs and cash. </w:t>
      </w:r>
      <w:r>
        <w:rPr>
          <w:rFonts w:ascii="Calibri" w:cs="Calibri" w:eastAsia="Calibri" w:hAnsi="Calibri"/>
          <w:sz w:val="21"/>
          <w:szCs w:val="21"/>
        </w:rPr>
        <w:t xml:space="preserve">0.15% per side is an estimate for liquid large caps; short-term capital-gains tax and position-size-dependent slippage are not modelled. The 6% cash rate is a constant approximation of a 91-day Treasury-bill yield that ranged from roughly 3.3% to 7.5% over the period.</w:t>
      </w:r>
    </w:p>
    <w:p>
      <w:pPr>
        <w:pStyle w:val="ListParagraph"/>
        <w:numPr>
          <w:ilvl w:val="0"/>
          <w:numId w:val="2"/>
        </w:numPr>
        <w:spacing w:after="60" w:line="264"/>
        <w:jc w:val="left"/>
      </w:pPr>
      <w:r>
        <w:rPr>
          <w:rFonts w:ascii="Calibri" w:cs="Calibri" w:eastAsia="Calibri" w:hAnsi="Calibri"/>
          <w:b/>
          <w:bCs/>
          <w:sz w:val="21"/>
          <w:szCs w:val="21"/>
        </w:rPr>
        <w:t xml:space="preserve">Multiple testing. </w:t>
      </w:r>
      <w:r>
        <w:rPr>
          <w:rFonts w:ascii="Calibri" w:cs="Calibri" w:eastAsia="Calibri" w:hAnsi="Calibri"/>
          <w:sz w:val="21"/>
          <w:szCs w:val="21"/>
        </w:rPr>
        <w:t xml:space="preserve">We ran many experiments. Each was specified before its result was seen and is reported whether or not it supported the hypothesis, but with dozens of comparisons a few 'significant' results at 5% are expected by chance; the two significant indicator results are both negative, which is the less flattering direction.</w:t>
      </w:r>
    </w:p>
    <w:p>
      <w:pPr>
        <w:pStyle w:val="Heading1"/>
        <w:keepNext/>
        <w:spacing w:after="200" w:before="360"/>
      </w:pPr>
      <w:r>
        <w:rPr>
          <w:rFonts w:ascii="Calibri" w:cs="Calibri" w:eastAsia="Calibri" w:hAnsi="Calibri"/>
          <w:b/>
          <w:bCs/>
          <w:color w:val="1F4E79"/>
          <w:sz w:val="32"/>
          <w:szCs w:val="32"/>
        </w:rPr>
        <w:t xml:space="preserve">8. Conclusion and Recommendations</w:t>
      </w:r>
    </w:p>
    <w:p>
      <w:pPr>
        <w:spacing w:after="120" w:before="0" w:line="276"/>
        <w:jc w:val="both"/>
      </w:pPr>
      <w:r>
        <w:rPr>
          <w:rFonts w:ascii="Calibri" w:cs="Calibri" w:eastAsia="Calibri" w:hAnsi="Calibri"/>
          <w:sz w:val="21"/>
          <w:szCs w:val="21"/>
        </w:rPr>
        <w:t xml:space="preserve">Twelve standard indicators, implemented in Pine Script and tested on seven NSE large caps from seven sectors, show no statistically detectable edge on their own; the only significant results are negative. Combined into horizon strategies and charged realistic Indian costs, the 7- and 15-day strategies earn less than Treasury bills. The 60-day trend strategy matches buy-and-hold's risk-adjusted return with about a third of its drawdown over the full period, and on unseen 2022–26 data it did better than buy-and-hold on every measure (Sharpe 0.42 against 0.14), though not by a margin that is statistically secure.</w:t>
      </w:r>
    </w:p>
    <w:p>
      <w:pPr>
        <w:spacing w:after="120" w:before="0" w:line="276"/>
        <w:jc w:val="both"/>
      </w:pPr>
      <w:r>
        <w:rPr>
          <w:rFonts w:ascii="Calibri" w:cs="Calibri" w:eastAsia="Calibri" w:hAnsi="Calibri"/>
          <w:sz w:val="21"/>
          <w:szCs w:val="21"/>
        </w:rPr>
        <w:t xml:space="preserve">That thin, noisy edge is exactly why behavioural biases matter. The data were noisy enough that an analyst could have 'confirmed' an RSI edge on Sun Pharma, optimised Strategy A to a Sharpe of 0.8 on Maruti, held losers to breakeven and called it patience, or waited for a death cross and sold near the COVID bottom. The evidence is clear for confirmation, overconfidence, representativeness and anchoring, suggestive for herding and conservatism, mixed for recency and not supported for FOMO, and we report it as found.</w:t>
      </w:r>
    </w:p>
    <w:p>
      <w:pPr>
        <w:spacing w:after="120" w:before="0" w:line="276"/>
        <w:jc w:val="both"/>
      </w:pPr>
      <w:r>
        <w:rPr>
          <w:rFonts w:ascii="Calibri" w:cs="Calibri" w:eastAsia="Calibri" w:hAnsi="Calibri"/>
          <w:sz w:val="21"/>
          <w:szCs w:val="21"/>
        </w:rPr>
        <w:t xml:space="preserve">The mitigation that worked was procedural, and it was subtraction rather than addition: write the rules in code before the trade, use independent rather than redundant confirmation, exit on time or volatility rather than on the entry price, choose any change on in-sample data and judge it out-of-sample, and drop any rule that does not beat Treasury bills after costs. Pine Script is well suited to this because it can enforce all of these steps on the chart itself.</w:t>
      </w:r>
    </w:p>
    <w:p>
      <w:pPr>
        <w:pStyle w:val="Heading3"/>
        <w:keepNext/>
        <w:spacing w:after="80" w:before="180"/>
      </w:pPr>
      <w:r>
        <w:rPr>
          <w:rFonts w:ascii="Calibri" w:cs="Calibri" w:eastAsia="Calibri" w:hAnsi="Calibri"/>
          <w:b/>
          <w:bCs/>
          <w:color w:val="2E2E2E"/>
          <w:sz w:val="22"/>
          <w:szCs w:val="22"/>
        </w:rPr>
        <w:t xml:space="preserve">Recommendations for a retail broker or robo-advisory platform</w:t>
      </w:r>
    </w:p>
    <w:p>
      <w:pPr>
        <w:pStyle w:val="ListParagraph"/>
        <w:numPr>
          <w:ilvl w:val="0"/>
          <w:numId w:val="2"/>
        </w:numPr>
        <w:spacing w:after="60" w:line="264"/>
        <w:jc w:val="left"/>
      </w:pPr>
      <w:r>
        <w:rPr>
          <w:rFonts w:ascii="Calibri" w:cs="Calibri" w:eastAsia="Calibri" w:hAnsi="Calibri"/>
          <w:b/>
          <w:bCs/>
          <w:sz w:val="21"/>
          <w:szCs w:val="21"/>
        </w:rPr>
        <w:t xml:space="preserve">Default to long horizons. </w:t>
      </w:r>
      <w:r>
        <w:rPr>
          <w:rFonts w:ascii="Calibri" w:cs="Calibri" w:eastAsia="Calibri" w:hAnsi="Calibri"/>
          <w:sz w:val="21"/>
          <w:szCs w:val="21"/>
        </w:rPr>
        <w:t xml:space="preserve">Rule-based retail strategies should start from 60-day-type horizons; at realistic costs and with cash earning its Treasury-bill rate, the 7- and 15-day rules did not beat Treasury bills.</w:t>
      </w:r>
    </w:p>
    <w:p>
      <w:pPr>
        <w:pStyle w:val="ListParagraph"/>
        <w:numPr>
          <w:ilvl w:val="0"/>
          <w:numId w:val="2"/>
        </w:numPr>
        <w:spacing w:after="60" w:line="264"/>
        <w:jc w:val="left"/>
      </w:pPr>
      <w:r>
        <w:rPr>
          <w:rFonts w:ascii="Calibri" w:cs="Calibri" w:eastAsia="Calibri" w:hAnsi="Calibri"/>
          <w:b/>
          <w:bCs/>
          <w:sz w:val="21"/>
          <w:szCs w:val="21"/>
        </w:rPr>
        <w:t xml:space="preserve">Show the hurdle before the order. </w:t>
      </w:r>
      <w:r>
        <w:rPr>
          <w:rFonts w:ascii="Calibri" w:cs="Calibri" w:eastAsia="Calibri" w:hAnsi="Calibri"/>
          <w:sz w:val="21"/>
          <w:szCs w:val="21"/>
        </w:rPr>
        <w:t xml:space="preserve">Display the all-in cost of the round trip (about 0.3% here, not 'zero brokerage') and the Treasury-bill return the capital would otherwise earn.</w:t>
      </w:r>
    </w:p>
    <w:p>
      <w:pPr>
        <w:pStyle w:val="ListParagraph"/>
        <w:numPr>
          <w:ilvl w:val="0"/>
          <w:numId w:val="2"/>
        </w:numPr>
        <w:spacing w:after="60" w:line="264"/>
        <w:jc w:val="left"/>
      </w:pPr>
      <w:r>
        <w:rPr>
          <w:rFonts w:ascii="Calibri" w:cs="Calibri" w:eastAsia="Calibri" w:hAnsi="Calibri"/>
          <w:b/>
          <w:bCs/>
          <w:sz w:val="21"/>
          <w:szCs w:val="21"/>
        </w:rPr>
        <w:t xml:space="preserve">Put base rates beside patterns. </w:t>
      </w:r>
      <w:r>
        <w:rPr>
          <w:rFonts w:ascii="Calibri" w:cs="Calibri" w:eastAsia="Calibri" w:hAnsi="Calibri"/>
          <w:sz w:val="21"/>
          <w:szCs w:val="21"/>
        </w:rPr>
        <w:t xml:space="preserve">Any chart-pattern alert should carry its historical base rate and sample size, as the Bias Lab does; this addresses representativeness and confirmation at the point of decision.</w:t>
      </w:r>
    </w:p>
    <w:p>
      <w:pPr>
        <w:pStyle w:val="ListParagraph"/>
        <w:numPr>
          <w:ilvl w:val="0"/>
          <w:numId w:val="2"/>
        </w:numPr>
        <w:spacing w:after="60" w:line="264"/>
        <w:jc w:val="left"/>
      </w:pPr>
      <w:r>
        <w:rPr>
          <w:rFonts w:ascii="Calibri" w:cs="Calibri" w:eastAsia="Calibri" w:hAnsi="Calibri"/>
          <w:b/>
          <w:bCs/>
          <w:sz w:val="21"/>
          <w:szCs w:val="21"/>
        </w:rPr>
        <w:t xml:space="preserve">Never show an optimised backtest alone. </w:t>
      </w:r>
      <w:r>
        <w:rPr>
          <w:rFonts w:ascii="Calibri" w:cs="Calibri" w:eastAsia="Calibri" w:hAnsi="Calibri"/>
          <w:sz w:val="21"/>
          <w:szCs w:val="21"/>
        </w:rPr>
        <w:t xml:space="preserve">Show it next to its out-of-sample record, as the disciplined strategy's scorecard does; this is the most direct defence against overconfidence.</w:t>
      </w:r>
    </w:p>
    <w:p>
      <w:pPr>
        <w:pStyle w:val="ListParagraph"/>
        <w:numPr>
          <w:ilvl w:val="0"/>
          <w:numId w:val="2"/>
        </w:numPr>
        <w:spacing w:after="60" w:line="264"/>
        <w:jc w:val="left"/>
      </w:pPr>
      <w:r>
        <w:rPr>
          <w:rFonts w:ascii="Calibri" w:cs="Calibri" w:eastAsia="Calibri" w:hAnsi="Calibri"/>
          <w:b/>
          <w:bCs/>
          <w:sz w:val="21"/>
          <w:szCs w:val="21"/>
        </w:rPr>
        <w:t xml:space="preserve">For the regulator. </w:t>
      </w:r>
      <w:r>
        <w:rPr>
          <w:rFonts w:ascii="Calibri" w:cs="Calibri" w:eastAsia="Calibri" w:hAnsi="Calibri"/>
          <w:sz w:val="21"/>
          <w:szCs w:val="21"/>
        </w:rPr>
        <w:t xml:space="preserve">SEBI's F&amp;O risk disclosure could be extended to high-turnover cash-market trading: a statement of cost per round trip and of how often short-horizon rules beat Treasury bills.</w:t>
      </w:r>
    </w:p>
    <w:p>
      <w:pPr>
        <w:pStyle w:val="Heading1"/>
        <w:pageBreakBefore/>
        <w:spacing w:after="200" w:before="0"/>
      </w:pPr>
      <w:r>
        <w:rPr>
          <w:rFonts w:ascii="Calibri" w:cs="Calibri" w:eastAsia="Calibri" w:hAnsi="Calibri"/>
          <w:b/>
          <w:bCs/>
          <w:color w:val="1F4E79"/>
          <w:sz w:val="32"/>
          <w:szCs w:val="32"/>
        </w:rPr>
        <w:t xml:space="preserve">References</w:t>
      </w:r>
    </w:p>
    <w:p>
      <w:pPr>
        <w:spacing w:after="80" w:before="0" w:line="276"/>
        <w:ind w:left="360" w:hanging="360"/>
        <w:jc w:val="left"/>
      </w:pPr>
      <w:r>
        <w:rPr>
          <w:rFonts w:ascii="Calibri" w:cs="Calibri" w:eastAsia="Calibri" w:hAnsi="Calibri"/>
          <w:sz w:val="19"/>
          <w:szCs w:val="19"/>
        </w:rPr>
        <w:t xml:space="preserve">Bailey, D. H., Borwein, J., López de Prado, M., &amp; Zhu, Q. J. (2014). Pseudo-mathematics and financial charlatanism: The effects of backtest overfitting on out-of-sample performance. Notices of the AMS, 61(5), 458–471.</w:t>
      </w:r>
    </w:p>
    <w:p>
      <w:pPr>
        <w:spacing w:after="80" w:before="0" w:line="276"/>
        <w:ind w:left="360" w:hanging="360"/>
        <w:jc w:val="left"/>
      </w:pPr>
      <w:r>
        <w:rPr>
          <w:rFonts w:ascii="Calibri" w:cs="Calibri" w:eastAsia="Calibri" w:hAnsi="Calibri"/>
          <w:sz w:val="19"/>
          <w:szCs w:val="19"/>
        </w:rPr>
        <w:t xml:space="preserve">Barber, B. M., &amp; Odean, T. (2000). Trading is hazardous to your wealth: The common stock investment performance of individual investors. Journal of Finance, 55(2), 773–806.</w:t>
      </w:r>
    </w:p>
    <w:p>
      <w:pPr>
        <w:spacing w:after="80" w:before="0" w:line="276"/>
        <w:ind w:left="360" w:hanging="360"/>
        <w:jc w:val="left"/>
      </w:pPr>
      <w:r>
        <w:rPr>
          <w:rFonts w:ascii="Calibri" w:cs="Calibri" w:eastAsia="Calibri" w:hAnsi="Calibri"/>
          <w:sz w:val="19"/>
          <w:szCs w:val="19"/>
        </w:rPr>
        <w:t xml:space="preserve">Barber, B. M., &amp; Odean, T. (2001). Boys will be boys: Gender, overconfidence, and common stock investment. Quarterly Journal of Economics, 116(1), 261–292.</w:t>
      </w:r>
    </w:p>
    <w:p>
      <w:pPr>
        <w:spacing w:after="80" w:before="0" w:line="276"/>
        <w:ind w:left="360" w:hanging="360"/>
        <w:jc w:val="left"/>
      </w:pPr>
      <w:r>
        <w:rPr>
          <w:rFonts w:ascii="Calibri" w:cs="Calibri" w:eastAsia="Calibri" w:hAnsi="Calibri"/>
          <w:sz w:val="19"/>
          <w:szCs w:val="19"/>
        </w:rPr>
        <w:t xml:space="preserve">Barberis, N., Shleifer, A., &amp; Vishny, R. (1998). A model of investor sentiment. Journal of Financial Economics, 49(3), 307–343.</w:t>
      </w:r>
    </w:p>
    <w:p>
      <w:pPr>
        <w:spacing w:after="80" w:before="0" w:line="276"/>
        <w:ind w:left="360" w:hanging="360"/>
        <w:jc w:val="left"/>
      </w:pPr>
      <w:r>
        <w:rPr>
          <w:rFonts w:ascii="Calibri" w:cs="Calibri" w:eastAsia="Calibri" w:hAnsi="Calibri"/>
          <w:sz w:val="19"/>
          <w:szCs w:val="19"/>
        </w:rPr>
        <w:t xml:space="preserve">Bikhchandani, S., Hirshleifer, D., &amp; Welch, I. (1992). A theory of fads, fashion, custom, and cultural change as informational cascades. Journal of Political Economy, 100(5), 992–1026.</w:t>
      </w:r>
    </w:p>
    <w:p>
      <w:pPr>
        <w:spacing w:after="80" w:before="0" w:line="276"/>
        <w:ind w:left="360" w:hanging="360"/>
        <w:jc w:val="left"/>
      </w:pPr>
      <w:r>
        <w:rPr>
          <w:rFonts w:ascii="Calibri" w:cs="Calibri" w:eastAsia="Calibri" w:hAnsi="Calibri"/>
          <w:sz w:val="19"/>
          <w:szCs w:val="19"/>
        </w:rPr>
        <w:t xml:space="preserve">Bollinger, J. (2001). Bollinger on Bollinger Bands. McGraw-Hill.</w:t>
      </w:r>
    </w:p>
    <w:p>
      <w:pPr>
        <w:spacing w:after="80" w:before="0" w:line="276"/>
        <w:ind w:left="360" w:hanging="360"/>
        <w:jc w:val="left"/>
      </w:pPr>
      <w:r>
        <w:rPr>
          <w:rFonts w:ascii="Calibri" w:cs="Calibri" w:eastAsia="Calibri" w:hAnsi="Calibri"/>
          <w:sz w:val="19"/>
          <w:szCs w:val="19"/>
        </w:rPr>
        <w:t xml:space="preserve">Brock, W., Lakonishok, J., &amp; LeBaron, B. (1992). Simple technical trading rules and the stochastic properties of stock returns. Journal of Finance, 47(5), 1731–1764.</w:t>
      </w:r>
    </w:p>
    <w:p>
      <w:pPr>
        <w:spacing w:after="80" w:before="0" w:line="276"/>
        <w:ind w:left="360" w:hanging="360"/>
        <w:jc w:val="left"/>
      </w:pPr>
      <w:r>
        <w:rPr>
          <w:rFonts w:ascii="Calibri" w:cs="Calibri" w:eastAsia="Calibri" w:hAnsi="Calibri"/>
          <w:sz w:val="19"/>
          <w:szCs w:val="19"/>
        </w:rPr>
        <w:t xml:space="preserve">Edwards, W. (1968). Conservatism in human information processing. In B. Kleinmuntz (Ed.), Formal Representation of Human Judgment (pp. 17–52). Wiley.</w:t>
      </w:r>
    </w:p>
    <w:p>
      <w:pPr>
        <w:spacing w:after="80" w:before="0" w:line="276"/>
        <w:ind w:left="360" w:hanging="360"/>
        <w:jc w:val="left"/>
      </w:pPr>
      <w:r>
        <w:rPr>
          <w:rFonts w:ascii="Calibri" w:cs="Calibri" w:eastAsia="Calibri" w:hAnsi="Calibri"/>
          <w:sz w:val="19"/>
          <w:szCs w:val="19"/>
        </w:rPr>
        <w:t xml:space="preserve">George, T. J., &amp; Hwang, C.-Y. (2004). The 52-week high and momentum investing. Journal of Finance, 59(5), 2145–2176.</w:t>
      </w:r>
    </w:p>
    <w:p>
      <w:pPr>
        <w:spacing w:after="80" w:before="0" w:line="276"/>
        <w:ind w:left="360" w:hanging="360"/>
        <w:jc w:val="left"/>
      </w:pPr>
      <w:r>
        <w:rPr>
          <w:rFonts w:ascii="Calibri" w:cs="Calibri" w:eastAsia="Calibri" w:hAnsi="Calibri"/>
          <w:sz w:val="19"/>
          <w:szCs w:val="19"/>
        </w:rPr>
        <w:t xml:space="preserve">Gilovich, T., Vallone, R., &amp; Tversky, A. (1985). The hot hand in basketball: On the misperception of random sequences. Cognitive Psychology, 17(3), 295–314.</w:t>
      </w:r>
    </w:p>
    <w:p>
      <w:pPr>
        <w:spacing w:after="80" w:before="0" w:line="276"/>
        <w:ind w:left="360" w:hanging="360"/>
        <w:jc w:val="left"/>
      </w:pPr>
      <w:r>
        <w:rPr>
          <w:rFonts w:ascii="Calibri" w:cs="Calibri" w:eastAsia="Calibri" w:hAnsi="Calibri"/>
          <w:sz w:val="19"/>
          <w:szCs w:val="19"/>
        </w:rPr>
        <w:t xml:space="preserve">Granville, J. (1963). Granville's New Key to Stock Market Profits. Prentice-Hall.</w:t>
      </w:r>
    </w:p>
    <w:p>
      <w:pPr>
        <w:spacing w:after="80" w:before="0" w:line="276"/>
        <w:ind w:left="360" w:hanging="360"/>
        <w:jc w:val="left"/>
      </w:pPr>
      <w:r>
        <w:rPr>
          <w:rFonts w:ascii="Calibri" w:cs="Calibri" w:eastAsia="Calibri" w:hAnsi="Calibri"/>
          <w:sz w:val="19"/>
          <w:szCs w:val="19"/>
        </w:rPr>
        <w:t xml:space="preserve">Greenwood, R., &amp; Shleifer, A. (2014). Expectations of returns and expected returns. Review of Financial Studies, 27(3), 714–746.</w:t>
      </w:r>
    </w:p>
    <w:p>
      <w:pPr>
        <w:spacing w:after="80" w:before="0" w:line="276"/>
        <w:ind w:left="360" w:hanging="360"/>
        <w:jc w:val="left"/>
      </w:pPr>
      <w:r>
        <w:rPr>
          <w:rFonts w:ascii="Calibri" w:cs="Calibri" w:eastAsia="Calibri" w:hAnsi="Calibri"/>
          <w:sz w:val="19"/>
          <w:szCs w:val="19"/>
        </w:rPr>
        <w:t xml:space="preserve">Harvey, C. R., Liu, Y., &amp; Zhu, H. (2016). … and the cross-section of expected returns. Review of Financial Studies, 29(1), 5–68.</w:t>
      </w:r>
    </w:p>
    <w:p>
      <w:pPr>
        <w:spacing w:after="80" w:before="0" w:line="276"/>
        <w:ind w:left="360" w:hanging="360"/>
        <w:jc w:val="left"/>
      </w:pPr>
      <w:r>
        <w:rPr>
          <w:rFonts w:ascii="Calibri" w:cs="Calibri" w:eastAsia="Calibri" w:hAnsi="Calibri"/>
          <w:sz w:val="19"/>
          <w:szCs w:val="19"/>
        </w:rPr>
        <w:t xml:space="preserve">Jegadeesh, N., &amp; Titman, S. (1993). Returns to buying winners and selling losers. Journal of Finance, 48(1), 65–91.</w:t>
      </w:r>
    </w:p>
    <w:p>
      <w:pPr>
        <w:spacing w:after="80" w:before="0" w:line="276"/>
        <w:ind w:left="360" w:hanging="360"/>
        <w:jc w:val="left"/>
      </w:pPr>
      <w:r>
        <w:rPr>
          <w:rFonts w:ascii="Calibri" w:cs="Calibri" w:eastAsia="Calibri" w:hAnsi="Calibri"/>
          <w:sz w:val="19"/>
          <w:szCs w:val="19"/>
        </w:rPr>
        <w:t xml:space="preserve">Lakonishok, J., Shleifer, A., &amp; Vishny, R. W. (1992). The impact of institutional trading on stock prices. Journal of Financial Economics, 32(1), 23–43.</w:t>
      </w:r>
    </w:p>
    <w:p>
      <w:pPr>
        <w:spacing w:after="80" w:before="0" w:line="276"/>
        <w:ind w:left="360" w:hanging="360"/>
        <w:jc w:val="left"/>
      </w:pPr>
      <w:r>
        <w:rPr>
          <w:rFonts w:ascii="Calibri" w:cs="Calibri" w:eastAsia="Calibri" w:hAnsi="Calibri"/>
          <w:sz w:val="19"/>
          <w:szCs w:val="19"/>
        </w:rPr>
        <w:t xml:space="preserve">Lo, A. W. (2002). The statistics of Sharpe ratios. Financial Analysts Journal, 58(4), 36–52.</w:t>
      </w:r>
    </w:p>
    <w:p>
      <w:pPr>
        <w:spacing w:after="80" w:before="0" w:line="276"/>
        <w:ind w:left="360" w:hanging="360"/>
        <w:jc w:val="left"/>
      </w:pPr>
      <w:r>
        <w:rPr>
          <w:rFonts w:ascii="Calibri" w:cs="Calibri" w:eastAsia="Calibri" w:hAnsi="Calibri"/>
          <w:sz w:val="19"/>
          <w:szCs w:val="19"/>
        </w:rPr>
        <w:t xml:space="preserve">Lo, A. W., Mamaysky, H., &amp; Wang, J. (2000). Foundations of technical analysis. Journal of Finance, 55(4), 1705–1765.</w:t>
      </w:r>
    </w:p>
    <w:p>
      <w:pPr>
        <w:spacing w:after="80" w:before="0" w:line="276"/>
        <w:ind w:left="360" w:hanging="360"/>
        <w:jc w:val="left"/>
      </w:pPr>
      <w:r>
        <w:rPr>
          <w:rFonts w:ascii="Calibri" w:cs="Calibri" w:eastAsia="Calibri" w:hAnsi="Calibri"/>
          <w:sz w:val="19"/>
          <w:szCs w:val="19"/>
        </w:rPr>
        <w:t xml:space="preserve">Moskowitz, T. J., Ooi, Y. H., &amp; Pedersen, L. H. (2012). Time series momentum. Journal of Financial Economics, 104(2), 228–250.</w:t>
      </w:r>
    </w:p>
    <w:p>
      <w:pPr>
        <w:spacing w:after="80" w:before="0" w:line="276"/>
        <w:ind w:left="360" w:hanging="360"/>
        <w:jc w:val="left"/>
      </w:pPr>
      <w:r>
        <w:rPr>
          <w:rFonts w:ascii="Calibri" w:cs="Calibri" w:eastAsia="Calibri" w:hAnsi="Calibri"/>
          <w:sz w:val="19"/>
          <w:szCs w:val="19"/>
        </w:rPr>
        <w:t xml:space="preserve">Nickerson, R. S. (1998). Confirmation bias: A ubiquitous phenomenon in many guises. Review of General Psychology, 2(2), 175–220.</w:t>
      </w:r>
    </w:p>
    <w:p>
      <w:pPr>
        <w:spacing w:after="80" w:before="0" w:line="276"/>
        <w:ind w:left="360" w:hanging="360"/>
        <w:jc w:val="left"/>
      </w:pPr>
      <w:r>
        <w:rPr>
          <w:rFonts w:ascii="Calibri" w:cs="Calibri" w:eastAsia="Calibri" w:hAnsi="Calibri"/>
          <w:sz w:val="19"/>
          <w:szCs w:val="19"/>
        </w:rPr>
        <w:t xml:space="preserve">Park, C.-H., &amp; Irwin, S. H. (2007). What do we know about the profitability of technical analysis? Journal of Economic Surveys, 21(4), 786–826.</w:t>
      </w:r>
    </w:p>
    <w:p>
      <w:pPr>
        <w:spacing w:after="80" w:before="0" w:line="276"/>
        <w:ind w:left="360" w:hanging="360"/>
        <w:jc w:val="left"/>
      </w:pPr>
      <w:r>
        <w:rPr>
          <w:rFonts w:ascii="Calibri" w:cs="Calibri" w:eastAsia="Calibri" w:hAnsi="Calibri"/>
          <w:sz w:val="19"/>
          <w:szCs w:val="19"/>
        </w:rPr>
        <w:t xml:space="preserve">Przybylski, A. K., Murayama, K., DeHaan, C. R., &amp; Gladwell, V. (2013). Motivational, emotional, and behavioral correlates of fear of missing out. Computers in Human Behavior, 29(4), 1841–1848.</w:t>
      </w:r>
    </w:p>
    <w:p>
      <w:pPr>
        <w:spacing w:after="80" w:before="0" w:line="276"/>
        <w:ind w:left="360" w:hanging="360"/>
        <w:jc w:val="left"/>
      </w:pPr>
      <w:r>
        <w:rPr>
          <w:rFonts w:ascii="Calibri" w:cs="Calibri" w:eastAsia="Calibri" w:hAnsi="Calibri"/>
          <w:sz w:val="19"/>
          <w:szCs w:val="19"/>
        </w:rPr>
        <w:t xml:space="preserve">SEBI (2024). Analysis of profit and loss of individual traders dealing in equity F&amp;O segment, FY22–FY24. Securities and Exchange Board of India, September 2024.</w:t>
      </w:r>
    </w:p>
    <w:p>
      <w:pPr>
        <w:spacing w:after="80" w:before="0" w:line="276"/>
        <w:ind w:left="360" w:hanging="360"/>
        <w:jc w:val="left"/>
      </w:pPr>
      <w:r>
        <w:rPr>
          <w:rFonts w:ascii="Calibri" w:cs="Calibri" w:eastAsia="Calibri" w:hAnsi="Calibri"/>
          <w:sz w:val="19"/>
          <w:szCs w:val="19"/>
        </w:rPr>
        <w:t xml:space="preserve">Shefrin, H., &amp; Statman, M. (1985). The disposition to sell winners too early and ride losers too long. Journal of Finance, 40(3), 777–790.</w:t>
      </w:r>
    </w:p>
    <w:p>
      <w:pPr>
        <w:spacing w:after="80" w:before="0" w:line="276"/>
        <w:ind w:left="360" w:hanging="360"/>
        <w:jc w:val="left"/>
      </w:pPr>
      <w:r>
        <w:rPr>
          <w:rFonts w:ascii="Calibri" w:cs="Calibri" w:eastAsia="Calibri" w:hAnsi="Calibri"/>
          <w:sz w:val="19"/>
          <w:szCs w:val="19"/>
        </w:rPr>
        <w:t xml:space="preserve">TradingView (2024). Pine Script v6 User Manual and Reference Manual. https://www.tradingview.com/pine-script-docs/</w:t>
      </w:r>
    </w:p>
    <w:p>
      <w:pPr>
        <w:spacing w:after="80" w:before="0" w:line="276"/>
        <w:ind w:left="360" w:hanging="360"/>
        <w:jc w:val="left"/>
      </w:pPr>
      <w:r>
        <w:rPr>
          <w:rFonts w:ascii="Calibri" w:cs="Calibri" w:eastAsia="Calibri" w:hAnsi="Calibri"/>
          <w:sz w:val="19"/>
          <w:szCs w:val="19"/>
        </w:rPr>
        <w:t xml:space="preserve">Tversky, A., &amp; Kahneman, D. (1974). Judgment under uncertainty: Heuristics and biases. Science, 185(4157), 1124–1131.</w:t>
      </w:r>
    </w:p>
    <w:p>
      <w:pPr>
        <w:spacing w:after="80" w:before="0" w:line="276"/>
        <w:ind w:left="360" w:hanging="360"/>
        <w:jc w:val="left"/>
      </w:pPr>
      <w:r>
        <w:rPr>
          <w:rFonts w:ascii="Calibri" w:cs="Calibri" w:eastAsia="Calibri" w:hAnsi="Calibri"/>
          <w:sz w:val="19"/>
          <w:szCs w:val="19"/>
        </w:rPr>
        <w:t xml:space="preserve">Wilder, J. W. (1978). New Concepts in Technical Trading Systems. Trend Research.</w:t>
      </w:r>
    </w:p>
    <w:p>
      <w:pPr>
        <w:spacing w:after="80" w:before="0" w:line="276"/>
        <w:ind w:left="360" w:hanging="360"/>
        <w:jc w:val="left"/>
      </w:pPr>
      <w:r>
        <w:rPr>
          <w:rFonts w:ascii="Calibri" w:cs="Calibri" w:eastAsia="Calibri" w:hAnsi="Calibri"/>
          <w:sz w:val="19"/>
          <w:szCs w:val="19"/>
        </w:rPr>
        <w:t xml:space="preserve">Zerodha (2026). Charges: equity delivery (STT, stamp duty, exchange and SEBI charges). https://zerodha.com/charges</w:t>
      </w:r>
    </w:p>
    <w:p>
      <w:pPr>
        <w:pStyle w:val="Heading1"/>
        <w:pageBreakBefore/>
        <w:spacing w:after="200" w:before="0"/>
      </w:pPr>
      <w:r>
        <w:rPr>
          <w:rFonts w:ascii="Calibri" w:cs="Calibri" w:eastAsia="Calibri" w:hAnsi="Calibri"/>
          <w:b/>
          <w:bCs/>
          <w:color w:val="1F4E79"/>
          <w:sz w:val="32"/>
          <w:szCs w:val="32"/>
        </w:rPr>
        <w:t xml:space="preserve">Appendix A. Pine Script File Inventory</w:t>
      </w:r>
    </w:p>
    <w:p>
      <w:pPr>
        <w:spacing w:after="120" w:before="0" w:line="276"/>
        <w:jc w:val="both"/>
      </w:pPr>
      <w:r>
        <w:rPr>
          <w:rFonts w:ascii="Calibri" w:cs="Calibri" w:eastAsia="Calibri" w:hAnsi="Calibri"/>
          <w:sz w:val="21"/>
          <w:szCs w:val="21"/>
        </w:rPr>
        <w:t xml:space="preserve">All eighteen files are delivered alongside this report and target Pine Script v6. To use one: open any of NSE:RELIANCE, HDFCBANK, INFY, ITC, MARUTI, SUNPHARMA or LT on the daily time frame, open the Pine Editor, paste the file, and click 'Add to chart'. For the three strategy files (and file 18), results appear in the Strategy Tester tab; set the chart's date range to January 2015 onward to match this report.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1000"/>
        <w:gridCol w:w="3626"/>
        <w:gridCol w:w="800"/>
      </w:tblGrid>
      <w:tr>
        <w:trPr>
          <w:cantSplit/>
          <w:tblHeader/>
        </w:trPr>
        <w:tc>
          <w:tcPr>
            <w:tcW w:type="dxa" w:w="4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tcPr>
          <w:p>
            <w:pPr>
              <w:jc w:val="left"/>
            </w:pPr>
            <w:r>
              <w:rPr>
                <w:rFonts w:ascii="Calibri" w:cs="Calibri" w:eastAsia="Calibri" w:hAnsi="Calibri"/>
                <w:b/>
                <w:bCs/>
                <w:color w:val="FFFFFF"/>
                <w:sz w:val="17"/>
                <w:szCs w:val="17"/>
              </w:rPr>
              <w:t xml:space="preserve">#</w:t>
            </w:r>
          </w:p>
        </w:tc>
        <w:tc>
          <w:tcPr>
            <w:tcW w:type="dxa" w:w="32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tcPr>
          <w:p>
            <w:pPr>
              <w:jc w:val="left"/>
            </w:pPr>
            <w:r>
              <w:rPr>
                <w:rFonts w:ascii="Calibri" w:cs="Calibri" w:eastAsia="Calibri" w:hAnsi="Calibri"/>
                <w:b/>
                <w:bCs/>
                <w:color w:val="FFFFFF"/>
                <w:sz w:val="17"/>
                <w:szCs w:val="17"/>
              </w:rPr>
              <w:t xml:space="preserve">File</w:t>
            </w:r>
          </w:p>
        </w:tc>
        <w:tc>
          <w:tcPr>
            <w:tcW w:type="dxa" w:w="10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tcPr>
          <w:p>
            <w:pPr>
              <w:jc w:val="left"/>
            </w:pPr>
            <w:r>
              <w:rPr>
                <w:rFonts w:ascii="Calibri" w:cs="Calibri" w:eastAsia="Calibri" w:hAnsi="Calibri"/>
                <w:b/>
                <w:bCs/>
                <w:color w:val="FFFFFF"/>
                <w:sz w:val="17"/>
                <w:szCs w:val="17"/>
              </w:rPr>
              <w:t xml:space="preserve">Type</w:t>
            </w:r>
          </w:p>
        </w:tc>
        <w:tc>
          <w:tcPr>
            <w:tcW w:type="dxa" w:w="3626"/>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tcPr>
          <w:p>
            <w:pPr>
              <w:jc w:val="left"/>
            </w:pPr>
            <w:r>
              <w:rPr>
                <w:rFonts w:ascii="Calibri" w:cs="Calibri" w:eastAsia="Calibri" w:hAnsi="Calibri"/>
                <w:b/>
                <w:bCs/>
                <w:color w:val="FFFFFF"/>
                <w:sz w:val="17"/>
                <w:szCs w:val="17"/>
              </w:rPr>
              <w:t xml:space="preserve">What it does</w:t>
            </w:r>
          </w:p>
        </w:tc>
        <w:tc>
          <w:tcPr>
            <w:tcW w:type="dxa" w:w="800"/>
            <w:tcBorders>
              <w:top w:val="single" w:color="BFBFBF" w:sz="4"/>
              <w:left w:val="single" w:color="BFBFBF" w:sz="4"/>
              <w:bottom w:val="single" w:color="BFBFBF" w:sz="4"/>
              <w:right w:val="single" w:color="BFBFBF" w:sz="4"/>
            </w:tcBorders>
            <w:shd w:fill="1F4E79" w:color="auto" w:val="clear"/>
            <w:tcMar>
              <w:top w:type="dxa" w:w="50"/>
              <w:left w:type="dxa" w:w="80"/>
              <w:bottom w:type="dxa" w:w="50"/>
              <w:right w:type="dxa" w:w="80"/>
            </w:tcMar>
          </w:tcPr>
          <w:p>
            <w:pPr>
              <w:jc w:val="left"/>
            </w:pPr>
            <w:r>
              <w:rPr>
                <w:rFonts w:ascii="Calibri" w:cs="Calibri" w:eastAsia="Calibri" w:hAnsi="Calibri"/>
                <w:b/>
                <w:bCs/>
                <w:color w:val="FFFFFF"/>
                <w:sz w:val="17"/>
                <w:szCs w:val="17"/>
              </w:rPr>
              <w:t xml:space="preserve">Section</w:t>
            </w:r>
          </w:p>
        </w:tc>
      </w:tr>
      <w:tr>
        <w:trPr>
          <w:cantSplit/>
        </w:trPr>
        <w:tc>
          <w:tcPr>
            <w:tcW w:type="dxa" w:w="4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1</w:t>
            </w:r>
          </w:p>
        </w:tc>
        <w:tc>
          <w:tcPr>
            <w:tcW w:type="dxa" w:w="32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01_SMA_Crossover.pine</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indicator</w:t>
            </w:r>
          </w:p>
        </w:tc>
        <w:tc>
          <w:tcPr>
            <w:tcW w:type="dxa" w:w="36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SMA 20/50 crossover + SMA200 regime shading</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3.1</w:t>
            </w:r>
          </w:p>
        </w:tc>
      </w:tr>
      <w:tr>
        <w:trPr>
          <w:cantSplit/>
        </w:trPr>
        <w:tc>
          <w:tcPr>
            <w:tcW w:type="dxa" w:w="4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color w:val="000000"/>
                <w:sz w:val="17"/>
                <w:szCs w:val="17"/>
              </w:rPr>
              <w:t xml:space="preserve">2</w:t>
            </w:r>
          </w:p>
        </w:tc>
        <w:tc>
          <w:tcPr>
            <w:tcW w:type="dxa" w:w="32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color w:val="000000"/>
                <w:sz w:val="17"/>
                <w:szCs w:val="17"/>
              </w:rPr>
              <w:t xml:space="preserve">02_EMA_Crossover.pine</w:t>
            </w:r>
          </w:p>
        </w:tc>
        <w:tc>
          <w:tcPr>
            <w:tcW w:type="dxa" w:w="10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color w:val="000000"/>
                <w:sz w:val="17"/>
                <w:szCs w:val="17"/>
              </w:rPr>
              <w:t xml:space="preserve">indicator</w:t>
            </w:r>
          </w:p>
        </w:tc>
        <w:tc>
          <w:tcPr>
            <w:tcW w:type="dxa" w:w="3626"/>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color w:val="000000"/>
                <w:sz w:val="17"/>
                <w:szCs w:val="17"/>
              </w:rPr>
              <w:t xml:space="preserve">EMA 9/21 crossover with trend fill</w:t>
            </w:r>
          </w:p>
        </w:tc>
        <w:tc>
          <w:tcPr>
            <w:tcW w:type="dxa" w:w="8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color w:val="000000"/>
                <w:sz w:val="17"/>
                <w:szCs w:val="17"/>
              </w:rPr>
              <w:t xml:space="preserve">3.2</w:t>
            </w:r>
          </w:p>
        </w:tc>
      </w:tr>
      <w:tr>
        <w:trPr>
          <w:cantSplit/>
        </w:trPr>
        <w:tc>
          <w:tcPr>
            <w:tcW w:type="dxa" w:w="4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3</w:t>
            </w:r>
          </w:p>
        </w:tc>
        <w:tc>
          <w:tcPr>
            <w:tcW w:type="dxa" w:w="32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03_RSI.pine</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indicator</w:t>
            </w:r>
          </w:p>
        </w:tc>
        <w:tc>
          <w:tcPr>
            <w:tcW w:type="dxa" w:w="36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RSI(14) with 30/70 bands and signals</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3.3</w:t>
            </w:r>
          </w:p>
        </w:tc>
      </w:tr>
      <w:tr>
        <w:trPr>
          <w:cantSplit/>
        </w:trPr>
        <w:tc>
          <w:tcPr>
            <w:tcW w:type="dxa" w:w="4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color w:val="000000"/>
                <w:sz w:val="17"/>
                <w:szCs w:val="17"/>
              </w:rPr>
              <w:t xml:space="preserve">4</w:t>
            </w:r>
          </w:p>
        </w:tc>
        <w:tc>
          <w:tcPr>
            <w:tcW w:type="dxa" w:w="32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color w:val="000000"/>
                <w:sz w:val="17"/>
                <w:szCs w:val="17"/>
              </w:rPr>
              <w:t xml:space="preserve">04_MACD.pine</w:t>
            </w:r>
          </w:p>
        </w:tc>
        <w:tc>
          <w:tcPr>
            <w:tcW w:type="dxa" w:w="10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color w:val="000000"/>
                <w:sz w:val="17"/>
                <w:szCs w:val="17"/>
              </w:rPr>
              <w:t xml:space="preserve">indicator</w:t>
            </w:r>
          </w:p>
        </w:tc>
        <w:tc>
          <w:tcPr>
            <w:tcW w:type="dxa" w:w="3626"/>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color w:val="000000"/>
                <w:sz w:val="17"/>
                <w:szCs w:val="17"/>
              </w:rPr>
              <w:t xml:space="preserve">MACD(12,26,9) line, signal, histogram</w:t>
            </w:r>
          </w:p>
        </w:tc>
        <w:tc>
          <w:tcPr>
            <w:tcW w:type="dxa" w:w="8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color w:val="000000"/>
                <w:sz w:val="17"/>
                <w:szCs w:val="17"/>
              </w:rPr>
              <w:t xml:space="preserve">3.4</w:t>
            </w:r>
          </w:p>
        </w:tc>
      </w:tr>
      <w:tr>
        <w:trPr>
          <w:cantSplit/>
        </w:trPr>
        <w:tc>
          <w:tcPr>
            <w:tcW w:type="dxa" w:w="4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5</w:t>
            </w:r>
          </w:p>
        </w:tc>
        <w:tc>
          <w:tcPr>
            <w:tcW w:type="dxa" w:w="32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05_Bollinger_Bands.pine</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indicator</w:t>
            </w:r>
          </w:p>
        </w:tc>
        <w:tc>
          <w:tcPr>
            <w:tcW w:type="dxa" w:w="36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Bollinger Bands(20,2), re-entry signals, squeeze</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3.5</w:t>
            </w:r>
          </w:p>
        </w:tc>
      </w:tr>
      <w:tr>
        <w:trPr>
          <w:cantSplit/>
        </w:trPr>
        <w:tc>
          <w:tcPr>
            <w:tcW w:type="dxa" w:w="4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color w:val="000000"/>
                <w:sz w:val="17"/>
                <w:szCs w:val="17"/>
              </w:rPr>
              <w:t xml:space="preserve">6</w:t>
            </w:r>
          </w:p>
        </w:tc>
        <w:tc>
          <w:tcPr>
            <w:tcW w:type="dxa" w:w="32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color w:val="000000"/>
                <w:sz w:val="17"/>
                <w:szCs w:val="17"/>
              </w:rPr>
              <w:t xml:space="preserve">06_Stochastic.pine</w:t>
            </w:r>
          </w:p>
        </w:tc>
        <w:tc>
          <w:tcPr>
            <w:tcW w:type="dxa" w:w="10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color w:val="000000"/>
                <w:sz w:val="17"/>
                <w:szCs w:val="17"/>
              </w:rPr>
              <w:t xml:space="preserve">indicator</w:t>
            </w:r>
          </w:p>
        </w:tc>
        <w:tc>
          <w:tcPr>
            <w:tcW w:type="dxa" w:w="3626"/>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color w:val="000000"/>
                <w:sz w:val="17"/>
                <w:szCs w:val="17"/>
              </w:rPr>
              <w:t xml:space="preserve">Slow Stochastic(14,3,3) with 20/80 signals</w:t>
            </w:r>
          </w:p>
        </w:tc>
        <w:tc>
          <w:tcPr>
            <w:tcW w:type="dxa" w:w="8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color w:val="000000"/>
                <w:sz w:val="17"/>
                <w:szCs w:val="17"/>
              </w:rPr>
              <w:t xml:space="preserve">3.6</w:t>
            </w:r>
          </w:p>
        </w:tc>
      </w:tr>
      <w:tr>
        <w:trPr>
          <w:cantSplit/>
        </w:trPr>
        <w:tc>
          <w:tcPr>
            <w:tcW w:type="dxa" w:w="4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7</w:t>
            </w:r>
          </w:p>
        </w:tc>
        <w:tc>
          <w:tcPr>
            <w:tcW w:type="dxa" w:w="32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07_ADX_DMI.pine</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indicator</w:t>
            </w:r>
          </w:p>
        </w:tc>
        <w:tc>
          <w:tcPr>
            <w:tcW w:type="dxa" w:w="36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ADX/DMI(14) with trend-regime shading</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3.7</w:t>
            </w:r>
          </w:p>
        </w:tc>
      </w:tr>
      <w:tr>
        <w:trPr>
          <w:cantSplit/>
        </w:trPr>
        <w:tc>
          <w:tcPr>
            <w:tcW w:type="dxa" w:w="4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color w:val="000000"/>
                <w:sz w:val="17"/>
                <w:szCs w:val="17"/>
              </w:rPr>
              <w:t xml:space="preserve">8</w:t>
            </w:r>
          </w:p>
        </w:tc>
        <w:tc>
          <w:tcPr>
            <w:tcW w:type="dxa" w:w="32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color w:val="000000"/>
                <w:sz w:val="17"/>
                <w:szCs w:val="17"/>
              </w:rPr>
              <w:t xml:space="preserve">08_OBV.pine</w:t>
            </w:r>
          </w:p>
        </w:tc>
        <w:tc>
          <w:tcPr>
            <w:tcW w:type="dxa" w:w="10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color w:val="000000"/>
                <w:sz w:val="17"/>
                <w:szCs w:val="17"/>
              </w:rPr>
              <w:t xml:space="preserve">indicator</w:t>
            </w:r>
          </w:p>
        </w:tc>
        <w:tc>
          <w:tcPr>
            <w:tcW w:type="dxa" w:w="3626"/>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color w:val="000000"/>
                <w:sz w:val="17"/>
                <w:szCs w:val="17"/>
              </w:rPr>
              <w:t xml:space="preserve">On-Balance Volume + EMA20, divergence shading</w:t>
            </w:r>
          </w:p>
        </w:tc>
        <w:tc>
          <w:tcPr>
            <w:tcW w:type="dxa" w:w="8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color w:val="000000"/>
                <w:sz w:val="17"/>
                <w:szCs w:val="17"/>
              </w:rPr>
              <w:t xml:space="preserve">3.8</w:t>
            </w:r>
          </w:p>
        </w:tc>
      </w:tr>
      <w:tr>
        <w:trPr>
          <w:cantSplit/>
        </w:trPr>
        <w:tc>
          <w:tcPr>
            <w:tcW w:type="dxa" w:w="4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9</w:t>
            </w:r>
          </w:p>
        </w:tc>
        <w:tc>
          <w:tcPr>
            <w:tcW w:type="dxa" w:w="32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09_Supertrend.pine</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indicator</w:t>
            </w:r>
          </w:p>
        </w:tc>
        <w:tc>
          <w:tcPr>
            <w:tcW w:type="dxa" w:w="36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Supertrend(10, 3) trailing line, flip signals</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3.9</w:t>
            </w:r>
          </w:p>
        </w:tc>
      </w:tr>
      <w:tr>
        <w:trPr>
          <w:cantSplit/>
        </w:trPr>
        <w:tc>
          <w:tcPr>
            <w:tcW w:type="dxa" w:w="4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color w:val="000000"/>
                <w:sz w:val="17"/>
                <w:szCs w:val="17"/>
              </w:rPr>
              <w:t xml:space="preserve">10</w:t>
            </w:r>
          </w:p>
        </w:tc>
        <w:tc>
          <w:tcPr>
            <w:tcW w:type="dxa" w:w="32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color w:val="000000"/>
                <w:sz w:val="17"/>
                <w:szCs w:val="17"/>
              </w:rPr>
              <w:t xml:space="preserve">10_CCI.pine</w:t>
            </w:r>
          </w:p>
        </w:tc>
        <w:tc>
          <w:tcPr>
            <w:tcW w:type="dxa" w:w="10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color w:val="000000"/>
                <w:sz w:val="17"/>
                <w:szCs w:val="17"/>
              </w:rPr>
              <w:t xml:space="preserve">indicator</w:t>
            </w:r>
          </w:p>
        </w:tc>
        <w:tc>
          <w:tcPr>
            <w:tcW w:type="dxa" w:w="3626"/>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color w:val="000000"/>
                <w:sz w:val="17"/>
                <w:szCs w:val="17"/>
              </w:rPr>
              <w:t xml:space="preserve">CCI(20) with ±100 bands and signals</w:t>
            </w:r>
          </w:p>
        </w:tc>
        <w:tc>
          <w:tcPr>
            <w:tcW w:type="dxa" w:w="8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color w:val="000000"/>
                <w:sz w:val="17"/>
                <w:szCs w:val="17"/>
              </w:rPr>
              <w:t xml:space="preserve">3.10</w:t>
            </w:r>
          </w:p>
        </w:tc>
      </w:tr>
      <w:tr>
        <w:trPr>
          <w:cantSplit/>
        </w:trPr>
        <w:tc>
          <w:tcPr>
            <w:tcW w:type="dxa" w:w="4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11</w:t>
            </w:r>
          </w:p>
        </w:tc>
        <w:tc>
          <w:tcPr>
            <w:tcW w:type="dxa" w:w="32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11_MFI.pine</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indicator</w:t>
            </w:r>
          </w:p>
        </w:tc>
        <w:tc>
          <w:tcPr>
            <w:tcW w:type="dxa" w:w="36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MFI(14) with 20/80 signals, RSI divergence shading</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3.11</w:t>
            </w:r>
          </w:p>
        </w:tc>
      </w:tr>
      <w:tr>
        <w:trPr>
          <w:cantSplit/>
        </w:trPr>
        <w:tc>
          <w:tcPr>
            <w:tcW w:type="dxa" w:w="4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color w:val="000000"/>
                <w:sz w:val="17"/>
                <w:szCs w:val="17"/>
              </w:rPr>
              <w:t xml:space="preserve">12</w:t>
            </w:r>
          </w:p>
        </w:tc>
        <w:tc>
          <w:tcPr>
            <w:tcW w:type="dxa" w:w="32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color w:val="000000"/>
                <w:sz w:val="17"/>
                <w:szCs w:val="17"/>
              </w:rPr>
              <w:t xml:space="preserve">12_Donchian_Channel.pine</w:t>
            </w:r>
          </w:p>
        </w:tc>
        <w:tc>
          <w:tcPr>
            <w:tcW w:type="dxa" w:w="10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color w:val="000000"/>
                <w:sz w:val="17"/>
                <w:szCs w:val="17"/>
              </w:rPr>
              <w:t xml:space="preserve">indicator</w:t>
            </w:r>
          </w:p>
        </w:tc>
        <w:tc>
          <w:tcPr>
            <w:tcW w:type="dxa" w:w="3626"/>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color w:val="000000"/>
                <w:sz w:val="17"/>
                <w:szCs w:val="17"/>
              </w:rPr>
              <w:t xml:space="preserve">Donchian(20) channel, breakout/breakdown signals</w:t>
            </w:r>
          </w:p>
        </w:tc>
        <w:tc>
          <w:tcPr>
            <w:tcW w:type="dxa" w:w="8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color w:val="000000"/>
                <w:sz w:val="17"/>
                <w:szCs w:val="17"/>
              </w:rPr>
              <w:t xml:space="preserve">3.12</w:t>
            </w:r>
          </w:p>
        </w:tc>
      </w:tr>
      <w:tr>
        <w:trPr>
          <w:cantSplit/>
        </w:trPr>
        <w:tc>
          <w:tcPr>
            <w:tcW w:type="dxa" w:w="4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13</w:t>
            </w:r>
          </w:p>
        </w:tc>
        <w:tc>
          <w:tcPr>
            <w:tcW w:type="dxa" w:w="32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13_SevenStock_Dashboard.pine</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indicator</w:t>
            </w:r>
          </w:p>
        </w:tc>
        <w:tc>
          <w:tcPr>
            <w:tcW w:type="dxa" w:w="36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All 12 indicators × all 7 stocks in one table (request.security)</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3.13</w:t>
            </w:r>
          </w:p>
        </w:tc>
      </w:tr>
      <w:tr>
        <w:trPr>
          <w:cantSplit/>
        </w:trPr>
        <w:tc>
          <w:tcPr>
            <w:tcW w:type="dxa" w:w="4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color w:val="000000"/>
                <w:sz w:val="17"/>
                <w:szCs w:val="17"/>
              </w:rPr>
              <w:t xml:space="preserve">14</w:t>
            </w:r>
          </w:p>
        </w:tc>
        <w:tc>
          <w:tcPr>
            <w:tcW w:type="dxa" w:w="32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color w:val="000000"/>
                <w:sz w:val="17"/>
                <w:szCs w:val="17"/>
              </w:rPr>
              <w:t xml:space="preserve">14_Strategy_A_7Day_MeanReversion.pine</w:t>
            </w:r>
          </w:p>
        </w:tc>
        <w:tc>
          <w:tcPr>
            <w:tcW w:type="dxa" w:w="10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color w:val="000000"/>
                <w:sz w:val="17"/>
                <w:szCs w:val="17"/>
              </w:rPr>
              <w:t xml:space="preserve">strategy</w:t>
            </w:r>
          </w:p>
        </w:tc>
        <w:tc>
          <w:tcPr>
            <w:tcW w:type="dxa" w:w="3626"/>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color w:val="000000"/>
                <w:sz w:val="17"/>
                <w:szCs w:val="17"/>
              </w:rPr>
              <w:t xml:space="preserve">7-day RSI/Stochastic mean reversion with SMA200 filter</w:t>
            </w:r>
          </w:p>
        </w:tc>
        <w:tc>
          <w:tcPr>
            <w:tcW w:type="dxa" w:w="8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color w:val="000000"/>
                <w:sz w:val="17"/>
                <w:szCs w:val="17"/>
              </w:rPr>
              <w:t xml:space="preserve">4</w:t>
            </w:r>
          </w:p>
        </w:tc>
      </w:tr>
      <w:tr>
        <w:trPr>
          <w:cantSplit/>
        </w:trPr>
        <w:tc>
          <w:tcPr>
            <w:tcW w:type="dxa" w:w="4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15</w:t>
            </w:r>
          </w:p>
        </w:tc>
        <w:tc>
          <w:tcPr>
            <w:tcW w:type="dxa" w:w="32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15_Strategy_B_15Day_Momentum.pine</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strategy</w:t>
            </w:r>
          </w:p>
        </w:tc>
        <w:tc>
          <w:tcPr>
            <w:tcW w:type="dxa" w:w="36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15-day MACD/EMA momentum with OBV confirmation</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4</w:t>
            </w:r>
          </w:p>
        </w:tc>
      </w:tr>
      <w:tr>
        <w:trPr>
          <w:cantSplit/>
        </w:trPr>
        <w:tc>
          <w:tcPr>
            <w:tcW w:type="dxa" w:w="4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color w:val="000000"/>
                <w:sz w:val="17"/>
                <w:szCs w:val="17"/>
              </w:rPr>
              <w:t xml:space="preserve">16</w:t>
            </w:r>
          </w:p>
        </w:tc>
        <w:tc>
          <w:tcPr>
            <w:tcW w:type="dxa" w:w="32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color w:val="000000"/>
                <w:sz w:val="17"/>
                <w:szCs w:val="17"/>
              </w:rPr>
              <w:t xml:space="preserve">16_Strategy_C_60Day_Trend.pine</w:t>
            </w:r>
          </w:p>
        </w:tc>
        <w:tc>
          <w:tcPr>
            <w:tcW w:type="dxa" w:w="10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color w:val="000000"/>
                <w:sz w:val="17"/>
                <w:szCs w:val="17"/>
              </w:rPr>
              <w:t xml:space="preserve">strategy</w:t>
            </w:r>
          </w:p>
        </w:tc>
        <w:tc>
          <w:tcPr>
            <w:tcW w:type="dxa" w:w="3626"/>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color w:val="000000"/>
                <w:sz w:val="17"/>
                <w:szCs w:val="17"/>
              </w:rPr>
              <w:t xml:space="preserve">60-day SMA/ADX trend following</w:t>
            </w:r>
          </w:p>
        </w:tc>
        <w:tc>
          <w:tcPr>
            <w:tcW w:type="dxa" w:w="8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color w:val="000000"/>
                <w:sz w:val="17"/>
                <w:szCs w:val="17"/>
              </w:rPr>
              <w:t xml:space="preserve">4</w:t>
            </w:r>
          </w:p>
        </w:tc>
      </w:tr>
      <w:tr>
        <w:trPr>
          <w:cantSplit/>
        </w:trPr>
        <w:tc>
          <w:tcPr>
            <w:tcW w:type="dxa" w:w="4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17</w:t>
            </w:r>
          </w:p>
        </w:tc>
        <w:tc>
          <w:tcPr>
            <w:tcW w:type="dxa" w:w="32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17_Bias_Lab.pine</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indicator</w:t>
            </w:r>
          </w:p>
        </w:tc>
        <w:tc>
          <w:tcPr>
            <w:tcW w:type="dxa" w:w="36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Eight bias illustrations with live evidence tables (drop-down)</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color w:val="000000"/>
                <w:sz w:val="17"/>
                <w:szCs w:val="17"/>
              </w:rPr>
              <w:t xml:space="preserve">5</w:t>
            </w:r>
          </w:p>
        </w:tc>
      </w:tr>
      <w:tr>
        <w:trPr>
          <w:cantSplit/>
        </w:trPr>
        <w:tc>
          <w:tcPr>
            <w:tcW w:type="dxa" w:w="4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color w:val="000000"/>
                <w:sz w:val="17"/>
                <w:szCs w:val="17"/>
              </w:rPr>
              <w:t xml:space="preserve">18</w:t>
            </w:r>
          </w:p>
        </w:tc>
        <w:tc>
          <w:tcPr>
            <w:tcW w:type="dxa" w:w="32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color w:val="000000"/>
                <w:sz w:val="17"/>
                <w:szCs w:val="17"/>
              </w:rPr>
              <w:t xml:space="preserve">18_Strategy_Disciplined.pine</w:t>
            </w:r>
          </w:p>
        </w:tc>
        <w:tc>
          <w:tcPr>
            <w:tcW w:type="dxa" w:w="10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color w:val="000000"/>
                <w:sz w:val="17"/>
                <w:szCs w:val="17"/>
              </w:rPr>
              <w:t xml:space="preserve">strategy</w:t>
            </w:r>
          </w:p>
        </w:tc>
        <w:tc>
          <w:tcPr>
            <w:tcW w:type="dxa" w:w="3626"/>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color w:val="000000"/>
                <w:sz w:val="17"/>
                <w:szCs w:val="17"/>
              </w:rPr>
              <w:t xml:space="preserve">Bias-mitigated A/B/C with M1–M3 switches and IS/OOS scorecard</w:t>
            </w:r>
          </w:p>
        </w:tc>
        <w:tc>
          <w:tcPr>
            <w:tcW w:type="dxa" w:w="800"/>
            <w:tcBorders>
              <w:top w:val="single" w:color="BFBFBF" w:sz="4"/>
              <w:left w:val="single" w:color="BFBFBF" w:sz="4"/>
              <w:bottom w:val="single" w:color="BFBFBF" w:sz="4"/>
              <w:right w:val="single" w:color="BFBFBF" w:sz="4"/>
            </w:tcBorders>
            <w:shd w:fill="F2F5F9" w:color="auto" w:val="clear"/>
            <w:tcMar>
              <w:top w:type="dxa" w:w="50"/>
              <w:left w:type="dxa" w:w="80"/>
              <w:bottom w:type="dxa" w:w="50"/>
              <w:right w:type="dxa" w:w="80"/>
            </w:tcMar>
          </w:tcPr>
          <w:p>
            <w:pPr>
              <w:jc w:val="left"/>
            </w:pPr>
            <w:r>
              <w:rPr>
                <w:rFonts w:ascii="Calibri" w:cs="Calibri" w:eastAsia="Calibri" w:hAnsi="Calibri"/>
                <w:color w:val="000000"/>
                <w:sz w:val="17"/>
                <w:szCs w:val="17"/>
              </w:rPr>
              <w:t xml:space="preserve">6</w:t>
            </w:r>
          </w:p>
        </w:tc>
      </w:tr>
    </w:tbl>
    <w:p>
      <w:pPr>
        <w:pStyle w:val="Heading1"/>
        <w:pageBreakBefore/>
        <w:spacing w:after="200" w:before="0"/>
      </w:pPr>
      <w:r>
        <w:rPr>
          <w:rFonts w:ascii="Calibri" w:cs="Calibri" w:eastAsia="Calibri" w:hAnsi="Calibri"/>
          <w:b/>
          <w:bCs/>
          <w:color w:val="1F4E79"/>
          <w:sz w:val="32"/>
          <w:szCs w:val="32"/>
        </w:rPr>
        <w:t xml:space="preserve">Appendix B. Complete Pine Script Source</w:t>
      </w:r>
    </w:p>
    <w:p>
      <w:pPr>
        <w:pStyle w:val="Heading2"/>
        <w:keepNext/>
        <w:spacing w:after="120" w:before="240"/>
      </w:pPr>
      <w:r>
        <w:rPr>
          <w:rFonts w:ascii="Calibri" w:cs="Calibri" w:eastAsia="Calibri" w:hAnsi="Calibri"/>
          <w:b/>
          <w:bCs/>
          <w:color w:val="1F4E79"/>
          <w:sz w:val="26"/>
          <w:szCs w:val="26"/>
        </w:rPr>
        <w:t xml:space="preserve">B.1 01_SMA_Crossover.pine</w:t>
      </w:r>
    </w:p>
    <w:p>
      <w:pPr>
        <w:keepNext w:val="false"/>
        <w:keepLines/>
        <w:shd w:fill="F4F4F2" w:color="auto" w:val="clear"/>
        <w:spacing w:after="0" w:line="228"/>
        <w:ind w:left="120" w:right="120"/>
      </w:pPr>
      <w:r>
        <w:rPr>
          <w:rFonts w:ascii="Consolas" w:cs="Consolas" w:eastAsia="Consolas" w:hAnsi="Consolas"/>
          <w:color w:val="4F7F4F"/>
          <w:sz w:val="14"/>
          <w:szCs w:val="14"/>
        </w:rPr>
        <w:t xml:space="preserve">//@version=6</w:t>
      </w:r>
    </w:p>
    <w:p>
      <w:pPr>
        <w:keepNext w:val="false"/>
        <w:keepLines/>
        <w:shd w:fill="F4F4F2" w:color="auto" w:val="clear"/>
        <w:spacing w:after="0" w:line="228"/>
        <w:ind w:left="120" w:right="120"/>
      </w:pPr>
      <w:r>
        <w:rPr>
          <w:rFonts w:ascii="Consolas" w:cs="Consolas" w:eastAsia="Consolas" w:hAnsi="Consolas"/>
          <w:color w:val="4F7F4F"/>
          <w:sz w:val="14"/>
          <w:szCs w:val="14"/>
        </w:rPr>
        <w:t xml:space="preserve">// MBA680 | Indicator 1 of 12 — Simple Moving Average crossover (20/50) + SMA200 regime line</w:t>
      </w:r>
    </w:p>
    <w:p>
      <w:pPr>
        <w:keepNext w:val="false"/>
        <w:keepLines/>
        <w:shd w:fill="F4F4F2" w:color="auto" w:val="clear"/>
        <w:spacing w:after="0" w:line="228"/>
        <w:ind w:left="120" w:right="120"/>
      </w:pPr>
      <w:r>
        <w:rPr>
          <w:rFonts w:ascii="Consolas" w:cs="Consolas" w:eastAsia="Consolas" w:hAnsi="Consolas"/>
          <w:color w:val="4F7F4F"/>
          <w:sz w:val="14"/>
          <w:szCs w:val="14"/>
        </w:rPr>
        <w:t xml:space="preserve">// Apply to any of: NSE:RELIANCE, NSE:HDFCBANK, NSE:INFY, NSE:ITC, NSE:MARUTI, NSE:SUNPHARMA, NSE:LT (Daily)</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indicator("MBA680 · SMA 20/50 Crossover", shorttitle="SMA X", overlay=true)</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fastLen = input.int(20,  "Fast SMA", minval=1)</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slowLen = input.int(50,  "Slow SMA", minval=1)</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regLen  = input.int(200, "Regime SMA", minval=1)</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fast = ta.sma(close, fastLen)</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slow = ta.sma(close, slowLen)</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reg  = ta.sma(close, regLen)</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golden = ta.crossover(fast, slow)</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death  = ta.crossunder(fast, slow)</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plot(fast, "SMA fast", color=color.new(#2a78d6, 0), linewidth=2)</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plot(slow, "SMA slow", color=color.new(#eb6834, 0), linewidth=2)</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plot(reg,  "SMA 200",  color=color.new(#4a3aa7, 0), linewidth=1)</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plotshape(golden, "Golden cross", shape.triangleup,   location.belowbar, color.new(#008300, 0), size=size.small)</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plotshape(death,  "Death cross",  shape.triangledown, location.abovebar, color.new(#e34948, 0), size=size.small)</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bgcolor(close &gt; reg ? color.new(#008300, 94) : color.new(#e34948, 94), title="Above / below SMA200")</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alertcondition(golden, "SMA golden cross", "{{ticker}}: SMA {{interval}} golden cross")</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alertcondition(death,  "SMA death cross",  "{{ticker}}: SMA {{interval}} death cross")</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w:t>
      </w:r>
    </w:p>
    <w:p>
      <w:pPr>
        <w:pStyle w:val="Heading2"/>
        <w:keepNext/>
        <w:spacing w:after="120" w:before="240"/>
      </w:pPr>
      <w:r>
        <w:rPr>
          <w:rFonts w:ascii="Calibri" w:cs="Calibri" w:eastAsia="Calibri" w:hAnsi="Calibri"/>
          <w:b/>
          <w:bCs/>
          <w:color w:val="1F4E79"/>
          <w:sz w:val="26"/>
          <w:szCs w:val="26"/>
        </w:rPr>
        <w:t xml:space="preserve">B.2 02_EMA_Crossover.pine</w:t>
      </w:r>
    </w:p>
    <w:p>
      <w:pPr>
        <w:keepNext w:val="false"/>
        <w:keepLines/>
        <w:shd w:fill="F4F4F2" w:color="auto" w:val="clear"/>
        <w:spacing w:after="0" w:line="228"/>
        <w:ind w:left="120" w:right="120"/>
      </w:pPr>
      <w:r>
        <w:rPr>
          <w:rFonts w:ascii="Consolas" w:cs="Consolas" w:eastAsia="Consolas" w:hAnsi="Consolas"/>
          <w:color w:val="4F7F4F"/>
          <w:sz w:val="14"/>
          <w:szCs w:val="14"/>
        </w:rPr>
        <w:t xml:space="preserve">//@version=6</w:t>
      </w:r>
    </w:p>
    <w:p>
      <w:pPr>
        <w:keepNext w:val="false"/>
        <w:keepLines/>
        <w:shd w:fill="F4F4F2" w:color="auto" w:val="clear"/>
        <w:spacing w:after="0" w:line="228"/>
        <w:ind w:left="120" w:right="120"/>
      </w:pPr>
      <w:r>
        <w:rPr>
          <w:rFonts w:ascii="Consolas" w:cs="Consolas" w:eastAsia="Consolas" w:hAnsi="Consolas"/>
          <w:color w:val="4F7F4F"/>
          <w:sz w:val="14"/>
          <w:szCs w:val="14"/>
        </w:rPr>
        <w:t xml:space="preserve">// MBA680 | Indicator 2 of 12 — Exponential Moving Average crossover (9/21)</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indicator("MBA680 · EMA 9/21 Crossover", shorttitle="EMA X", overlay=true)</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fastLen = input.int(9,  "Fast EMA", minval=1)</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slowLen = input.int(21, "Slow EMA", minval=1)</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f = ta.ema(close, fastLen)</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s = ta.ema(close, slowLen)</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pf = plot(f, "EMA fast", color=#2a78d6, linewidth=2)</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ps = plot(s, "EMA slow", color=#eb6834, linewidth=2)</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fill(pf, ps, color = f &gt; s ? color.new(#008300, 85) : color.new(#e34948, 85), title="Trend fill")</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bull = ta.crossover(f, s)</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bear = ta.crossunder(f, s)</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plotshape(bull, "Bullish cross", shape.triangleup,   location.belowbar, #008300, size=size.small)</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plotshape(bear, "Bearish cross", shape.triangledown, location.abovebar, #e34948, size=size.small)</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alertcondition(bull, "EMA bullish cross", "{{ticker}}: EMA 9 crossed above EMA 21")</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alertcondition(bear, "EMA bearish cross", "{{ticker}}: EMA 9 crossed below EMA 21")</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w:t>
      </w:r>
    </w:p>
    <w:p>
      <w:pPr>
        <w:pStyle w:val="Heading2"/>
        <w:keepNext/>
        <w:spacing w:after="120" w:before="240"/>
      </w:pPr>
      <w:r>
        <w:rPr>
          <w:rFonts w:ascii="Calibri" w:cs="Calibri" w:eastAsia="Calibri" w:hAnsi="Calibri"/>
          <w:b/>
          <w:bCs/>
          <w:color w:val="1F4E79"/>
          <w:sz w:val="26"/>
          <w:szCs w:val="26"/>
        </w:rPr>
        <w:t xml:space="preserve">B.3 03_RSI.pine</w:t>
      </w:r>
    </w:p>
    <w:p>
      <w:pPr>
        <w:keepNext w:val="false"/>
        <w:keepLines/>
        <w:shd w:fill="F4F4F2" w:color="auto" w:val="clear"/>
        <w:spacing w:after="0" w:line="228"/>
        <w:ind w:left="120" w:right="120"/>
      </w:pPr>
      <w:r>
        <w:rPr>
          <w:rFonts w:ascii="Consolas" w:cs="Consolas" w:eastAsia="Consolas" w:hAnsi="Consolas"/>
          <w:color w:val="4F7F4F"/>
          <w:sz w:val="14"/>
          <w:szCs w:val="14"/>
        </w:rPr>
        <w:t xml:space="preserve">//@version=6</w:t>
      </w:r>
    </w:p>
    <w:p>
      <w:pPr>
        <w:keepNext w:val="false"/>
        <w:keepLines/>
        <w:shd w:fill="F4F4F2" w:color="auto" w:val="clear"/>
        <w:spacing w:after="0" w:line="228"/>
        <w:ind w:left="120" w:right="120"/>
      </w:pPr>
      <w:r>
        <w:rPr>
          <w:rFonts w:ascii="Consolas" w:cs="Consolas" w:eastAsia="Consolas" w:hAnsi="Consolas"/>
          <w:color w:val="4F7F4F"/>
          <w:sz w:val="14"/>
          <w:szCs w:val="14"/>
        </w:rPr>
        <w:t xml:space="preserve">// MBA680 | Indicator 3 of 12 — Relative Strength Index (Wilder, 14)</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indicator("MBA680 · RSI (14)", shorttitle="RSI", overlay=false)</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len = input.int(14, "Length", minval=2)</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ob  = input.int(70, "Overbought")</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os  = input.int(30, "Oversold")</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r = ta.rsi(close, len)</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plot(r, "RSI", color=#4a3aa7, linewidth=2)</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h1 = hline(ob, "Overbought", color=#e34948, linestyle=hline.style_dashed)</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h2 = hline(os, "Oversold",   color=#008300, linestyle=hline.style_dashed)</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hline(50, "Mid", color=color.gray, linestyle=hline.style_dotted)</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fill(h1, h2, color=color.new(#4a3aa7, 94))</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buy  = ta.crossover(r, os)</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sell = ta.crossunder(r, ob)</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plotshape(buy  ? os : na, "RSI buy",  shape.circle, location.absolute, #008300, size=size.tiny)</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plotshape(sell ? ob : na, "RSI sell", shape.circle, location.absolute, #e34948, size=size.tiny)</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alertcondition(buy,  "RSI crosses up oversold",   "{{ticker}}: RSI crossed above oversold")</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alertcondition(sell, "RSI crosses down overbought", "{{ticker}}: RSI crossed below overbought")</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w:t>
      </w:r>
    </w:p>
    <w:p>
      <w:pPr>
        <w:pStyle w:val="Heading2"/>
        <w:keepNext/>
        <w:spacing w:after="120" w:before="240"/>
      </w:pPr>
      <w:r>
        <w:rPr>
          <w:rFonts w:ascii="Calibri" w:cs="Calibri" w:eastAsia="Calibri" w:hAnsi="Calibri"/>
          <w:b/>
          <w:bCs/>
          <w:color w:val="1F4E79"/>
          <w:sz w:val="26"/>
          <w:szCs w:val="26"/>
        </w:rPr>
        <w:t xml:space="preserve">B.4 04_MACD.pine</w:t>
      </w:r>
    </w:p>
    <w:p>
      <w:pPr>
        <w:keepNext w:val="false"/>
        <w:keepLines/>
        <w:shd w:fill="F4F4F2" w:color="auto" w:val="clear"/>
        <w:spacing w:after="0" w:line="228"/>
        <w:ind w:left="120" w:right="120"/>
      </w:pPr>
      <w:r>
        <w:rPr>
          <w:rFonts w:ascii="Consolas" w:cs="Consolas" w:eastAsia="Consolas" w:hAnsi="Consolas"/>
          <w:color w:val="4F7F4F"/>
          <w:sz w:val="14"/>
          <w:szCs w:val="14"/>
        </w:rPr>
        <w:t xml:space="preserve">//@version=6</w:t>
      </w:r>
    </w:p>
    <w:p>
      <w:pPr>
        <w:keepNext w:val="false"/>
        <w:keepLines/>
        <w:shd w:fill="F4F4F2" w:color="auto" w:val="clear"/>
        <w:spacing w:after="0" w:line="228"/>
        <w:ind w:left="120" w:right="120"/>
      </w:pPr>
      <w:r>
        <w:rPr>
          <w:rFonts w:ascii="Consolas" w:cs="Consolas" w:eastAsia="Consolas" w:hAnsi="Consolas"/>
          <w:color w:val="4F7F4F"/>
          <w:sz w:val="14"/>
          <w:szCs w:val="14"/>
        </w:rPr>
        <w:t xml:space="preserve">// MBA680 | Indicator 4 of 12 — MACD (12, 26, 9)</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indicator("MBA680 · MACD (12,26,9)", shorttitle="MACD", overlay=false)</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fastLen = input.int(12, "Fast")</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slowLen = input.int(26, "Slow")</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sigLen  = input.int(9,  "Signal")</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[m, sig, hist] = ta.macd(close, fastLen, slowLen, sigLen)</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plot(hist, "Histogram", style=plot.style_columns, color = hist &gt;= 0 ? color.new(#1baf7a, 20) : color.new(#e34948, 20))</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plot(m,   "MACD",   color=#2a78d6, linewidth=2)</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plot(sig, "Signal", color=#eb6834, linewidth=2)</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hline(0, "Zero", color=color.gray)</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bull = ta.crossover(m, sig)</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bear = ta.crossunder(m, sig)</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plotshape(bull ? m : na, "Bull cross", shape.circle, location.absolute, #008300, size=size.tiny)</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plotshape(bear ? m : na, "Bear cross", shape.circle, location.absolute, #e34948, size=size.tiny)</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alertcondition(bull, "MACD bullish cross", "{{ticker}}: MACD crossed above signal")</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alertcondition(bear, "MACD bearish cross", "{{ticker}}: MACD crossed below signal")</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w:t>
      </w:r>
    </w:p>
    <w:p>
      <w:pPr>
        <w:pStyle w:val="Heading2"/>
        <w:keepNext/>
        <w:spacing w:after="120" w:before="240"/>
      </w:pPr>
      <w:r>
        <w:rPr>
          <w:rFonts w:ascii="Calibri" w:cs="Calibri" w:eastAsia="Calibri" w:hAnsi="Calibri"/>
          <w:b/>
          <w:bCs/>
          <w:color w:val="1F4E79"/>
          <w:sz w:val="26"/>
          <w:szCs w:val="26"/>
        </w:rPr>
        <w:t xml:space="preserve">B.5 05_Bollinger_Bands.pine</w:t>
      </w:r>
    </w:p>
    <w:p>
      <w:pPr>
        <w:keepNext w:val="false"/>
        <w:keepLines/>
        <w:shd w:fill="F4F4F2" w:color="auto" w:val="clear"/>
        <w:spacing w:after="0" w:line="228"/>
        <w:ind w:left="120" w:right="120"/>
      </w:pPr>
      <w:r>
        <w:rPr>
          <w:rFonts w:ascii="Consolas" w:cs="Consolas" w:eastAsia="Consolas" w:hAnsi="Consolas"/>
          <w:color w:val="4F7F4F"/>
          <w:sz w:val="14"/>
          <w:szCs w:val="14"/>
        </w:rPr>
        <w:t xml:space="preserve">//@version=6</w:t>
      </w:r>
    </w:p>
    <w:p>
      <w:pPr>
        <w:keepNext w:val="false"/>
        <w:keepLines/>
        <w:shd w:fill="F4F4F2" w:color="auto" w:val="clear"/>
        <w:spacing w:after="0" w:line="228"/>
        <w:ind w:left="120" w:right="120"/>
      </w:pPr>
      <w:r>
        <w:rPr>
          <w:rFonts w:ascii="Consolas" w:cs="Consolas" w:eastAsia="Consolas" w:hAnsi="Consolas"/>
          <w:color w:val="4F7F4F"/>
          <w:sz w:val="14"/>
          <w:szCs w:val="14"/>
        </w:rPr>
        <w:t xml:space="preserve">// MBA680 | Indicator 5 of 12 — Bollinger Bands (20, 2 sigma) with %B</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indicator("MBA680 · Bollinger Bands (20,2)", shorttitle="BB", overlay=true)</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len  = input.int(20, "Length")</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mult = input.float(2.0, "Std-dev multiple", step=0.1)</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[mid, up, lo] = ta.bb(close, len, mult)</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pctB = (close - lo) / (up - lo)</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pu = plot(up, "Upper", color=#2a78d6)</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pl = plot(lo, "Lower", color=#2a78d6)</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plot(mid, "Basis", color=#eb6834, style=plot.style_line)</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fill(pu, pl, color=color.new(#2a78d6, 90))</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buy  = ta.crossover(close, lo)    // re-entry from below the lower band</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sell = ta.crossunder(close, up)   // re-entry from above the upper band</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plotshape(buy,  "Lower-band re-entry", shape.triangleup,   location.belowbar, #008300, size=size.small)</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plotshape(sell, "Upper-band re-entry", shape.triangledown, location.abovebar, #e34948, size=size.small)</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squeeze = (up - lo) / mid &lt; ta.lowest((up - lo) / mid, 120) * 1.05</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bgcolor(squeeze ? color.new(#eda100, 88) : na, title="Volatility squeeze")</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alertcondition(buy,  "BB lower re-entry", "{{ticker}}: close crossed back above lower band")</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alertcondition(sell, "BB upper re-entry", "{{ticker}}: close crossed back below upper band")</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w:t>
      </w:r>
    </w:p>
    <w:p>
      <w:pPr>
        <w:pStyle w:val="Heading2"/>
        <w:keepNext/>
        <w:spacing w:after="120" w:before="240"/>
      </w:pPr>
      <w:r>
        <w:rPr>
          <w:rFonts w:ascii="Calibri" w:cs="Calibri" w:eastAsia="Calibri" w:hAnsi="Calibri"/>
          <w:b/>
          <w:bCs/>
          <w:color w:val="1F4E79"/>
          <w:sz w:val="26"/>
          <w:szCs w:val="26"/>
        </w:rPr>
        <w:t xml:space="preserve">B.6 06_Stochastic.pine</w:t>
      </w:r>
    </w:p>
    <w:p>
      <w:pPr>
        <w:keepNext w:val="false"/>
        <w:keepLines/>
        <w:shd w:fill="F4F4F2" w:color="auto" w:val="clear"/>
        <w:spacing w:after="0" w:line="228"/>
        <w:ind w:left="120" w:right="120"/>
      </w:pPr>
      <w:r>
        <w:rPr>
          <w:rFonts w:ascii="Consolas" w:cs="Consolas" w:eastAsia="Consolas" w:hAnsi="Consolas"/>
          <w:color w:val="4F7F4F"/>
          <w:sz w:val="14"/>
          <w:szCs w:val="14"/>
        </w:rPr>
        <w:t xml:space="preserve">//@version=6</w:t>
      </w:r>
    </w:p>
    <w:p>
      <w:pPr>
        <w:keepNext w:val="false"/>
        <w:keepLines/>
        <w:shd w:fill="F4F4F2" w:color="auto" w:val="clear"/>
        <w:spacing w:after="0" w:line="228"/>
        <w:ind w:left="120" w:right="120"/>
      </w:pPr>
      <w:r>
        <w:rPr>
          <w:rFonts w:ascii="Consolas" w:cs="Consolas" w:eastAsia="Consolas" w:hAnsi="Consolas"/>
          <w:color w:val="4F7F4F"/>
          <w:sz w:val="14"/>
          <w:szCs w:val="14"/>
        </w:rPr>
        <w:t xml:space="preserve">// MBA680 | Indicator 6 of 12 — Slow Stochastic (14, 3, 3)</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indicator("MBA680 · Stochastic (14,3,3)", shorttitle="Stoch", overlay=false)</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kLen = input.int(14, "%K length")</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kSm  = input.int(3,  "%K smoothing")</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dSm  = input.int(3,  "%D smoothing")</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k = ta.sma(ta.stoch(close, high, low, kLen), kSm)</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d = ta.sma(k, dSm)</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plot(k, "%K", color=#2a78d6, linewidth=2)</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plot(d, "%D", color=#eb6834, linewidth=2)</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u = hline(80, "Upper", color=color.gray, linestyle=hline.style_dashed)</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l = hline(20, "Lower", color=color.gray, linestyle=hline.style_dashed)</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fill(u, l, color=color.new(#2a78d6, 95))</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buy  = ta.crossover(k, d)  and k &lt; 20</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sell = ta.crossunder(k, d) and k &gt; 80</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plotshape(buy  ? k : na, "Oversold bull cross",  shape.circle, location.absolute, #008300, size=size.tiny)</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plotshape(sell ? k : na, "Overbought bear cross", shape.circle, location.absolute, #e34948, size=size.tiny)</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alertcondition(buy,  "Stoch oversold buy",    "{{ticker}}: %K crossed %D below 20")</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alertcondition(sell, "Stoch overbought sell", "{{ticker}}: %K crossed under %D above 80")</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w:t>
      </w:r>
    </w:p>
    <w:p>
      <w:pPr>
        <w:pStyle w:val="Heading2"/>
        <w:keepNext/>
        <w:spacing w:after="120" w:before="240"/>
      </w:pPr>
      <w:r>
        <w:rPr>
          <w:rFonts w:ascii="Calibri" w:cs="Calibri" w:eastAsia="Calibri" w:hAnsi="Calibri"/>
          <w:b/>
          <w:bCs/>
          <w:color w:val="1F4E79"/>
          <w:sz w:val="26"/>
          <w:szCs w:val="26"/>
        </w:rPr>
        <w:t xml:space="preserve">B.7 07_ADX_DMI.pine</w:t>
      </w:r>
    </w:p>
    <w:p>
      <w:pPr>
        <w:keepNext w:val="false"/>
        <w:keepLines/>
        <w:shd w:fill="F4F4F2" w:color="auto" w:val="clear"/>
        <w:spacing w:after="0" w:line="228"/>
        <w:ind w:left="120" w:right="120"/>
      </w:pPr>
      <w:r>
        <w:rPr>
          <w:rFonts w:ascii="Consolas" w:cs="Consolas" w:eastAsia="Consolas" w:hAnsi="Consolas"/>
          <w:color w:val="4F7F4F"/>
          <w:sz w:val="14"/>
          <w:szCs w:val="14"/>
        </w:rPr>
        <w:t xml:space="preserve">//@version=6</w:t>
      </w:r>
    </w:p>
    <w:p>
      <w:pPr>
        <w:keepNext w:val="false"/>
        <w:keepLines/>
        <w:shd w:fill="F4F4F2" w:color="auto" w:val="clear"/>
        <w:spacing w:after="0" w:line="228"/>
        <w:ind w:left="120" w:right="120"/>
      </w:pPr>
      <w:r>
        <w:rPr>
          <w:rFonts w:ascii="Consolas" w:cs="Consolas" w:eastAsia="Consolas" w:hAnsi="Consolas"/>
          <w:color w:val="4F7F4F"/>
          <w:sz w:val="14"/>
          <w:szCs w:val="14"/>
        </w:rPr>
        <w:t xml:space="preserve">// MBA680 | Indicator 7 of 12 — Average Directional Index with +DI / -DI (14)</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indicator("MBA680 · ADX / DMI (14)", shorttitle="ADX", overlay=false)</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len   = input.int(14, "DI length")</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smth  = input.int(14, "ADX smoothing")</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thr   = input.int(25, "Trend threshold")</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[pdi, ndi, adx] = ta.dmi(len, smth)</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plot(adx, "ADX", color=color.black, linewidth=2)</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plot(pdi, "+DI", color=#008300)</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plot(ndi, "-DI", color=#e34948)</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hline(thr, "Trend threshold", color=color.gray, linestyle=hline.style_dashed)</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trending = adx &gt; thr</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bgcolor(trending ? (pdi &gt; ndi ? color.new(#008300, 90) : color.new(#e34948, 90)) : na, title="Trending regime")</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buy  = ta.crossover(pdi, ndi)  and adx &gt; 20</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sell = ta.crossunder(pdi, ndi) and adx &gt; 20</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alertcondition(buy,  "+DI over -DI in trend", "{{ticker}}: +DI crossed above -DI with ADX&gt;20")</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alertcondition(sell, "-DI over +DI in trend", "{{ticker}}: -DI crossed above +DI with ADX&gt;20")</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w:t>
      </w:r>
    </w:p>
    <w:p>
      <w:pPr>
        <w:pStyle w:val="Heading2"/>
        <w:keepNext/>
        <w:spacing w:after="120" w:before="240"/>
      </w:pPr>
      <w:r>
        <w:rPr>
          <w:rFonts w:ascii="Calibri" w:cs="Calibri" w:eastAsia="Calibri" w:hAnsi="Calibri"/>
          <w:b/>
          <w:bCs/>
          <w:color w:val="1F4E79"/>
          <w:sz w:val="26"/>
          <w:szCs w:val="26"/>
        </w:rPr>
        <w:t xml:space="preserve">B.8 08_OBV.pine</w:t>
      </w:r>
    </w:p>
    <w:p>
      <w:pPr>
        <w:keepNext w:val="false"/>
        <w:keepLines/>
        <w:shd w:fill="F4F4F2" w:color="auto" w:val="clear"/>
        <w:spacing w:after="0" w:line="228"/>
        <w:ind w:left="120" w:right="120"/>
      </w:pPr>
      <w:r>
        <w:rPr>
          <w:rFonts w:ascii="Consolas" w:cs="Consolas" w:eastAsia="Consolas" w:hAnsi="Consolas"/>
          <w:color w:val="4F7F4F"/>
          <w:sz w:val="14"/>
          <w:szCs w:val="14"/>
        </w:rPr>
        <w:t xml:space="preserve">//@version=6</w:t>
      </w:r>
    </w:p>
    <w:p>
      <w:pPr>
        <w:keepNext w:val="false"/>
        <w:keepLines/>
        <w:shd w:fill="F4F4F2" w:color="auto" w:val="clear"/>
        <w:spacing w:after="0" w:line="228"/>
        <w:ind w:left="120" w:right="120"/>
      </w:pPr>
      <w:r>
        <w:rPr>
          <w:rFonts w:ascii="Consolas" w:cs="Consolas" w:eastAsia="Consolas" w:hAnsi="Consolas"/>
          <w:color w:val="4F7F4F"/>
          <w:sz w:val="14"/>
          <w:szCs w:val="14"/>
        </w:rPr>
        <w:t xml:space="preserve">// MBA680 | Indicator 8 of 12 — On-Balance Volume with EMA(20) signal line</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indicator("MBA680 · On-Balance Volume", shorttitle="OBV", overlay=false, format=format.volume)</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emaLen = input.int(20, "Signal EMA")</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obv = ta.obv</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sig = ta.ema(obv, emaLen)</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plot(obv, "OBV", color=#2a78d6, linewidth=2)</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plot(sig, "OBV EMA", color=#eb6834)</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bull = ta.crossover(obv, sig)</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bear = ta.crossunder(obv, sig)</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plotshape(bull ? obv : na, "Accumulation", shape.circle, location.absolute, #008300, size=size.tiny)</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plotshape(bear ? obv : na, "Distribution", shape.circle, location.absolute, #e34948, size=size.tiny)</w:t>
      </w:r>
    </w:p>
    <w:p>
      <w:pPr>
        <w:keepNext w:val="false"/>
        <w:keepLines/>
        <w:shd w:fill="F4F4F2" w:color="auto" w:val="clear"/>
        <w:spacing w:after="0" w:line="228"/>
        <w:ind w:left="120" w:right="120"/>
      </w:pPr>
      <w:r>
        <w:rPr>
          <w:rFonts w:ascii="Consolas" w:cs="Consolas" w:eastAsia="Consolas" w:hAnsi="Consolas"/>
          <w:color w:val="4F7F4F"/>
          <w:sz w:val="14"/>
          <w:szCs w:val="14"/>
        </w:rPr>
        <w:t xml:space="preserve">// price/volume divergence: price at 50-bar high while OBV is not</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div = close &gt;= ta.highest(close, 50) and obv &lt; ta.highest(obv, 50)</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bgcolor(div ? color.new(#eda100, 85) : na, title="Bearish OBV divergence")</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alertcondition(bull, "OBV crosses above EMA", "{{ticker}}: volume accumulation")</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alertcondition(bear, "OBV crosses below EMA", "{{ticker}}: volume distribution")</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w:t>
      </w:r>
    </w:p>
    <w:p>
      <w:pPr>
        <w:pStyle w:val="Heading2"/>
        <w:keepNext/>
        <w:spacing w:after="120" w:before="240"/>
      </w:pPr>
      <w:r>
        <w:rPr>
          <w:rFonts w:ascii="Calibri" w:cs="Calibri" w:eastAsia="Calibri" w:hAnsi="Calibri"/>
          <w:b/>
          <w:bCs/>
          <w:color w:val="1F4E79"/>
          <w:sz w:val="26"/>
          <w:szCs w:val="26"/>
        </w:rPr>
        <w:t xml:space="preserve">B.9 09_Supertrend.pine</w:t>
      </w:r>
    </w:p>
    <w:p>
      <w:pPr>
        <w:keepNext w:val="false"/>
        <w:keepLines/>
        <w:shd w:fill="F4F4F2" w:color="auto" w:val="clear"/>
        <w:spacing w:after="0" w:line="228"/>
        <w:ind w:left="120" w:right="120"/>
      </w:pPr>
      <w:r>
        <w:rPr>
          <w:rFonts w:ascii="Consolas" w:cs="Consolas" w:eastAsia="Consolas" w:hAnsi="Consolas"/>
          <w:color w:val="4F7F4F"/>
          <w:sz w:val="14"/>
          <w:szCs w:val="14"/>
        </w:rPr>
        <w:t xml:space="preserve">//@version=6</w:t>
      </w:r>
    </w:p>
    <w:p>
      <w:pPr>
        <w:keepNext w:val="false"/>
        <w:keepLines/>
        <w:shd w:fill="F4F4F2" w:color="auto" w:val="clear"/>
        <w:spacing w:after="0" w:line="228"/>
        <w:ind w:left="120" w:right="120"/>
      </w:pPr>
      <w:r>
        <w:rPr>
          <w:rFonts w:ascii="Consolas" w:cs="Consolas" w:eastAsia="Consolas" w:hAnsi="Consolas"/>
          <w:color w:val="4F7F4F"/>
          <w:sz w:val="14"/>
          <w:szCs w:val="14"/>
        </w:rPr>
        <w:t xml:space="preserve">// MBA680 | Indicator 9 of 12 — Supertrend (ATR 10, factor 3): ATR-based trailing trend line</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indicator("MBA680 · Supertrend", shorttitle="Supertrend", overlay=true)</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atrLen = input.int(10, "ATR length")</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factor = input.float(3.0, "ATR multiplier", step=0.1)</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[st, dir] = ta.supertrend(factor, atrLen)        // dir = -1 up-trend, +1 down-trend</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upT = dir &lt; 0</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pUp = plot(upT ? st : na, "Supertrend (up)", color=#008300, linewidth=2, style=plot.style_linebr)</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pDn = plot(upT ? na : st, "Supertrend (down)", color=#e34948, linewidth=2, style=plot.style_linebr)</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pMid = plot(hl2, "hl2", display=display.none)</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fill(pMid, pUp, color=color.new(#008300, 90))</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fill(pMid, pDn, color=color.new(#e34948, 90))</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buy  = ta.change(dir) &lt; 0                          // flips from down-trend to up-trend</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sell = ta.change(dir) &gt; 0</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plotshape(buy,  "Buy",  shape.triangleup,   location.belowbar, #008300, size=size.small)</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plotshape(sell, "Sell", shape.triangledown, location.abovebar, #e34948, size=size.small)</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alertcondition(buy,  "Supertrend flips up",   "{{ticker}}: Supertrend turned bullish")</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alertcondition(sell, "Supertrend flips down", "{{ticker}}: Supertrend turned bearish")</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w:t>
      </w:r>
    </w:p>
    <w:p>
      <w:pPr>
        <w:pStyle w:val="Heading2"/>
        <w:keepNext/>
        <w:spacing w:after="120" w:before="240"/>
      </w:pPr>
      <w:r>
        <w:rPr>
          <w:rFonts w:ascii="Calibri" w:cs="Calibri" w:eastAsia="Calibri" w:hAnsi="Calibri"/>
          <w:b/>
          <w:bCs/>
          <w:color w:val="1F4E79"/>
          <w:sz w:val="26"/>
          <w:szCs w:val="26"/>
        </w:rPr>
        <w:t xml:space="preserve">B.10 10_CCI.pine</w:t>
      </w:r>
    </w:p>
    <w:p>
      <w:pPr>
        <w:keepNext w:val="false"/>
        <w:keepLines/>
        <w:shd w:fill="F4F4F2" w:color="auto" w:val="clear"/>
        <w:spacing w:after="0" w:line="228"/>
        <w:ind w:left="120" w:right="120"/>
      </w:pPr>
      <w:r>
        <w:rPr>
          <w:rFonts w:ascii="Consolas" w:cs="Consolas" w:eastAsia="Consolas" w:hAnsi="Consolas"/>
          <w:color w:val="4F7F4F"/>
          <w:sz w:val="14"/>
          <w:szCs w:val="14"/>
        </w:rPr>
        <w:t xml:space="preserve">//@version=6</w:t>
      </w:r>
    </w:p>
    <w:p>
      <w:pPr>
        <w:keepNext w:val="false"/>
        <w:keepLines/>
        <w:shd w:fill="F4F4F2" w:color="auto" w:val="clear"/>
        <w:spacing w:after="0" w:line="228"/>
        <w:ind w:left="120" w:right="120"/>
      </w:pPr>
      <w:r>
        <w:rPr>
          <w:rFonts w:ascii="Consolas" w:cs="Consolas" w:eastAsia="Consolas" w:hAnsi="Consolas"/>
          <w:color w:val="4F7F4F"/>
          <w:sz w:val="14"/>
          <w:szCs w:val="14"/>
        </w:rPr>
        <w:t xml:space="preserve">// MBA680 | Indicator 10 of 12 — Commodity Channel Index (20) on typical price hlc3</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indicator("MBA680 · Commodity Channel Index", shorttitle="CCI", overlay=false)</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len = input.int(20, "Length")</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cci = ta.cci(hlc3, len)                            // (hlc3 - SMA) / (0.015 x mean abs deviation)</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plot(cci, "CCI", color=#4a3aa7, linewidth=2)</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hline(100,  "+100", color=#e34948, linestyle=hline.style_dashed)</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hline(0,    "0",    color=color.gray)</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hline(-100, "-100", color=#008300, linestyle=hline.style_dashed)</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buy  = ta.crossover(cci, -100)                     // leaves the oversold zone</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sell = ta.crossunder(cci, 100)                     // leaves the overbought zone</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plotshape(buy  ? cci : na, "Buy",  shape.triangleup,   location.absolute, #008300, size=size.tiny)</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plotshape(sell ? cci : na, "Sell", shape.triangledown, location.absolute, #e34948, size=size.tiny)</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bgcolor(cci &gt; 100 ? color.new(#e34948, 92) : cci &lt; -100 ? color.new(#008300, 92) : na)</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alertcondition(buy,  "CCI crosses up -100",  "{{ticker}}: CCI oversold reversal")</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alertcondition(sell, "CCI crosses down +100", "{{ticker}}: CCI overbought reversal")</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w:t>
      </w:r>
    </w:p>
    <w:p>
      <w:pPr>
        <w:pStyle w:val="Heading2"/>
        <w:keepNext/>
        <w:spacing w:after="120" w:before="240"/>
      </w:pPr>
      <w:r>
        <w:rPr>
          <w:rFonts w:ascii="Calibri" w:cs="Calibri" w:eastAsia="Calibri" w:hAnsi="Calibri"/>
          <w:b/>
          <w:bCs/>
          <w:color w:val="1F4E79"/>
          <w:sz w:val="26"/>
          <w:szCs w:val="26"/>
        </w:rPr>
        <w:t xml:space="preserve">B.11 11_MFI.pine</w:t>
      </w:r>
    </w:p>
    <w:p>
      <w:pPr>
        <w:keepNext w:val="false"/>
        <w:keepLines/>
        <w:shd w:fill="F4F4F2" w:color="auto" w:val="clear"/>
        <w:spacing w:after="0" w:line="228"/>
        <w:ind w:left="120" w:right="120"/>
      </w:pPr>
      <w:r>
        <w:rPr>
          <w:rFonts w:ascii="Consolas" w:cs="Consolas" w:eastAsia="Consolas" w:hAnsi="Consolas"/>
          <w:color w:val="4F7F4F"/>
          <w:sz w:val="14"/>
          <w:szCs w:val="14"/>
        </w:rPr>
        <w:t xml:space="preserve">//@version=6</w:t>
      </w:r>
    </w:p>
    <w:p>
      <w:pPr>
        <w:keepNext w:val="false"/>
        <w:keepLines/>
        <w:shd w:fill="F4F4F2" w:color="auto" w:val="clear"/>
        <w:spacing w:after="0" w:line="228"/>
        <w:ind w:left="120" w:right="120"/>
      </w:pPr>
      <w:r>
        <w:rPr>
          <w:rFonts w:ascii="Consolas" w:cs="Consolas" w:eastAsia="Consolas" w:hAnsi="Consolas"/>
          <w:color w:val="4F7F4F"/>
          <w:sz w:val="14"/>
          <w:szCs w:val="14"/>
        </w:rPr>
        <w:t xml:space="preserve">// MBA680 | Indicator 11 of 12 — Money Flow Index (14): volume-weighted RSI on typical price</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indicator("MBA680 · Money Flow Index", shorttitle="MFI", overlay=false)</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len = input.int(14, "Length")</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mfi = ta.mfi(hlc3, len)</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plot(mfi, "MFI", color=#2a78d6, linewidth=2)</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hline(80, "Overbought", color=#e34948, linestyle=hline.style_dashed)</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hline(50, "Mid", color=color.gray)</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hline(20, "Oversold", color=#008300, linestyle=hline.style_dashed)</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buy  = ta.crossover(mfi, 20)</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sell = ta.crossunder(mfi, 80)</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plotshape(buy  ? mfi : na, "Buy",  shape.triangleup,   location.absolute, #008300, size=size.tiny)</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plotshape(sell ? mfi : na, "Sell", shape.triangledown, location.absolute, #e34948, size=size.tiny)</w:t>
      </w:r>
    </w:p>
    <w:p>
      <w:pPr>
        <w:keepNext w:val="false"/>
        <w:keepLines/>
        <w:shd w:fill="F4F4F2" w:color="auto" w:val="clear"/>
        <w:spacing w:after="0" w:line="228"/>
        <w:ind w:left="120" w:right="120"/>
      </w:pPr>
      <w:r>
        <w:rPr>
          <w:rFonts w:ascii="Consolas" w:cs="Consolas" w:eastAsia="Consolas" w:hAnsi="Consolas"/>
          <w:color w:val="4F7F4F"/>
          <w:sz w:val="14"/>
          <w:szCs w:val="14"/>
        </w:rPr>
        <w:t xml:space="preserve">// divergence vs RSI: money flow weak while price momentum strong</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rsi = ta.rsi(close, 14)</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bgcolor(rsi &gt; 60 and mfi &lt; 40 ? color.new(#eda100, 85) : na, title="Price/volume divergence")</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alertcondition(buy,  "MFI crosses up 20",   "{{ticker}}: money flow leaving oversold")</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alertcondition(sell, "MFI crosses down 80", "{{ticker}}: money flow leaving overbought")</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w:t>
      </w:r>
    </w:p>
    <w:p>
      <w:pPr>
        <w:pStyle w:val="Heading2"/>
        <w:keepNext/>
        <w:spacing w:after="120" w:before="240"/>
      </w:pPr>
      <w:r>
        <w:rPr>
          <w:rFonts w:ascii="Calibri" w:cs="Calibri" w:eastAsia="Calibri" w:hAnsi="Calibri"/>
          <w:b/>
          <w:bCs/>
          <w:color w:val="1F4E79"/>
          <w:sz w:val="26"/>
          <w:szCs w:val="26"/>
        </w:rPr>
        <w:t xml:space="preserve">B.12 12_Donchian_Channel.pine</w:t>
      </w:r>
    </w:p>
    <w:p>
      <w:pPr>
        <w:keepNext w:val="false"/>
        <w:keepLines/>
        <w:shd w:fill="F4F4F2" w:color="auto" w:val="clear"/>
        <w:spacing w:after="0" w:line="228"/>
        <w:ind w:left="120" w:right="120"/>
      </w:pPr>
      <w:r>
        <w:rPr>
          <w:rFonts w:ascii="Consolas" w:cs="Consolas" w:eastAsia="Consolas" w:hAnsi="Consolas"/>
          <w:color w:val="4F7F4F"/>
          <w:sz w:val="14"/>
          <w:szCs w:val="14"/>
        </w:rPr>
        <w:t xml:space="preserve">//@version=6</w:t>
      </w:r>
    </w:p>
    <w:p>
      <w:pPr>
        <w:keepNext w:val="false"/>
        <w:keepLines/>
        <w:shd w:fill="F4F4F2" w:color="auto" w:val="clear"/>
        <w:spacing w:after="0" w:line="228"/>
        <w:ind w:left="120" w:right="120"/>
      </w:pPr>
      <w:r>
        <w:rPr>
          <w:rFonts w:ascii="Consolas" w:cs="Consolas" w:eastAsia="Consolas" w:hAnsi="Consolas"/>
          <w:color w:val="4F7F4F"/>
          <w:sz w:val="14"/>
          <w:szCs w:val="14"/>
        </w:rPr>
        <w:t xml:space="preserve">// MBA680 | Indicator 12 of 12 — Donchian Channel (20): highest high / lowest low breakout</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indicator("MBA680 · Donchian Channel", shorttitle="Donchian", overlay=true)</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len = input.int(20, "Length")</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up  = ta.highest(high, len)</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lo  = ta.lowest(low, len)</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mid = (up + lo) / 2</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pU = plot(up, "Upper (20-day high)", color=#2a78d6)</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pL = plot(lo, "Lower (20-day low)",  color=#2a78d6)</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plot(mid, "Mid-line", color=#eb6834)</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fill(pU, pL, color=color.new(#2a78d6, 92))</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buy  = ta.crossover(close, up[1])                  // close breaks the prior 20-day high</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sell = ta.crossunder(close, lo[1])                 // close breaks the prior 20-day low</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plotshape(buy,  "Breakout",  shape.triangleup,   location.belowbar, #008300, size=size.small)</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plotshape(sell, "Breakdown", shape.triangledown, location.abovebar, #e34948, size=size.small)</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alertcondition(buy,  "Donchian breakout",  "{{ticker}}: new 20-day high close")</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alertcondition(sell, "Donchian breakdown", "{{ticker}}: new 20-day low close")</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w:t>
      </w:r>
    </w:p>
    <w:p>
      <w:pPr>
        <w:pStyle w:val="Heading2"/>
        <w:keepNext/>
        <w:spacing w:after="120" w:before="240"/>
      </w:pPr>
      <w:r>
        <w:rPr>
          <w:rFonts w:ascii="Calibri" w:cs="Calibri" w:eastAsia="Calibri" w:hAnsi="Calibri"/>
          <w:b/>
          <w:bCs/>
          <w:color w:val="1F4E79"/>
          <w:sz w:val="26"/>
          <w:szCs w:val="26"/>
        </w:rPr>
        <w:t xml:space="preserve">B.13 13_SevenStock_Dashboard.pine</w:t>
      </w:r>
    </w:p>
    <w:p>
      <w:pPr>
        <w:keepNext w:val="false"/>
        <w:keepLines/>
        <w:shd w:fill="F4F4F2" w:color="auto" w:val="clear"/>
        <w:spacing w:after="0" w:line="228"/>
        <w:ind w:left="120" w:right="120"/>
      </w:pPr>
      <w:r>
        <w:rPr>
          <w:rFonts w:ascii="Consolas" w:cs="Consolas" w:eastAsia="Consolas" w:hAnsi="Consolas"/>
          <w:color w:val="4F7F4F"/>
          <w:sz w:val="14"/>
          <w:szCs w:val="14"/>
        </w:rPr>
        <w:t xml:space="preserve">//@version=6</w:t>
      </w:r>
    </w:p>
    <w:p>
      <w:pPr>
        <w:keepNext w:val="false"/>
        <w:keepLines/>
        <w:shd w:fill="F4F4F2" w:color="auto" w:val="clear"/>
        <w:spacing w:after="0" w:line="228"/>
        <w:ind w:left="120" w:right="120"/>
      </w:pPr>
      <w:r>
        <w:rPr>
          <w:rFonts w:ascii="Consolas" w:cs="Consolas" w:eastAsia="Consolas" w:hAnsi="Consolas"/>
          <w:color w:val="4F7F4F"/>
          <w:sz w:val="14"/>
          <w:szCs w:val="14"/>
        </w:rPr>
        <w:t xml:space="preserve">// MBA680 | All 12 indicators x all 7 stocks on ONE chart (request.security, 7 calls).</w:t>
      </w:r>
    </w:p>
    <w:p>
      <w:pPr>
        <w:keepNext w:val="false"/>
        <w:keepLines/>
        <w:shd w:fill="F4F4F2" w:color="auto" w:val="clear"/>
        <w:spacing w:after="0" w:line="228"/>
        <w:ind w:left="120" w:right="120"/>
      </w:pPr>
      <w:r>
        <w:rPr>
          <w:rFonts w:ascii="Consolas" w:cs="Consolas" w:eastAsia="Consolas" w:hAnsi="Consolas"/>
          <w:color w:val="4F7F4F"/>
          <w:sz w:val="14"/>
          <w:szCs w:val="14"/>
        </w:rPr>
        <w:t xml:space="preserve">// Add to any daily chart; the table reads each symbol's own daily bars.</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indicator("MBA680 · 12-Indicator x 7-Stock Dashboard", shorttitle="12x7 Dash", overlay=true)</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s1 = input.symbol("NSE:RELIANCE",  "Stock 1")</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s2 = input.symbol("NSE:HDFCBANK",  "Stock 2")</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s3 = input.symbol("NSE:INFY",      "Stock 3")</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s4 = input.symbol("NSE:ITC",       "Stock 4")</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s5 = input.symbol("NSE:MARUTI",    "Stock 5")</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s6 = input.symbol("NSE:SUNPHARMA", "Stock 6")</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s7 = input.symbol("NSE:LT",        "Stock 7")</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w:t>
      </w:r>
    </w:p>
    <w:p>
      <w:pPr>
        <w:keepNext w:val="false"/>
        <w:keepLines/>
        <w:shd w:fill="F4F4F2" w:color="auto" w:val="clear"/>
        <w:spacing w:after="0" w:line="228"/>
        <w:ind w:left="120" w:right="120"/>
      </w:pPr>
      <w:r>
        <w:rPr>
          <w:rFonts w:ascii="Consolas" w:cs="Consolas" w:eastAsia="Consolas" w:hAnsi="Consolas"/>
          <w:color w:val="4F7F4F"/>
          <w:sz w:val="14"/>
          <w:szCs w:val="14"/>
        </w:rPr>
        <w:t xml:space="preserve">// bullish (1) / bearish (0) state of each indicator, plus RSI and ADX readings</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f_states() =&gt;</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[m, sg, hst] = ta.macd(close, 12, 26, 9)</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[mid, up, lo] = ta.bb(close, 20, 2.0)</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k = ta.sma(ta.stoch(close, high, low, 14), 3)</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d = ta.sma(k, 3)</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[pdi, ndi, adx] = ta.dmi(14, 14)</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obv = ta.obv</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rsi = ta.rsi(close, 14)</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[st, dir] = ta.supertrend(3.0, 10)</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dcMid = (ta.highest(high, 20) + ta.lowest(low, 20)) / 2</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smaB  = ta.sma(close, 20) &gt; ta.sma(close, 50) ? 1 : 0</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emaB  = ta.ema(close, 9) &gt; ta.ema(close, 21) ? 1 : 0</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rsiB  = rsi &gt; 50 ? 1 : 0</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macdB = m &gt; sg ? 1 : 0</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bbB   = close &gt; mid ? 1 : 0</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stoB  = k &gt; d ? 1 : 0</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adxB  = adx &gt; 20 and pdi &gt; ndi ? 1 : 0</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obvB  = obv &gt; ta.ema(obv, 20) ? 1 : 0</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supB  = dir &lt; 0 ? 1 : 0</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cciB  = ta.cci(hlc3, 20) &gt; 0 ? 1 : 0</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mfiB  = ta.mfi(hlc3, 14) &gt; 50 ? 1 : 0</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dcB   = close &gt; dcMid ? 1 : 0</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[smaB, emaB, rsiB, macdB, bbB, stoB, adxB, obvB, supB, cciB, mfiB, dcB, rsi, adx]</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[a1,b1,c1,d1,e1,f1,g1,h1,i1,j1,k1,l1,r1,x1] = request.security(s1, "D", f_states())</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[a2,b2,c2,d2,e2,f2,g2,h2,i2,j2,k2,l2,r2,x2] = request.security(s2, "D", f_states())</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[a3,b3,c3,d3,e3,f3,g3,h3,i3,j3,k3,l3,r3,x3] = request.security(s3, "D", f_states())</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[a4,b4,c4,d4,e4,f4,g4,h4,i4,j4,k4,l4,r4,x4] = request.security(s4, "D", f_states())</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[a5,b5,c5,d5,e5,f5,g5,h5,i5,j5,k5,l5,r5,x5] = request.security(s5, "D", f_states())</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[a6,b6,c6,d6,e6,f6,g6,h6,i6,j6,k6,l6,r6,x6] = request.security(s6, "D", f_states())</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[a7,b7,c7,d7,e7,f7,g7,h7,i7,j7,k7,l7,r7,x7] = request.security(s7, "D", f_states())</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var table t = table.new(position.top_right, 16, 8, border_width=1, frame_color=color.gray, frame_width=1)</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f_cell(int col, int row, int v) =&gt;</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table.cell(t, col, row, v == 1 ? "▲" : "▼", text_color=color.white, bgcolor = v == 1 ? #008300 : #e34948, text_size=size.small)</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f_row(int row, string sym, int a, int b, int c, int d, int e, int f, int g, int h, int i, int j, int k, int l, float rsi, float adx) =&gt;</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table.cell(t, 0, row, str.substring(sym, str.pos(sym, ":") + 1), text_size=size.small, bgcolor=color.new(color.gray, 85))</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f_cell(1, row, a)</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f_cell(2, row, b)</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f_cell(3, row, c)</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f_cell(4, row, d)</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f_cell(5, row, e)</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f_cell(6, row, f)</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f_cell(7, row, g)</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f_cell(8, row, h)</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f_cell(9, row, i)</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f_cell(10, row, j)</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f_cell(11, row, k)</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f_cell(12, row, l)</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sc = a + b + c + d + e + f + g + h + i + j + k + l</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table.cell(t, 13, row, str.tostring(sc) + "/12", text_size=size.small, bgcolor = sc &gt;= 9 ? color.new(#008300, 60) : sc &lt;= 3 ? color.new(#e34948, 60) : color.new(#eda100, 60))</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table.cell(t, 14, row, str.tostring(rsi, "#.0"), text_size=size.small)</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table.cell(t, 15, row, str.tostring(adx, "#.0"), text_size=size.small)</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if barstate.islast</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hdr = array.from("Stock", "SMA", "EMA", "RSI", "MACD", "BB", "Stoch", "ADX", "OBV", "SupT", "CCI", "MFI", "Donch", "Score", "RSI", "ADX")</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for n = 0 to 15</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table.cell(t, n, 0, array.get(hdr, n), text_size=size.small, bgcolor=color.new(#2a78d6, 70))</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f_row(1, s1, a1,b1,c1,d1,e1,f1,g1,h1,i1,j1,k1,l1,r1,x1)</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f_row(2, s2, a2,b2,c2,d2,e2,f2,g2,h2,i2,j2,k2,l2,r2,x2)</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f_row(3, s3, a3,b3,c3,d3,e3,f3,g3,h3,i3,j3,k3,l3,r3,x3)</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f_row(4, s4, a4,b4,c4,d4,e4,f4,g4,h4,i4,j4,k4,l4,r4,x4)</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f_row(5, s5, a5,b5,c5,d5,e5,f5,g5,h5,i5,j5,k5,l5,r5,x5)</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f_row(6, s6, a6,b6,c6,d6,e6,f6,g6,h6,i6,j6,k6,l6,r6,x6)</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f_row(7, s7, a7,b7,c7,d7,e7,f7,g7,h7,i7,j7,k7,l7,r7,x7)</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w:t>
      </w:r>
    </w:p>
    <w:p>
      <w:pPr>
        <w:pStyle w:val="Heading2"/>
        <w:keepNext/>
        <w:spacing w:after="120" w:before="240"/>
      </w:pPr>
      <w:r>
        <w:rPr>
          <w:rFonts w:ascii="Calibri" w:cs="Calibri" w:eastAsia="Calibri" w:hAnsi="Calibri"/>
          <w:b/>
          <w:bCs/>
          <w:color w:val="1F4E79"/>
          <w:sz w:val="26"/>
          <w:szCs w:val="26"/>
        </w:rPr>
        <w:t xml:space="preserve">B.14 14_Strategy_A_7Day_MeanReversion.pine</w:t>
      </w:r>
    </w:p>
    <w:p>
      <w:pPr>
        <w:keepNext w:val="false"/>
        <w:keepLines/>
        <w:shd w:fill="F4F4F2" w:color="auto" w:val="clear"/>
        <w:spacing w:after="0" w:line="228"/>
        <w:ind w:left="120" w:right="120"/>
      </w:pPr>
      <w:r>
        <w:rPr>
          <w:rFonts w:ascii="Consolas" w:cs="Consolas" w:eastAsia="Consolas" w:hAnsi="Consolas"/>
          <w:color w:val="4F7F4F"/>
          <w:sz w:val="14"/>
          <w:szCs w:val="14"/>
        </w:rPr>
        <w:t xml:space="preserve">//@version=6</w:t>
      </w:r>
    </w:p>
    <w:p>
      <w:pPr>
        <w:keepNext w:val="false"/>
        <w:keepLines/>
        <w:shd w:fill="F4F4F2" w:color="auto" w:val="clear"/>
        <w:spacing w:after="0" w:line="228"/>
        <w:ind w:left="120" w:right="120"/>
      </w:pPr>
      <w:r>
        <w:rPr>
          <w:rFonts w:ascii="Consolas" w:cs="Consolas" w:eastAsia="Consolas" w:hAnsi="Consolas"/>
          <w:color w:val="4F7F4F"/>
          <w:sz w:val="14"/>
          <w:szCs w:val="14"/>
        </w:rPr>
        <w:t xml:space="preserve">// MBA680 | Strategy A — 7-day RSI/Stochastic mean reversion</w:t>
      </w:r>
    </w:p>
    <w:p>
      <w:pPr>
        <w:keepNext w:val="false"/>
        <w:keepLines/>
        <w:shd w:fill="F4F4F2" w:color="auto" w:val="clear"/>
        <w:spacing w:after="0" w:line="228"/>
        <w:ind w:left="120" w:right="120"/>
      </w:pPr>
      <w:r>
        <w:rPr>
          <w:rFonts w:ascii="Consolas" w:cs="Consolas" w:eastAsia="Consolas" w:hAnsi="Consolas"/>
          <w:color w:val="4F7F4F"/>
          <w:sz w:val="14"/>
          <w:szCs w:val="14"/>
        </w:rPr>
        <w:t xml:space="preserve">// Long-only, one position at a time, 100% of equity, Rs 10 lakh, 0.15% commission per side (STT 0.1% + stamp/exchange/GST + slippage; set 0.05 to reproduce the validation run).</w:t>
      </w:r>
    </w:p>
    <w:p>
      <w:pPr>
        <w:keepNext w:val="false"/>
        <w:keepLines/>
        <w:shd w:fill="F4F4F2" w:color="auto" w:val="clear"/>
        <w:spacing w:after="0" w:line="228"/>
        <w:ind w:left="120" w:right="120"/>
      </w:pPr>
      <w:r>
        <w:rPr>
          <w:rFonts w:ascii="Consolas" w:cs="Consolas" w:eastAsia="Consolas" w:hAnsi="Consolas"/>
          <w:color w:val="4F7F4F"/>
          <w:sz w:val="14"/>
          <w:szCs w:val="14"/>
        </w:rPr>
        <w:t xml:space="preserve">// Signal evaluated on the bar's close; orders fill at the NEXT bar's open (TradingView default).</w:t>
      </w:r>
    </w:p>
    <w:p>
      <w:pPr>
        <w:keepNext w:val="false"/>
        <w:keepLines/>
        <w:shd w:fill="F4F4F2" w:color="auto" w:val="clear"/>
        <w:spacing w:after="0" w:line="228"/>
        <w:ind w:left="120" w:right="120"/>
      </w:pPr>
      <w:r>
        <w:rPr>
          <w:rFonts w:ascii="Consolas" w:cs="Consolas" w:eastAsia="Consolas" w:hAnsi="Consolas"/>
          <w:color w:val="4F7F4F"/>
          <w:sz w:val="14"/>
          <w:szCs w:val="14"/>
        </w:rPr>
        <w:t xml:space="preserve">// Exit: fixed holding period of `hold` bars (time stop). Optional ATR stop (off by default).</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strategy("MBA680 · Strategy A — 7-day RSI/Stochastic mean reversion", overlay=true, initial_capital=1000000, currency=currency.INR,</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default_qty_type=strategy.percent_of_equity, default_qty_value=100,</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commission_type=strategy.commission.percent, commission_value=0.15, pyramiding=0,</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margin_long=0, margin_short=0)   // no margin checks: entries are never rejected or margin-called</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hold    = input.int(7, "Holding period (bars)", minval=1)</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useStop = input.bool(false, "Use ATR stop")</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stopMul = input.float(2.0, "ATR stop multiple", step=0.5)</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tStart  = input.time(timestamp("2015-01-01"), "Backtest start")</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tEnd    = input.time(timestamp("2026-12-31"), "Backtest end")</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inWin   = time &gt;= tStart and time &lt;= tEnd</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w:t>
      </w:r>
    </w:p>
    <w:p>
      <w:pPr>
        <w:keepNext w:val="false"/>
        <w:keepLines/>
        <w:shd w:fill="F4F4F2" w:color="auto" w:val="clear"/>
        <w:spacing w:after="0" w:line="228"/>
        <w:ind w:left="120" w:right="120"/>
      </w:pPr>
      <w:r>
        <w:rPr>
          <w:rFonts w:ascii="Consolas" w:cs="Consolas" w:eastAsia="Consolas" w:hAnsi="Consolas"/>
          <w:color w:val="4F7F4F"/>
          <w:sz w:val="14"/>
          <w:szCs w:val="14"/>
        </w:rPr>
        <w:t xml:space="preserve">// ---- indicators used ----</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rsi  = ta.rsi(close, 14)</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k    = ta.sma(ta.stoch(close, high, low, 14), 3)</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d    = ta.sma(k, 3)</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[macd, sig, hist] = ta.macd(close, 12, 26, 9)</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ema9  = ta.ema(close, 9)</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ema21 = ta.ema(close, 21)</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sma20 = ta.sma(close, 20)</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sma50 = ta.sma(close, 50)</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sma200 = ta.sma(close, 200)</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[pdi, ndi, adx] = ta.dmi(14, 14)</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obv  = ta.obv</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obvE = ta.ema(obv, 20)</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atr  = ta.atr(14)</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w:t>
      </w:r>
    </w:p>
    <w:p>
      <w:pPr>
        <w:keepNext w:val="false"/>
        <w:keepLines/>
        <w:shd w:fill="F4F4F2" w:color="auto" w:val="clear"/>
        <w:spacing w:after="0" w:line="228"/>
        <w:ind w:left="120" w:right="120"/>
      </w:pPr>
      <w:r>
        <w:rPr>
          <w:rFonts w:ascii="Consolas" w:cs="Consolas" w:eastAsia="Consolas" w:hAnsi="Consolas"/>
          <w:color w:val="4F7F4F"/>
          <w:sz w:val="14"/>
          <w:szCs w:val="14"/>
        </w:rPr>
        <w:t xml:space="preserve">// ---- entry rule ----</w:t>
      </w:r>
    </w:p>
    <w:p>
      <w:pPr>
        <w:keepNext w:val="false"/>
        <w:keepLines/>
        <w:shd w:fill="F4F4F2" w:color="auto" w:val="clear"/>
        <w:spacing w:after="0" w:line="228"/>
        <w:ind w:left="120" w:right="120"/>
      </w:pPr>
      <w:r>
        <w:rPr>
          <w:rFonts w:ascii="Consolas" w:cs="Consolas" w:eastAsia="Consolas" w:hAnsi="Consolas"/>
          <w:color w:val="4F7F4F"/>
          <w:sz w:val="14"/>
          <w:szCs w:val="14"/>
        </w:rPr>
        <w:t xml:space="preserve">// Oversold bounce, but only inside a long-term up-trend (avoids catching falling knives)</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longCond = (ta.crossover(rsi, 35) or (ta.crossover(k, d) and k &lt; 20)) and close &gt; sma200</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if longCond and inWin and strategy.position_size == 0</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strategy.entry("Long", strategy.long)</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if useStop</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strategy.exit("Stop", "Long", stop = close - stopMul * atr)</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w:t>
      </w:r>
    </w:p>
    <w:p>
      <w:pPr>
        <w:keepNext w:val="false"/>
        <w:keepLines/>
        <w:shd w:fill="F4F4F2" w:color="auto" w:val="clear"/>
        <w:spacing w:after="0" w:line="228"/>
        <w:ind w:left="120" w:right="120"/>
      </w:pPr>
      <w:r>
        <w:rPr>
          <w:rFonts w:ascii="Consolas" w:cs="Consolas" w:eastAsia="Consolas" w:hAnsi="Consolas"/>
          <w:color w:val="4F7F4F"/>
          <w:sz w:val="14"/>
          <w:szCs w:val="14"/>
        </w:rPr>
        <w:t xml:space="preserve">// ---- time exit: close on the bar that completes `hold` bars in the trade ----</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if strategy.position_size &gt; 0 and bar_index - strategy.opentrades.entry_bar_index(0) &gt;= hold - 1</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strategy.close("Long", comment="Time exit")</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if not inWin and strategy.position_size &gt; 0</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strategy.close("Long", comment="Window end")</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plot(sma200, "SMA 200 (trend filter)", color=#4a3aa7, linewidth=2)</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plotshape(longCond and strategy.position_size == 0, "Signal", shape.triangleup, location.belowbar, #008300, size=size.small)</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bgcolor(strategy.position_size &gt; 0 ? color.new(#2a78d6, 92) : na, title="In trade")</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alertcondition(longCond, "Entry signal", "{{ticker}}: Strategy A — 7-day RSI/Stochastic mean reversion entry signal")</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w:t>
      </w:r>
    </w:p>
    <w:p>
      <w:pPr>
        <w:pStyle w:val="Heading2"/>
        <w:keepNext/>
        <w:spacing w:after="120" w:before="240"/>
      </w:pPr>
      <w:r>
        <w:rPr>
          <w:rFonts w:ascii="Calibri" w:cs="Calibri" w:eastAsia="Calibri" w:hAnsi="Calibri"/>
          <w:b/>
          <w:bCs/>
          <w:color w:val="1F4E79"/>
          <w:sz w:val="26"/>
          <w:szCs w:val="26"/>
        </w:rPr>
        <w:t xml:space="preserve">B.15 15_Strategy_B_15Day_Momentum.pine</w:t>
      </w:r>
    </w:p>
    <w:p>
      <w:pPr>
        <w:keepNext w:val="false"/>
        <w:keepLines/>
        <w:shd w:fill="F4F4F2" w:color="auto" w:val="clear"/>
        <w:spacing w:after="0" w:line="228"/>
        <w:ind w:left="120" w:right="120"/>
      </w:pPr>
      <w:r>
        <w:rPr>
          <w:rFonts w:ascii="Consolas" w:cs="Consolas" w:eastAsia="Consolas" w:hAnsi="Consolas"/>
          <w:color w:val="4F7F4F"/>
          <w:sz w:val="14"/>
          <w:szCs w:val="14"/>
        </w:rPr>
        <w:t xml:space="preserve">//@version=6</w:t>
      </w:r>
    </w:p>
    <w:p>
      <w:pPr>
        <w:keepNext w:val="false"/>
        <w:keepLines/>
        <w:shd w:fill="F4F4F2" w:color="auto" w:val="clear"/>
        <w:spacing w:after="0" w:line="228"/>
        <w:ind w:left="120" w:right="120"/>
      </w:pPr>
      <w:r>
        <w:rPr>
          <w:rFonts w:ascii="Consolas" w:cs="Consolas" w:eastAsia="Consolas" w:hAnsi="Consolas"/>
          <w:color w:val="4F7F4F"/>
          <w:sz w:val="14"/>
          <w:szCs w:val="14"/>
        </w:rPr>
        <w:t xml:space="preserve">// MBA680 | Strategy B — 15-day MACD/EMA momentum</w:t>
      </w:r>
    </w:p>
    <w:p>
      <w:pPr>
        <w:keepNext w:val="false"/>
        <w:keepLines/>
        <w:shd w:fill="F4F4F2" w:color="auto" w:val="clear"/>
        <w:spacing w:after="0" w:line="228"/>
        <w:ind w:left="120" w:right="120"/>
      </w:pPr>
      <w:r>
        <w:rPr>
          <w:rFonts w:ascii="Consolas" w:cs="Consolas" w:eastAsia="Consolas" w:hAnsi="Consolas"/>
          <w:color w:val="4F7F4F"/>
          <w:sz w:val="14"/>
          <w:szCs w:val="14"/>
        </w:rPr>
        <w:t xml:space="preserve">// Long-only, one position at a time, 100% of equity, Rs 10 lakh, 0.15% commission per side (STT 0.1% + stamp/exchange/GST + slippage; set 0.05 to reproduce the validation run).</w:t>
      </w:r>
    </w:p>
    <w:p>
      <w:pPr>
        <w:keepNext w:val="false"/>
        <w:keepLines/>
        <w:shd w:fill="F4F4F2" w:color="auto" w:val="clear"/>
        <w:spacing w:after="0" w:line="228"/>
        <w:ind w:left="120" w:right="120"/>
      </w:pPr>
      <w:r>
        <w:rPr>
          <w:rFonts w:ascii="Consolas" w:cs="Consolas" w:eastAsia="Consolas" w:hAnsi="Consolas"/>
          <w:color w:val="4F7F4F"/>
          <w:sz w:val="14"/>
          <w:szCs w:val="14"/>
        </w:rPr>
        <w:t xml:space="preserve">// Signal evaluated on the bar's close; orders fill at the NEXT bar's open (TradingView default).</w:t>
      </w:r>
    </w:p>
    <w:p>
      <w:pPr>
        <w:keepNext w:val="false"/>
        <w:keepLines/>
        <w:shd w:fill="F4F4F2" w:color="auto" w:val="clear"/>
        <w:spacing w:after="0" w:line="228"/>
        <w:ind w:left="120" w:right="120"/>
      </w:pPr>
      <w:r>
        <w:rPr>
          <w:rFonts w:ascii="Consolas" w:cs="Consolas" w:eastAsia="Consolas" w:hAnsi="Consolas"/>
          <w:color w:val="4F7F4F"/>
          <w:sz w:val="14"/>
          <w:szCs w:val="14"/>
        </w:rPr>
        <w:t xml:space="preserve">// Exit: fixed holding period of `hold` bars (time stop). Optional ATR stop (off by default).</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strategy("MBA680 · Strategy B — 15-day MACD/EMA momentum", overlay=true, initial_capital=1000000, currency=currency.INR,</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default_qty_type=strategy.percent_of_equity, default_qty_value=100,</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commission_type=strategy.commission.percent, commission_value=0.15, pyramiding=0,</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margin_long=0, margin_short=0)   // no margin checks: entries are never rejected or margin-called</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hold    = input.int(15, "Holding period (bars)", minval=1)</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useStop = input.bool(false, "Use ATR stop")</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stopMul = input.float(3.0, "ATR stop multiple", step=0.5)</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tStart  = input.time(timestamp("2015-01-01"), "Backtest start")</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tEnd    = input.time(timestamp("2026-12-31"), "Backtest end")</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inWin   = time &gt;= tStart and time &lt;= tEnd</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w:t>
      </w:r>
    </w:p>
    <w:p>
      <w:pPr>
        <w:keepNext w:val="false"/>
        <w:keepLines/>
        <w:shd w:fill="F4F4F2" w:color="auto" w:val="clear"/>
        <w:spacing w:after="0" w:line="228"/>
        <w:ind w:left="120" w:right="120"/>
      </w:pPr>
      <w:r>
        <w:rPr>
          <w:rFonts w:ascii="Consolas" w:cs="Consolas" w:eastAsia="Consolas" w:hAnsi="Consolas"/>
          <w:color w:val="4F7F4F"/>
          <w:sz w:val="14"/>
          <w:szCs w:val="14"/>
        </w:rPr>
        <w:t xml:space="preserve">// ---- indicators used ----</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rsi  = ta.rsi(close, 14)</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k    = ta.sma(ta.stoch(close, high, low, 14), 3)</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d    = ta.sma(k, 3)</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[macd, sig, hist] = ta.macd(close, 12, 26, 9)</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ema9  = ta.ema(close, 9)</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ema21 = ta.ema(close, 21)</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sma20 = ta.sma(close, 20)</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sma50 = ta.sma(close, 50)</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sma200 = ta.sma(close, 200)</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[pdi, ndi, adx] = ta.dmi(14, 14)</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obv  = ta.obv</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obvE = ta.ema(obv, 20)</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atr  = ta.atr(14)</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w:t>
      </w:r>
    </w:p>
    <w:p>
      <w:pPr>
        <w:keepNext w:val="false"/>
        <w:keepLines/>
        <w:shd w:fill="F4F4F2" w:color="auto" w:val="clear"/>
        <w:spacing w:after="0" w:line="228"/>
        <w:ind w:left="120" w:right="120"/>
      </w:pPr>
      <w:r>
        <w:rPr>
          <w:rFonts w:ascii="Consolas" w:cs="Consolas" w:eastAsia="Consolas" w:hAnsi="Consolas"/>
          <w:color w:val="4F7F4F"/>
          <w:sz w:val="14"/>
          <w:szCs w:val="14"/>
        </w:rPr>
        <w:t xml:space="preserve">// ---- entry rule ----</w:t>
      </w:r>
    </w:p>
    <w:p>
      <w:pPr>
        <w:keepNext w:val="false"/>
        <w:keepLines/>
        <w:shd w:fill="F4F4F2" w:color="auto" w:val="clear"/>
        <w:spacing w:after="0" w:line="228"/>
        <w:ind w:left="120" w:right="120"/>
      </w:pPr>
      <w:r>
        <w:rPr>
          <w:rFonts w:ascii="Consolas" w:cs="Consolas" w:eastAsia="Consolas" w:hAnsi="Consolas"/>
          <w:color w:val="4F7F4F"/>
          <w:sz w:val="14"/>
          <w:szCs w:val="14"/>
        </w:rPr>
        <w:t xml:space="preserve">// Fresh MACD momentum, confirmed by short-term trend (EMA 9&gt;21) and volume (OBV above its EMA)</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longCond = ta.crossover(macd, sig) and ema9 &gt; ema21 and obv &gt; obvE</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if longCond and inWin and strategy.position_size == 0</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strategy.entry("Long", strategy.long)</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if useStop</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strategy.exit("Stop", "Long", stop = close - stopMul * atr)</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w:t>
      </w:r>
    </w:p>
    <w:p>
      <w:pPr>
        <w:keepNext w:val="false"/>
        <w:keepLines/>
        <w:shd w:fill="F4F4F2" w:color="auto" w:val="clear"/>
        <w:spacing w:after="0" w:line="228"/>
        <w:ind w:left="120" w:right="120"/>
      </w:pPr>
      <w:r>
        <w:rPr>
          <w:rFonts w:ascii="Consolas" w:cs="Consolas" w:eastAsia="Consolas" w:hAnsi="Consolas"/>
          <w:color w:val="4F7F4F"/>
          <w:sz w:val="14"/>
          <w:szCs w:val="14"/>
        </w:rPr>
        <w:t xml:space="preserve">// ---- time exit: close on the bar that completes `hold` bars in the trade ----</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if strategy.position_size &gt; 0 and bar_index - strategy.opentrades.entry_bar_index(0) &gt;= hold - 1</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strategy.close("Long", comment="Time exit")</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if not inWin and strategy.position_size &gt; 0</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strategy.close("Long", comment="Window end")</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plot(ema9, "EMA 9", color=#2a78d6)</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plot(ema21, "EMA 21", color=#eb6834)</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plotshape(longCond and strategy.position_size == 0, "Signal", shape.triangleup, location.belowbar, #008300, size=size.small)</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bgcolor(strategy.position_size &gt; 0 ? color.new(#2a78d6, 92) : na, title="In trade")</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alertcondition(longCond, "Entry signal", "{{ticker}}: Strategy B — 15-day MACD/EMA momentum entry signal")</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w:t>
      </w:r>
    </w:p>
    <w:p>
      <w:pPr>
        <w:pStyle w:val="Heading2"/>
        <w:keepNext/>
        <w:spacing w:after="120" w:before="240"/>
      </w:pPr>
      <w:r>
        <w:rPr>
          <w:rFonts w:ascii="Calibri" w:cs="Calibri" w:eastAsia="Calibri" w:hAnsi="Calibri"/>
          <w:b/>
          <w:bCs/>
          <w:color w:val="1F4E79"/>
          <w:sz w:val="26"/>
          <w:szCs w:val="26"/>
        </w:rPr>
        <w:t xml:space="preserve">B.16 16_Strategy_C_60Day_Trend.pine</w:t>
      </w:r>
    </w:p>
    <w:p>
      <w:pPr>
        <w:keepNext w:val="false"/>
        <w:keepLines/>
        <w:shd w:fill="F4F4F2" w:color="auto" w:val="clear"/>
        <w:spacing w:after="0" w:line="228"/>
        <w:ind w:left="120" w:right="120"/>
      </w:pPr>
      <w:r>
        <w:rPr>
          <w:rFonts w:ascii="Consolas" w:cs="Consolas" w:eastAsia="Consolas" w:hAnsi="Consolas"/>
          <w:color w:val="4F7F4F"/>
          <w:sz w:val="14"/>
          <w:szCs w:val="14"/>
        </w:rPr>
        <w:t xml:space="preserve">//@version=6</w:t>
      </w:r>
    </w:p>
    <w:p>
      <w:pPr>
        <w:keepNext w:val="false"/>
        <w:keepLines/>
        <w:shd w:fill="F4F4F2" w:color="auto" w:val="clear"/>
        <w:spacing w:after="0" w:line="228"/>
        <w:ind w:left="120" w:right="120"/>
      </w:pPr>
      <w:r>
        <w:rPr>
          <w:rFonts w:ascii="Consolas" w:cs="Consolas" w:eastAsia="Consolas" w:hAnsi="Consolas"/>
          <w:color w:val="4F7F4F"/>
          <w:sz w:val="14"/>
          <w:szCs w:val="14"/>
        </w:rPr>
        <w:t xml:space="preserve">// MBA680 | Strategy C — 60-day SMA/ADX trend following</w:t>
      </w:r>
    </w:p>
    <w:p>
      <w:pPr>
        <w:keepNext w:val="false"/>
        <w:keepLines/>
        <w:shd w:fill="F4F4F2" w:color="auto" w:val="clear"/>
        <w:spacing w:after="0" w:line="228"/>
        <w:ind w:left="120" w:right="120"/>
      </w:pPr>
      <w:r>
        <w:rPr>
          <w:rFonts w:ascii="Consolas" w:cs="Consolas" w:eastAsia="Consolas" w:hAnsi="Consolas"/>
          <w:color w:val="4F7F4F"/>
          <w:sz w:val="14"/>
          <w:szCs w:val="14"/>
        </w:rPr>
        <w:t xml:space="preserve">// Long-only, one position at a time, 100% of equity, Rs 10 lakh, 0.15% commission per side (STT 0.1% + stamp/exchange/GST + slippage; set 0.05 to reproduce the validation run).</w:t>
      </w:r>
    </w:p>
    <w:p>
      <w:pPr>
        <w:keepNext w:val="false"/>
        <w:keepLines/>
        <w:shd w:fill="F4F4F2" w:color="auto" w:val="clear"/>
        <w:spacing w:after="0" w:line="228"/>
        <w:ind w:left="120" w:right="120"/>
      </w:pPr>
      <w:r>
        <w:rPr>
          <w:rFonts w:ascii="Consolas" w:cs="Consolas" w:eastAsia="Consolas" w:hAnsi="Consolas"/>
          <w:color w:val="4F7F4F"/>
          <w:sz w:val="14"/>
          <w:szCs w:val="14"/>
        </w:rPr>
        <w:t xml:space="preserve">// Signal evaluated on the bar's close; orders fill at the NEXT bar's open (TradingView default).</w:t>
      </w:r>
    </w:p>
    <w:p>
      <w:pPr>
        <w:keepNext w:val="false"/>
        <w:keepLines/>
        <w:shd w:fill="F4F4F2" w:color="auto" w:val="clear"/>
        <w:spacing w:after="0" w:line="228"/>
        <w:ind w:left="120" w:right="120"/>
      </w:pPr>
      <w:r>
        <w:rPr>
          <w:rFonts w:ascii="Consolas" w:cs="Consolas" w:eastAsia="Consolas" w:hAnsi="Consolas"/>
          <w:color w:val="4F7F4F"/>
          <w:sz w:val="14"/>
          <w:szCs w:val="14"/>
        </w:rPr>
        <w:t xml:space="preserve">// Exit: fixed holding period of `hold` bars (time stop). Optional ATR stop (off by default).</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strategy("MBA680 · Strategy C — 60-day SMA/ADX trend following", overlay=true, initial_capital=1000000, currency=currency.INR,</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default_qty_type=strategy.percent_of_equity, default_qty_value=100,</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commission_type=strategy.commission.percent, commission_value=0.15, pyramiding=0,</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margin_long=0, margin_short=0)   // no margin checks: entries are never rejected or margin-called</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hold    = input.int(60, "Holding period (bars)", minval=1)</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useStop = input.bool(false, "Use ATR stop")</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stopMul = input.float(4.0, "ATR stop multiple", step=0.5)</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tStart  = input.time(timestamp("2015-01-01"), "Backtest start")</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tEnd    = input.time(timestamp("2026-12-31"), "Backtest end")</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inWin   = time &gt;= tStart and time &lt;= tEnd</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w:t>
      </w:r>
    </w:p>
    <w:p>
      <w:pPr>
        <w:keepNext w:val="false"/>
        <w:keepLines/>
        <w:shd w:fill="F4F4F2" w:color="auto" w:val="clear"/>
        <w:spacing w:after="0" w:line="228"/>
        <w:ind w:left="120" w:right="120"/>
      </w:pPr>
      <w:r>
        <w:rPr>
          <w:rFonts w:ascii="Consolas" w:cs="Consolas" w:eastAsia="Consolas" w:hAnsi="Consolas"/>
          <w:color w:val="4F7F4F"/>
          <w:sz w:val="14"/>
          <w:szCs w:val="14"/>
        </w:rPr>
        <w:t xml:space="preserve">// ---- indicators used ----</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rsi  = ta.rsi(close, 14)</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k    = ta.sma(ta.stoch(close, high, low, 14), 3)</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d    = ta.sma(k, 3)</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[macd, sig, hist] = ta.macd(close, 12, 26, 9)</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ema9  = ta.ema(close, 9)</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ema21 = ta.ema(close, 21)</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sma20 = ta.sma(close, 20)</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sma50 = ta.sma(close, 50)</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sma200 = ta.sma(close, 200)</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[pdi, ndi, adx] = ta.dmi(14, 14)</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obv  = ta.obv</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obvE = ta.ema(obv, 20)</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atr  = ta.atr(14)</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w:t>
      </w:r>
    </w:p>
    <w:p>
      <w:pPr>
        <w:keepNext w:val="false"/>
        <w:keepLines/>
        <w:shd w:fill="F4F4F2" w:color="auto" w:val="clear"/>
        <w:spacing w:after="0" w:line="228"/>
        <w:ind w:left="120" w:right="120"/>
      </w:pPr>
      <w:r>
        <w:rPr>
          <w:rFonts w:ascii="Consolas" w:cs="Consolas" w:eastAsia="Consolas" w:hAnsi="Consolas"/>
          <w:color w:val="4F7F4F"/>
          <w:sz w:val="14"/>
          <w:szCs w:val="14"/>
        </w:rPr>
        <w:t xml:space="preserve">// ---- entry rule ----</w:t>
      </w:r>
    </w:p>
    <w:p>
      <w:pPr>
        <w:keepNext w:val="false"/>
        <w:keepLines/>
        <w:shd w:fill="F4F4F2" w:color="auto" w:val="clear"/>
        <w:spacing w:after="0" w:line="228"/>
        <w:ind w:left="120" w:right="120"/>
      </w:pPr>
      <w:r>
        <w:rPr>
          <w:rFonts w:ascii="Consolas" w:cs="Consolas" w:eastAsia="Consolas" w:hAnsi="Consolas"/>
          <w:color w:val="4F7F4F"/>
          <w:sz w:val="14"/>
          <w:szCs w:val="14"/>
        </w:rPr>
        <w:t xml:space="preserve">// Trend (re)start in an established up-trend, confirmed by trend strength (ADX&gt;20) and direction (+DI&gt;-DI)</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longCond = (ta.crossover(sma20, sma50) or ta.crossover(close, sma50)) and sma50 &gt; sma200 and adx &gt; 20 and pdi &gt; ndi</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if longCond and inWin and strategy.position_size == 0</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strategy.entry("Long", strategy.long)</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if useStop</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strategy.exit("Stop", "Long", stop = close - stopMul * atr)</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w:t>
      </w:r>
    </w:p>
    <w:p>
      <w:pPr>
        <w:keepNext w:val="false"/>
        <w:keepLines/>
        <w:shd w:fill="F4F4F2" w:color="auto" w:val="clear"/>
        <w:spacing w:after="0" w:line="228"/>
        <w:ind w:left="120" w:right="120"/>
      </w:pPr>
      <w:r>
        <w:rPr>
          <w:rFonts w:ascii="Consolas" w:cs="Consolas" w:eastAsia="Consolas" w:hAnsi="Consolas"/>
          <w:color w:val="4F7F4F"/>
          <w:sz w:val="14"/>
          <w:szCs w:val="14"/>
        </w:rPr>
        <w:t xml:space="preserve">// ---- time exit: close on the bar that completes `hold` bars in the trade ----</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if strategy.position_size &gt; 0 and bar_index - strategy.opentrades.entry_bar_index(0) &gt;= hold - 1</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strategy.close("Long", comment="Time exit")</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if not inWin and strategy.position_size &gt; 0</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strategy.close("Long", comment="Window end")</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plot(sma50, "SMA 50", color=#eb6834)</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plot(sma200, "SMA 200", color=#4a3aa7, linewidth=2)</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plotshape(longCond and strategy.position_size == 0, "Signal", shape.triangleup, location.belowbar, #008300, size=size.small)</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bgcolor(strategy.position_size &gt; 0 ? color.new(#2a78d6, 92) : na, title="In trade")</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alertcondition(longCond, "Entry signal", "{{ticker}}: Strategy C — 60-day SMA/ADX trend following entry signal")</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w:t>
      </w:r>
    </w:p>
    <w:p>
      <w:pPr>
        <w:pStyle w:val="Heading2"/>
        <w:keepNext/>
        <w:spacing w:after="120" w:before="240"/>
      </w:pPr>
      <w:r>
        <w:rPr>
          <w:rFonts w:ascii="Calibri" w:cs="Calibri" w:eastAsia="Calibri" w:hAnsi="Calibri"/>
          <w:b/>
          <w:bCs/>
          <w:color w:val="1F4E79"/>
          <w:sz w:val="26"/>
          <w:szCs w:val="26"/>
        </w:rPr>
        <w:t xml:space="preserve">B.17 17_Bias_Lab.pine</w:t>
      </w:r>
    </w:p>
    <w:p>
      <w:pPr>
        <w:keepNext w:val="false"/>
        <w:keepLines/>
        <w:shd w:fill="F4F4F2" w:color="auto" w:val="clear"/>
        <w:spacing w:after="0" w:line="228"/>
        <w:ind w:left="120" w:right="120"/>
      </w:pPr>
      <w:r>
        <w:rPr>
          <w:rFonts w:ascii="Consolas" w:cs="Consolas" w:eastAsia="Consolas" w:hAnsi="Consolas"/>
          <w:color w:val="4F7F4F"/>
          <w:sz w:val="14"/>
          <w:szCs w:val="14"/>
        </w:rPr>
        <w:t xml:space="preserve">//@version=6</w:t>
      </w:r>
    </w:p>
    <w:p>
      <w:pPr>
        <w:keepNext w:val="false"/>
        <w:keepLines/>
        <w:shd w:fill="F4F4F2" w:color="auto" w:val="clear"/>
        <w:spacing w:after="0" w:line="228"/>
        <w:ind w:left="120" w:right="120"/>
      </w:pPr>
      <w:r>
        <w:rPr>
          <w:rFonts w:ascii="Consolas" w:cs="Consolas" w:eastAsia="Consolas" w:hAnsi="Consolas"/>
          <w:color w:val="4F7F4F"/>
          <w:sz w:val="14"/>
          <w:szCs w:val="14"/>
        </w:rPr>
        <w:t xml:space="preserve">// MBA680 | Behavioural Bias Lab — one script, eight illustrations (choose in Settings &gt; Inputs).</w:t>
      </w:r>
    </w:p>
    <w:p>
      <w:pPr>
        <w:keepNext w:val="false"/>
        <w:keepLines/>
        <w:shd w:fill="F4F4F2" w:color="auto" w:val="clear"/>
        <w:spacing w:after="0" w:line="228"/>
        <w:ind w:left="120" w:right="120"/>
      </w:pPr>
      <w:r>
        <w:rPr>
          <w:rFonts w:ascii="Consolas" w:cs="Consolas" w:eastAsia="Consolas" w:hAnsi="Consolas"/>
          <w:color w:val="4F7F4F"/>
          <w:sz w:val="14"/>
          <w:szCs w:val="14"/>
        </w:rPr>
        <w:t xml:space="preserve">// Each mode overlays the chart AND computes its own evidence table from the chart's own history,</w:t>
      </w:r>
    </w:p>
    <w:p>
      <w:pPr>
        <w:keepNext w:val="false"/>
        <w:keepLines/>
        <w:shd w:fill="F4F4F2" w:color="auto" w:val="clear"/>
        <w:spacing w:after="0" w:line="228"/>
        <w:ind w:left="120" w:right="120"/>
      </w:pPr>
      <w:r>
        <w:rPr>
          <w:rFonts w:ascii="Consolas" w:cs="Consolas" w:eastAsia="Consolas" w:hAnsi="Consolas"/>
          <w:color w:val="4F7F4F"/>
          <w:sz w:val="14"/>
          <w:szCs w:val="14"/>
        </w:rPr>
        <w:t xml:space="preserve">// so the bias can be demonstrated live on any of the 7 stocks (or any other symbol).</w:t>
      </w:r>
    </w:p>
    <w:p>
      <w:pPr>
        <w:keepNext w:val="false"/>
        <w:keepLines/>
        <w:shd w:fill="F4F4F2" w:color="auto" w:val="clear"/>
        <w:spacing w:after="0" w:line="228"/>
        <w:ind w:left="120" w:right="120"/>
      </w:pPr>
      <w:r>
        <w:rPr>
          <w:rFonts w:ascii="Consolas" w:cs="Consolas" w:eastAsia="Consolas" w:hAnsi="Consolas"/>
          <w:color w:val="4F7F4F"/>
          <w:sz w:val="14"/>
          <w:szCs w:val="14"/>
        </w:rPr>
        <w:t xml:space="preserve">// Forward returns here are close-to-close over n bars (the report's Python replication uses the</w:t>
      </w:r>
    </w:p>
    <w:p>
      <w:pPr>
        <w:keepNext w:val="false"/>
        <w:keepLines/>
        <w:shd w:fill="F4F4F2" w:color="auto" w:val="clear"/>
        <w:spacing w:after="0" w:line="228"/>
        <w:ind w:left="120" w:right="120"/>
      </w:pPr>
      <w:r>
        <w:rPr>
          <w:rFonts w:ascii="Consolas" w:cs="Consolas" w:eastAsia="Consolas" w:hAnsi="Consolas"/>
          <w:color w:val="4F7F4F"/>
          <w:sz w:val="14"/>
          <w:szCs w:val="14"/>
        </w:rPr>
        <w:t xml:space="preserve">// tradeable next-open convention; numbers agree in sign and rough size, not to the decimal).</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indicator("MBA680 · Behavioural Bias Lab", shorttitle="Bias Lab", overlay=true, max_labels_count=500)</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mode = input.string("1 Confirmation", "Bias to illustrate",</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options=["1 Confirmation", "2 Overconfidence", "3 Anchoring", "4 Representativeness",</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"5 Recency", "6 Conservatism", "7 Herding", "8 FOMO"])</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split    = input.time(timestamp("2022-01-01"), "Overconfidence: in-sample / out-of-sample split")</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anchorPx = input.float(0.0, "Anchoring: your entry price (0 = off)", step=1)</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w:t>
      </w:r>
    </w:p>
    <w:p>
      <w:pPr>
        <w:keepNext w:val="false"/>
        <w:keepLines/>
        <w:shd w:fill="F4F4F2" w:color="auto" w:val="clear"/>
        <w:spacing w:after="0" w:line="228"/>
        <w:ind w:left="120" w:right="120"/>
      </w:pPr>
      <w:r>
        <w:rPr>
          <w:rFonts w:ascii="Consolas" w:cs="Consolas" w:eastAsia="Consolas" w:hAnsi="Consolas"/>
          <w:color w:val="4F7F4F"/>
          <w:sz w:val="14"/>
          <w:szCs w:val="14"/>
        </w:rPr>
        <w:t xml:space="preserve">// ---------- shared indicator set ----------</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rsi   = ta.rsi(close, 14)</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k     = ta.sma(ta.stoch(close, high, low, 14), 3)</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dd    = ta.sma(k, 3)</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[mid, up, lo] = ta.bb(close, 20, 2.0)</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pctB  = (close - lo) / (up - lo)</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[macd, sig, hist] = ta.macd(close, 12, 26, 9)</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ema5  = ta.ema(close, 5)</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ema10 = ta.ema(close, 10)</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ema9  = ta.ema(close, 9)</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ema21 = ta.ema(close, 21)</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sma50 = ta.sma(close, 50)</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sma200 = ta.sma(close, 200)</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obv   = ta.obv</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obvE  = ta.ema(obv, 20)</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atr   = ta.atr(14)</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hi52  = ta.highest(high, 252)</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anyBar = bar_index &gt;= 0          // series 'true' (base-rate events)</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volA  = ta.sma(volume, 20)</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cci   = ta.cci(hlc3, 20)</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mfi   = ta.mfi(hlc3, 14)</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dcUp  = ta.highest(high, 20)</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w:t>
      </w:r>
    </w:p>
    <w:p>
      <w:pPr>
        <w:keepNext w:val="false"/>
        <w:keepLines/>
        <w:shd w:fill="F4F4F2" w:color="auto" w:val="clear"/>
        <w:spacing w:after="0" w:line="228"/>
        <w:ind w:left="120" w:right="120"/>
      </w:pPr>
      <w:r>
        <w:rPr>
          <w:rFonts w:ascii="Consolas" w:cs="Consolas" w:eastAsia="Consolas" w:hAnsi="Consolas"/>
          <w:color w:val="4F7F4F"/>
          <w:sz w:val="14"/>
          <w:szCs w:val="14"/>
        </w:rPr>
        <w:t xml:space="preserve">// ---------- forward-return accumulator: [count, mean, hit-rate] of n-bar returns after event ----------</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f_fwd(bool ev, int n) =&gt;</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var float s = 0.0</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var int c = 0</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var int h = 0</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if ev[n] and not na(close[n])</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r = close / close[n] - 1</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s += r</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c += 1</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h += r &gt; 0 ? 1 : 0</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[c, c &gt; 0 ? s / c : na, c &gt; 0 ? float(h) / c : na]</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var table T = table.new(position.top_right, 4, 8, border_width=1, frame_color=color.gray, frame_width=1, bgcolor=color.new(color.white, 10))</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f_hdr(string title) =&gt;</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table.cell(T, 0, 0, title, text_size=size.small, bgcolor=color.new(#2a78d6, 70))</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table.cell(T, 1, 0, "n", text_size=size.small, bgcolor=color.new(#2a78d6, 70))</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table.cell(T, 2, 0, "avg fwd", text_size=size.small, bgcolor=color.new(#2a78d6, 70))</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table.cell(T, 3, 0, "hit %", text_size=size.small, bgcolor=color.new(#2a78d6, 70))</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f_row(int r, string lab, int c, float m, float h) =&gt;</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table.cell(T, 0, r, lab, text_size=size.small, text_halign=text.align_left)</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table.cell(T, 1, r, str.tostring(c), text_size=size.small)</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table.cell(T, 2, r, na(m) ? "–" : str.tostring(m * 100, "#.00") + "%", text_size=size.small, text_color = m &gt; 0 ? #008300 : #e34948)</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table.cell(T, 3, r, na(h) ? "–" : str.tostring(h * 100, "#") + "%", text_size=size.small)</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f_note(int r, string txt) =&gt;</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table.cell(T, 0, r, txt, text_size=size.tiny, text_halign=text.align_left)</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table.merge_cells(T, 0, r, 3, r)</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w:t>
      </w:r>
    </w:p>
    <w:p>
      <w:pPr>
        <w:keepNext w:val="false"/>
        <w:keepLines/>
        <w:shd w:fill="F4F4F2" w:color="auto" w:val="clear"/>
        <w:spacing w:after="0" w:line="228"/>
        <w:ind w:left="120" w:right="120"/>
      </w:pPr>
      <w:r>
        <w:rPr>
          <w:rFonts w:ascii="Consolas" w:cs="Consolas" w:eastAsia="Consolas" w:hAnsi="Consolas"/>
          <w:color w:val="4F7F4F"/>
          <w:sz w:val="14"/>
          <w:szCs w:val="14"/>
        </w:rPr>
        <w:t xml:space="preserve">// ============ 1 CONFIRMATION: redundant vs independent 'confirmation' ============</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rsiX   = ta.crossover(rsi, 35)</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redund = rsiX and ta.lowest(k, 3) &lt; 25 and ta.lowest(pctB, 3) &lt; 0.05      // same price info, 3 labels</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indep  = rsiX and obv &gt; obvE                                                // volume: partly new info</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redCci = rsiX and ta.lowest(cci, 3) &lt; -100                                   // CCI: same price info again</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indMfi = rsiX and mfi &gt; mfi[3]                                               // MFI: volume-weighted</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[c1a, m1a, h1a] = f_fwd(rsiX, 10)</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[c1b, m1b, h1b] = f_fwd(redund, 10)</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[c1c, m1c, h1c] = f_fwd(indep, 10)</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[c1d, m1d, h1d] = f_fwd(redCci, 10)</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[c1e, m1e, h1e] = f_fwd(indMfi, 10)</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corrRS = ta.correlation(rsi, k, 250)</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corrRB = ta.correlation(rsi, pctB, 250)</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corrCB = ta.correlation(cci, pctB, 250)</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isC = mode == "1 Confirmation"</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plotshape(isC and rsiX and not redund and not indep, "RSI alone", shape.circle, location.belowbar, color.gray, size=size.tiny)</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plotshape(isC and redund, "RSI+Stoch+BB (redundant)", shape.triangleup, location.belowbar, #eb6834, size=size.small)</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plotshape(isC and indep, "RSI+OBV (independent)", shape.triangleup, location.belowbar, #008300, size=size.small)</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w:t>
      </w:r>
    </w:p>
    <w:p>
      <w:pPr>
        <w:keepNext w:val="false"/>
        <w:keepLines/>
        <w:shd w:fill="F4F4F2" w:color="auto" w:val="clear"/>
        <w:spacing w:after="0" w:line="228"/>
        <w:ind w:left="120" w:right="120"/>
      </w:pPr>
      <w:r>
        <w:rPr>
          <w:rFonts w:ascii="Consolas" w:cs="Consolas" w:eastAsia="Consolas" w:hAnsi="Consolas"/>
          <w:color w:val="4F7F4F"/>
          <w:sz w:val="14"/>
          <w:szCs w:val="14"/>
        </w:rPr>
        <w:t xml:space="preserve">// ============ 2 OVERCONFIDENCE: the in-sample edge vs the unseen sample ============</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sigA = (ta.crossover(rsi, 35) or (ta.crossover(k, dd) and k &lt; 20)) and close &gt; sma200</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[c2a, m2a, h2a] = f_fwd(sigA and time &lt; split, 7)</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[c2b, m2b, h2b] = f_fwd(sigA and time &gt;= split, 7)</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isO = mode == "2 Overconfidence"</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bgcolor(isO ? (time &lt; split ? color.new(#2a78d6, 93) : color.new(#eb6834, 93)) : na, title="IS / OOS shading")</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plotshape(isO and sigA, "Strategy A signal", shape.triangleup, location.belowbar, #2a78d6, size=size.tiny)</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w:t>
      </w:r>
    </w:p>
    <w:p>
      <w:pPr>
        <w:keepNext w:val="false"/>
        <w:keepLines/>
        <w:shd w:fill="F4F4F2" w:color="auto" w:val="clear"/>
        <w:spacing w:after="0" w:line="228"/>
        <w:ind w:left="120" w:right="120"/>
      </w:pPr>
      <w:r>
        <w:rPr>
          <w:rFonts w:ascii="Consolas" w:cs="Consolas" w:eastAsia="Consolas" w:hAnsi="Consolas"/>
          <w:color w:val="4F7F4F"/>
          <w:sz w:val="14"/>
          <w:szCs w:val="14"/>
        </w:rPr>
        <w:t xml:space="preserve">// ============ 3 ANCHORING: 52-week high and the entry-price anchor ============</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nearHi = close &gt;= hi52 * 0.98</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farHi  = close &lt;= hi52 * 0.70</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[c3a, m3a, h3a] = f_fwd(nearHi, 20)</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[c3b, m3b, h3b] = f_fwd(farHi, 20)</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[c3c, m3c, h3c] = f_fwd(anyBar, 20)</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isA = mode == "3 Anchoring"</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plot(isA ? hi52 : na, "52-week high (the anchor)", color=#4a3aa7, linewidth=2, style=plot.style_stepline)</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plot(isA and anchorPx &gt; 0 ? anchorPx : na, "Your entry price", color=#e34948, linewidth=2, style=plot.style_linebr)</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bgcolor(isA and nearHi ? color.new(#eda100, 88) : na, title="Within 2% of 52w high")</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bgcolor(isA and anchorPx &gt; 0 and close &lt; anchorPx ? color.new(#e34948, 92) : na, title="Below your anchor (disposition zone)")</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w:t>
      </w:r>
    </w:p>
    <w:p>
      <w:pPr>
        <w:keepNext w:val="false"/>
        <w:keepLines/>
        <w:shd w:fill="F4F4F2" w:color="auto" w:val="clear"/>
        <w:spacing w:after="0" w:line="228"/>
        <w:ind w:left="120" w:right="120"/>
      </w:pPr>
      <w:r>
        <w:rPr>
          <w:rFonts w:ascii="Consolas" w:cs="Consolas" w:eastAsia="Consolas" w:hAnsi="Consolas"/>
          <w:color w:val="4F7F4F"/>
          <w:sz w:val="14"/>
          <w:szCs w:val="14"/>
        </w:rPr>
        <w:t xml:space="preserve">// ============ 4 REPRESENTATIVENESS: textbook stereotypes vs outcomes ============</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ob    = ta.crossover(rsi, 70)</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gold  = ta.crossover(sma50, sma200)</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up3   = close &gt; close[1] and close[1] &gt; close[2] and close[2] &gt; close[3]</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[c4a, m4a, h4a] = f_fwd(ob, 20)</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[c4b, m4b, h4b] = f_fwd(anyBar, 20)</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[c4c, m4c, h4c] = f_fwd(gold, 60)</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[c4d, m4d, h4d] = f_fwd(anyBar, 60)</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[c4e, m4e, h4e] = f_fwd(up3, 5)</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[c4f, m4f, h4f] = f_fwd(anyBar, 5)</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isR = mode == "4 Representativeness"</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plotshape(isR and ob, "RSI&gt;70 'overbought'", shape.xcross, location.abovebar, #e34948, size=size.small)</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plotshape(isR and gold, "Golden cross", shape.labelup, location.belowbar, #008300, text="GC", textcolor=color.white, size=size.small)</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w:t>
      </w:r>
    </w:p>
    <w:p>
      <w:pPr>
        <w:keepNext w:val="false"/>
        <w:keepLines/>
        <w:shd w:fill="F4F4F2" w:color="auto" w:val="clear"/>
        <w:spacing w:after="0" w:line="228"/>
        <w:ind w:left="120" w:right="120"/>
      </w:pPr>
      <w:r>
        <w:rPr>
          <w:rFonts w:ascii="Consolas" w:cs="Consolas" w:eastAsia="Consolas" w:hAnsi="Consolas"/>
          <w:color w:val="4F7F4F"/>
          <w:sz w:val="14"/>
          <w:szCs w:val="14"/>
        </w:rPr>
        <w:t xml:space="preserve">// ============ 5 RECENCY: over-weighting the last few bars ============</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fastX = ta.cross(ema5, ema10)</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slowX = ta.cross(sma50, sma200)</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var int nFast = 0</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var int nSlow = 0</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var float t0 = na</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if na(t0)</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t0 := time</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nFast += fastX ? 1 : 0</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nSlow += slowX ? 1 : 0</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yrs = (time - t0) / (365.25 * 86400000.0)</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isRe = mode == "5 Recency"</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plot(isRe ? ema5 : na, "EMA 5 (recency-heavy)", color=#e87ba4)</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plot(isRe ? ema10 : na, "EMA 10", color=#eda100)</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plot(isRe ? sma50 : na, "SMA 50", color=#eb6834)</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plot(isRe ? sma200 : na, "SMA 200", color=#4a3aa7, linewidth=2)</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plotshape(isRe and fastX, "Fast whipsaw", shape.diamond, location.abovebar, #e87ba4, size=size.tiny)</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w:t>
      </w:r>
    </w:p>
    <w:p>
      <w:pPr>
        <w:keepNext w:val="false"/>
        <w:keepLines/>
        <w:shd w:fill="F4F4F2" w:color="auto" w:val="clear"/>
        <w:spacing w:after="0" w:line="228"/>
        <w:ind w:left="120" w:right="120"/>
      </w:pPr>
      <w:r>
        <w:rPr>
          <w:rFonts w:ascii="Consolas" w:cs="Consolas" w:eastAsia="Consolas" w:hAnsi="Consolas"/>
          <w:color w:val="4F7F4F"/>
          <w:sz w:val="14"/>
          <w:szCs w:val="14"/>
        </w:rPr>
        <w:t xml:space="preserve">// ============ 6 CONSERVATISM: slow updating after a regime change ============</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lagZone = close &lt; ema21 and ema9 &lt; ema21 and close &gt; sma200     // fast evidence says 'down', slow belief still 'up'</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deathX  = ta.crossunder(sma50, sma200)</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emaBear = ta.crossunder(ema9, ema21)</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var float sDd1 = 0.0</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var int nD1 = 0</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var float sDd2 = 0.0</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var int nD2 = 0</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ddFromHi = close / ta.highest(close, 120) - 1</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if deathX</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sDd1 += ddFromHi</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nD1 += 1</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if emaBear</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sDd2 += ddFromHi</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nD2 += 1</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isCo = mode == "6 Conservatism"</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plot(isCo ? ema21 : na, "EMA 21 (fast evidence)", color=#2a78d6)</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plot(isCo ? sma200 : na, "SMA 200 (slow belief)", color=#4a3aa7, linewidth=2)</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bgcolor(isCo and lagZone ? color.new(#eda100, 85) : na, title="Lag zone: evidence turned, belief has not")</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plotshape(isCo and deathX, "Death cross (late)", shape.labeldown, location.abovebar, #e34948, text="DC", textcolor=color.white, size=size.small)</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w:t>
      </w:r>
    </w:p>
    <w:p>
      <w:pPr>
        <w:keepNext w:val="false"/>
        <w:keepLines/>
        <w:shd w:fill="F4F4F2" w:color="auto" w:val="clear"/>
        <w:spacing w:after="0" w:line="228"/>
        <w:ind w:left="120" w:right="120"/>
      </w:pPr>
      <w:r>
        <w:rPr>
          <w:rFonts w:ascii="Consolas" w:cs="Consolas" w:eastAsia="Consolas" w:hAnsi="Consolas"/>
          <w:color w:val="4F7F4F"/>
          <w:sz w:val="14"/>
          <w:szCs w:val="14"/>
        </w:rPr>
        <w:t xml:space="preserve">// ============ 7 HERDING: how many of the 7 stocks are flashing the same signal ============</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f_bull() =&gt;</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[m_, s_, h_] = ta.macd(close, 12, 26, 9)</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ta.ema(close, 9) &gt; ta.ema(close, 21) and m_ &gt; s_ ? 1 : 0</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breadth = request.security("NSE:RELIANCE", "D", f_bull()) + request.security("NSE:HDFCBANK", "D", f_bull()) +</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request.security("NSE:INFY", "D", f_bull()) + request.security("NSE:ITC", "D", f_bull()) +</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request.security("NSE:MARUTI", "D", f_bull()) + request.security("NSE:SUNPHARMA", "D", f_bull()) +</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request.security("NSE:LT", "D", f_bull())</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sigB    = ta.crossover(macd, sig) and ema9 &gt; ema21 and obv &gt; obvE</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volSpk  = volume &gt; 2 * volA and close / close[1] - 1 &gt; 0.03</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[c7a, m7a, h7a] = f_fwd(sigB and breadth &lt;= 3, 15)</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[c7b, m7b, h7b] = f_fwd(sigB and breadth &gt;= 6, 15)</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[c7c, m7c, h7c] = f_fwd(volSpk, 5)</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[c7d, m7d, h7d] = f_fwd(volSpk, 20)</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dcBrk   = ta.crossover(close, dcUp[1])                                      // the breakout every screen shows</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[c7e, m7e, h7e] = f_fwd(dcBrk, 20)</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[c7f, m7f, h7f] = f_fwd(anyBar, 20)</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isH = mode == "7 Herding"</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bgcolor(isH and breadth &gt;= 6 ? color.new(#e34948, 88) : isH and breadth &lt;= 3 ? color.new(#2a78d6, 92) : na, title="Crowded (6-7 of 7) / isolated (&lt;=3)")</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plotshape(isH and volSpk, "Volume-spike breakout", shape.flag, location.abovebar, #eb6834, size=size.small)</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plotshape(isH and dcBrk and not volSpk, "Donchian breakout", shape.diamond, location.abovebar, #4a3aa7, size=size.tiny)</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w:t>
      </w:r>
    </w:p>
    <w:p>
      <w:pPr>
        <w:keepNext w:val="false"/>
        <w:keepLines/>
        <w:shd w:fill="F4F4F2" w:color="auto" w:val="clear"/>
        <w:spacing w:after="0" w:line="228"/>
        <w:ind w:left="120" w:right="120"/>
      </w:pPr>
      <w:r>
        <w:rPr>
          <w:rFonts w:ascii="Consolas" w:cs="Consolas" w:eastAsia="Consolas" w:hAnsi="Consolas"/>
          <w:color w:val="4F7F4F"/>
          <w:sz w:val="14"/>
          <w:szCs w:val="14"/>
        </w:rPr>
        <w:t xml:space="preserve">// ============ 8 FOMO: chasing extended prices and chasing late ============</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ext    = (close - ema21) / atr</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isExt  = ext &gt; 1.5 or rsi &gt; 70</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chase  = sigB and isExt</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calm   = sigB and not isExt</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late5  = sigB[5]</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[c8a, m8a, h8a] = f_fwd(calm, 15)</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[c8b, m8b, h8b] = f_fwd(chase, 15)</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[c8c, m8c, h8c] = f_fwd(sigB, 15)</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[c8d, m8d, h8d] = f_fwd(late5, 15)</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isF = mode == "8 FOMO"</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pe = plot(isF ? ema21 + 1.5 * atr : na, "EMA21 + 1.5 ATR (chase line)", color=#e34948, style=plot.style_linebr)</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plot(isF ? ema21 : na, "EMA 21", color=#2a78d6)</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bgcolor(isF and isExt ? color.new(#e34948, 90) : na, title="Extended: FOMO zone")</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plotshape(isF and chase, "Chased entry", shape.triangleup, location.belowbar, #e34948, size=size.small)</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plotshape(isF and calm, "Calm entry", shape.triangleup, location.belowbar, #008300, size=size.small)</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w:t>
      </w:r>
    </w:p>
    <w:p>
      <w:pPr>
        <w:keepNext w:val="false"/>
        <w:keepLines/>
        <w:shd w:fill="F4F4F2" w:color="auto" w:val="clear"/>
        <w:spacing w:after="0" w:line="228"/>
        <w:ind w:left="120" w:right="120"/>
      </w:pPr>
      <w:r>
        <w:rPr>
          <w:rFonts w:ascii="Consolas" w:cs="Consolas" w:eastAsia="Consolas" w:hAnsi="Consolas"/>
          <w:color w:val="4F7F4F"/>
          <w:sz w:val="14"/>
          <w:szCs w:val="14"/>
        </w:rPr>
        <w:t xml:space="preserve">// ============ evidence table ============</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if barstate.islast</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table.clear(T, 0, 0, 3, 7)</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if isC</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f_hdr("Confirmation (10-bar fwd)")</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f_row(1, "RSI crosses 35 alone", c1a, m1a, h1a)</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f_row(2, "+Stoch +BB (redundant)", c1b, m1b, h1b)</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f_row(3, "+CCI&lt;-100 (redundant)", c1d, m1d, h1d)</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f_row(4, "+OBV (independent)", c1c, m1c, h1c)</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f_row(5, "+MFI rising (volume)", c1e, m1e, h1e)</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f_note(6, "corr(RSI,Stoch)=" + str.tostring(corrRS, "#.00") + "  corr(RSI,%B)=" + str.tostring(corrRB, "#.00") + "  corr(CCI,%B)=" + str.tostring(corrCB, "#.00"))</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f_note(7, "More labels of the SAME information ≠ more evidence")</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else if isO</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f_hdr("Overconfidence (7-bar fwd)")</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f_row(1, "Signal A, in-sample", c2a, m2a, h2a)</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f_row(2, "Signal A, out-of-sample", c2b, m2b, h2b)</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f_note(3, "Blue = the past you fitted on; orange = the future you trade")</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else if isA</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f_hdr("Anchoring (20-bar fwd)")</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f_row(1, "Within 2% of 52w high", c3a, m3a, h3a)</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f_row(2, "≥30% below 52w high", c3b, m3b, h3b)</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f_row(3, "Any bar", c3c, m3c, h3c)</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f_note(4, anchorPx &gt; 0 ? "Price vs your anchor: " + str.tostring((close / anchorPx - 1) * 100, "#.0") + "% — the market does not know your cost" : "Set an entry price to see the disposition zone")</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else if isR</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f_hdr("Representativeness")</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f_row(1, "RSI&gt;70 'overbought', 20b", c4a, m4a, h4a)</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f_row(2, "Any bar, 20b", c4b, m4b, h4b)</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f_row(3, "Golden cross, 60b", c4c, m4c, h4c)</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f_row(4, "Any bar, 60b", c4d, m4d, h4d)</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f_row(5, "3 up-closes in a row, 5b", c4e, m4e, h4e)</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f_row(6, "Any bar, 5b", c4f, m4f, h4f)</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else if isRe</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f_hdr("Recency (crosses / year)")</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table.cell(T, 0, 1, "EMA 5/10 (last ~week)", text_size=size.small)</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table.cell(T, 2, 1, str.tostring(nFast / yrs, "#.0"), text_size=size.small)</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table.cell(T, 0, 2, "SMA 50/200 (last ~year)", text_size=size.small)</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table.cell(T, 2, 2, str.tostring(nSlow / yrs, "#.0"), text_size=size.small)</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f_note(3, "Every pink diamond is the newest bar overruling the rest")</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else if isCo</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f_hdr("Conservatism")</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table.cell(T, 0, 1, "Avg dist. from 120-bar high at EMA 9/21 bear cross", text_size=size.small)</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table.cell(T, 2, 1, nD2 &gt; 0 ? str.tostring(sDd2 / nD2 * 100, "#.0") + "%" : "–", text_size=size.small)</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table.cell(T, 0, 2, "…at SMA 50/200 death cross", text_size=size.small)</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table.cell(T, 2, 2, nD1 &gt; 0 ? str.tostring(sDd1 / nD1 * 100, "#.0") + "%" : "–", text_size=size.small)</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f_note(3, "Amber = fast evidence has turned; slow belief has not")</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else if isH</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f_hdr("Herding (" + str.tostring(breadth) + "/7 bullish today)")</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f_row(1, "Signal B, isolated ≤3/7, 15b", c7a, m7a, h7a)</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f_row(2, "Signal B, crowded ≥6/7, 15b", c7b, m7b, h7b)</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f_row(3, "Volume-spike breakout, 5b", c7c, m7c, h7c)</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f_row(4, "Volume-spike breakout, 20b", c7d, m7d, h7d)</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f_row(5, "Donchian 20-day breakout, 20b", c7e, m7e, h7e)</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f_row(6, "Any bar, 20b", c7f, m7f, h7f)</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else if isF</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f_hdr("FOMO (15-bar fwd)")</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f_row(1, "Signal B, calm entry", c8a, m8a, h8a)</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f_row(2, "Signal B, extended entry", c8b, m8b, h8b)</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f_row(3, "Signal B, on time", c8c, m8c, h8c)</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f_row(4, "Signal B, 5 bars late", c8d, m8d, h8d)</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w:t>
      </w:r>
    </w:p>
    <w:p>
      <w:pPr>
        <w:pStyle w:val="Heading2"/>
        <w:keepNext/>
        <w:spacing w:after="120" w:before="240"/>
      </w:pPr>
      <w:r>
        <w:rPr>
          <w:rFonts w:ascii="Calibri" w:cs="Calibri" w:eastAsia="Calibri" w:hAnsi="Calibri"/>
          <w:b/>
          <w:bCs/>
          <w:color w:val="1F4E79"/>
          <w:sz w:val="26"/>
          <w:szCs w:val="26"/>
        </w:rPr>
        <w:t xml:space="preserve">B.18 18_Strategy_Disciplined.pine</w:t>
      </w:r>
    </w:p>
    <w:p>
      <w:pPr>
        <w:keepNext w:val="false"/>
        <w:keepLines/>
        <w:shd w:fill="F4F4F2" w:color="auto" w:val="clear"/>
        <w:spacing w:after="0" w:line="228"/>
        <w:ind w:left="120" w:right="120"/>
      </w:pPr>
      <w:r>
        <w:rPr>
          <w:rFonts w:ascii="Consolas" w:cs="Consolas" w:eastAsia="Consolas" w:hAnsi="Consolas"/>
          <w:color w:val="4F7F4F"/>
          <w:sz w:val="14"/>
          <w:szCs w:val="14"/>
        </w:rPr>
        <w:t xml:space="preserve">//@version=6</w:t>
      </w:r>
    </w:p>
    <w:p>
      <w:pPr>
        <w:keepNext w:val="false"/>
        <w:keepLines/>
        <w:shd w:fill="F4F4F2" w:color="auto" w:val="clear"/>
        <w:spacing w:after="0" w:line="228"/>
        <w:ind w:left="120" w:right="120"/>
      </w:pPr>
      <w:r>
        <w:rPr>
          <w:rFonts w:ascii="Consolas" w:cs="Consolas" w:eastAsia="Consolas" w:hAnsi="Consolas"/>
          <w:color w:val="4F7F4F"/>
          <w:sz w:val="14"/>
          <w:szCs w:val="14"/>
        </w:rPr>
        <w:t xml:space="preserve">// MBA680 | The de-biased ("disciplined") version of Strategies A / B / C — Section 7 of the report.</w:t>
      </w:r>
    </w:p>
    <w:p>
      <w:pPr>
        <w:keepNext w:val="false"/>
        <w:keepLines/>
        <w:shd w:fill="F4F4F2" w:color="auto" w:val="clear"/>
        <w:spacing w:after="0" w:line="228"/>
        <w:ind w:left="120" w:right="120"/>
      </w:pPr>
      <w:r>
        <w:rPr>
          <w:rFonts w:ascii="Consolas" w:cs="Consolas" w:eastAsia="Consolas" w:hAnsi="Consolas"/>
          <w:color w:val="4F7F4F"/>
          <w:sz w:val="14"/>
          <w:szCs w:val="14"/>
        </w:rPr>
        <w:t xml:space="preserve">// Mitigation is enforced by CODE, not willpower:</w:t>
      </w:r>
    </w:p>
    <w:p>
      <w:pPr>
        <w:keepNext w:val="false"/>
        <w:keepLines/>
        <w:shd w:fill="F4F4F2" w:color="auto" w:val="clear"/>
        <w:spacing w:after="0" w:line="228"/>
        <w:ind w:left="120" w:right="120"/>
      </w:pPr>
      <w:r>
        <w:rPr>
          <w:rFonts w:ascii="Consolas" w:cs="Consolas" w:eastAsia="Consolas" w:hAnsi="Consolas"/>
          <w:color w:val="4F7F4F"/>
          <w:sz w:val="14"/>
          <w:szCs w:val="14"/>
        </w:rPr>
        <w:t xml:space="preserve">//   M1 horizon-scaled ATR stop (A 2x, B 3x, C 4x)  -&gt; anti-anchoring / anti-hope</w:t>
      </w:r>
    </w:p>
    <w:p>
      <w:pPr>
        <w:keepNext w:val="false"/>
        <w:keepLines/>
        <w:shd w:fill="F4F4F2" w:color="auto" w:val="clear"/>
        <w:spacing w:after="0" w:line="228"/>
        <w:ind w:left="120" w:right="120"/>
      </w:pPr>
      <w:r>
        <w:rPr>
          <w:rFonts w:ascii="Consolas" w:cs="Consolas" w:eastAsia="Consolas" w:hAnsi="Consolas"/>
          <w:color w:val="4F7F4F"/>
          <w:sz w:val="14"/>
          <w:szCs w:val="14"/>
        </w:rPr>
        <w:t xml:space="preserve">//   M2 anti-FOMO entry filter (skip if &gt;1.5 ATR above EMA21 or RSI&gt;70)</w:t>
      </w:r>
    </w:p>
    <w:p>
      <w:pPr>
        <w:keepNext w:val="false"/>
        <w:keepLines/>
        <w:shd w:fill="F4F4F2" w:color="auto" w:val="clear"/>
        <w:spacing w:after="0" w:line="228"/>
        <w:ind w:left="120" w:right="120"/>
      </w:pPr>
      <w:r>
        <w:rPr>
          <w:rFonts w:ascii="Consolas" w:cs="Consolas" w:eastAsia="Consolas" w:hAnsi="Consolas"/>
          <w:color w:val="4F7F4F"/>
          <w:sz w:val="14"/>
          <w:szCs w:val="14"/>
        </w:rPr>
        <w:t xml:space="preserve">//   M3 independent volume confirmation (OBV &gt; EMA20) -&gt; anti-confirmation bias</w:t>
      </w:r>
    </w:p>
    <w:p>
      <w:pPr>
        <w:keepNext w:val="false"/>
        <w:keepLines/>
        <w:shd w:fill="F4F4F2" w:color="auto" w:val="clear"/>
        <w:spacing w:after="0" w:line="228"/>
        <w:ind w:left="120" w:right="120"/>
      </w:pPr>
      <w:r>
        <w:rPr>
          <w:rFonts w:ascii="Consolas" w:cs="Consolas" w:eastAsia="Consolas" w:hAnsi="Consolas"/>
          <w:color w:val="4F7F4F"/>
          <w:sz w:val="14"/>
          <w:szCs w:val="14"/>
        </w:rPr>
        <w:t xml:space="preserve">//   Fixed time exit, fixed parameters, no discretionary override  -&gt; anti-overconfidence / recency</w:t>
      </w:r>
    </w:p>
    <w:p>
      <w:pPr>
        <w:keepNext w:val="false"/>
        <w:keepLines/>
        <w:shd w:fill="F4F4F2" w:color="auto" w:val="clear"/>
        <w:spacing w:after="0" w:line="228"/>
        <w:ind w:left="120" w:right="120"/>
      </w:pPr>
      <w:r>
        <w:rPr>
          <w:rFonts w:ascii="Consolas" w:cs="Consolas" w:eastAsia="Consolas" w:hAnsi="Consolas"/>
          <w:color w:val="4F7F4F"/>
          <w:sz w:val="14"/>
          <w:szCs w:val="14"/>
        </w:rPr>
        <w:t xml:space="preserve">//   Pre-registered in-sample / out-of-sample split + live IS-vs-OOS scorecard -&gt; anti-overconfidence</w:t>
      </w:r>
    </w:p>
    <w:p>
      <w:pPr>
        <w:keepNext w:val="false"/>
        <w:keepLines/>
        <w:shd w:fill="F4F4F2" w:color="auto" w:val="clear"/>
        <w:spacing w:after="0" w:line="228"/>
        <w:ind w:left="120" w:right="120"/>
      </w:pPr>
      <w:r>
        <w:rPr>
          <w:rFonts w:ascii="Consolas" w:cs="Consolas" w:eastAsia="Consolas" w:hAnsi="Consolas"/>
          <w:color w:val="4F7F4F"/>
          <w:sz w:val="14"/>
          <w:szCs w:val="14"/>
        </w:rPr>
        <w:t xml:space="preserve">//   M5 Supertrend trailing exit (tested on 2015-21 and rejected for all three strategies)</w:t>
      </w:r>
    </w:p>
    <w:p>
      <w:pPr>
        <w:keepNext w:val="false"/>
        <w:keepLines/>
        <w:shd w:fill="F4F4F2" w:color="auto" w:val="clear"/>
        <w:spacing w:after="0" w:line="228"/>
        <w:ind w:left="120" w:right="120"/>
      </w:pPr>
      <w:r>
        <w:rPr>
          <w:rFonts w:ascii="Consolas" w:cs="Consolas" w:eastAsia="Consolas" w:hAnsi="Consolas"/>
          <w:color w:val="4F7F4F"/>
          <w:sz w:val="14"/>
          <w:szCs w:val="14"/>
        </w:rPr>
        <w:t xml:space="preserve">// The "In-sample chosen" preset reproduces the rule chosen on 2015-21 data ONLY (report Exhibit 30).</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strategy("MBA680 · Disciplined Strategy (bias-mitigated)", overlay=true, initial_capital=1000000, currency=currency.INR,</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default_qty_type=strategy.percent_of_equity, default_qty_value=100,</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commission_type=strategy.commission.percent, commission_value=0.15, pyramiding=0,</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margin_long=0, margin_short=0)   // no margin checks: entries are never rejected or margin-called</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which  = input.string("C — 60-day trend", "Base strategy", options=["A — 7-day mean reversion", "B — 15-day momentum", "C — 60-day trend"])</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preset = input.string("In-sample chosen", "Mitigation preset", options=["In-sample chosen", "Custom"])</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cStop  = input.bool(false, "Custom: M1 ATR stop")</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cFomo  = input.bool(false, "Custom: M2 anti-FOMO filter")</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cVol   = input.bool(false, "Custom: M3 volume confirmation")</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cSt    = input.bool(false, "Custom: M5 Supertrend trailing exit")</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split  = input.time(timestamp("2022-01-01"), "Pre-registered IS / OOS split")</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tStart = input.time(timestamp("2015-01-01"), "Backtest start")</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isA = str.startswith(which, "A")</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isB = str.startswith(which, "B")</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hold    = isA ? 7 : isB ? 15 : 60</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stopMul = isA ? 2.0 : isB ? 3.0 : 4.0</w:t>
      </w:r>
    </w:p>
    <w:p>
      <w:pPr>
        <w:keepNext w:val="false"/>
        <w:keepLines/>
        <w:shd w:fill="F4F4F2" w:color="auto" w:val="clear"/>
        <w:spacing w:after="0" w:line="228"/>
        <w:ind w:left="120" w:right="120"/>
      </w:pPr>
      <w:r>
        <w:rPr>
          <w:rFonts w:ascii="Consolas" w:cs="Consolas" w:eastAsia="Consolas" w:hAnsi="Consolas"/>
          <w:color w:val="4F7F4F"/>
          <w:sz w:val="14"/>
          <w:szCs w:val="14"/>
        </w:rPr>
        <w:t xml:space="preserve">// In-sample (2015-21) choice from the report: A -&gt; M0 (no overlay), B -&gt; M1 stop, C -&gt; M0 (no overlay)</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useStop = preset == "In-sample chosen" ? isB : cStop</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useFomo = preset == "In-sample chosen" ? false : cFomo</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useVol  = preset == "In-sample chosen" ? false : cVol</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rsi  = ta.rsi(close, 14)</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k    = ta.sma(ta.stoch(close, high, low, 14), 3)</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d    = ta.sma(k, 3)</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[macd, sig, hist] = ta.macd(close, 12, 26, 9)</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ema9  = ta.ema(close, 9)</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ema21 = ta.ema(close, 21)</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sma20 = ta.sma(close, 20)</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sma50 = ta.sma(close, 50)</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sma200 = ta.sma(close, 200)</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[pdi, ndi, adx] = ta.dmi(14, 14)</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obv  = ta.obv</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obvE = ta.ema(obv, 20)</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atr  = ta.atr(14)</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sigA = (ta.crossover(rsi, 35) or (ta.crossover(k, d) and k &lt; 20)) and close &gt; sma200</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sigB = ta.crossover(macd, sig) and ema9 &gt; ema21 and obv &gt; obvE</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sigC = (ta.crossover(sma20, sma50) or ta.crossover(close, sma50)) and sma50 &gt; sma200 and adx &gt; 20 and pdi &gt; ndi</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base = isA ? sigA : isB ? sigB : sigC</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extended = (close - ema21) / atr &gt; 1.5 or rsi &gt; 70</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okFomo = not useFomo or not extended</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okVol  = not useVol or obv &gt; obvE</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longCond = base and okFomo and okVol and time &gt;= tStart</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if longCond and strategy.position_size == 0</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strategy.entry("Long", strategy.long)</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if useStop</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strategy.exit("ATR stop", "Long", stop = close - stopMul * atr)</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if strategy.position_size &gt; 0 and bar_index - strategy.opentrades.entry_bar_index(0) &gt;= hold - 1</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strategy.close("Long", comment="Time exit")</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[stLine, stDir] = ta.supertrend(3.0, 10)</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if preset == "Custom" and cSt and strategy.position_size &gt; 0 and stDir &gt; 0</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strategy.close("Long", comment="M5 Supertrend exit")</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plotshape(base and not longCond and time &gt;= tStart and strategy.position_size == 0, "Signal vetoed by a bias filter", shape.xcross, location.belowbar, #e34948, size=size.small)</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plotshape(longCond and strategy.position_size == 0, "Signal taken", shape.triangleup, location.belowbar, #008300, size=size.small)</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bgcolor(time &gt;= split ? color.new(#eb6834, 95) : na, title="Out-of-sample period")</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w:t>
      </w:r>
    </w:p>
    <w:p>
      <w:pPr>
        <w:keepNext w:val="false"/>
        <w:keepLines/>
        <w:shd w:fill="F4F4F2" w:color="auto" w:val="clear"/>
        <w:spacing w:after="0" w:line="228"/>
        <w:ind w:left="120" w:right="120"/>
      </w:pPr>
      <w:r>
        <w:rPr>
          <w:rFonts w:ascii="Consolas" w:cs="Consolas" w:eastAsia="Consolas" w:hAnsi="Consolas"/>
          <w:color w:val="4F7F4F"/>
          <w:sz w:val="14"/>
          <w:szCs w:val="14"/>
        </w:rPr>
        <w:t xml:space="preserve">// ---- live IS vs OOS scorecard from TradingView's own closed-trade list ----</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var table sc = table.new(position.bottom_right, 4, 4, border_width=1, frame_color=color.gray, frame_width=1, bgcolor=color.new(color.white, 10))</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if barstate.islast</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float sIS = 0.0</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float sOOS = 0.0</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int nIS = 0</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int nOOS = 0</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int wIS = 0</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int wOOS = 0</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if strategy.closedtrades &gt; 0</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for i = 0 to strategy.closedtrades - 1</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p = strategy.closedtrades.profit_percent(i)</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if strategy.closedtrades.entry_time(i) &lt; split</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sIS += p</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nIS += 1</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wIS += p &gt; 0 ? 1 : 0</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else</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sOOS += p</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nOOS += 1</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wOOS += p &gt; 0 ? 1 : 0</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table.cell(sc, 0, 0, "Scorecard", text_size=size.small, bgcolor=color.new(#2a78d6, 70))</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table.cell(sc, 1, 0, "Trades", text_size=size.small, bgcolor=color.new(#2a78d6, 70))</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table.cell(sc, 2, 0, "Avg trade", text_size=size.small, bgcolor=color.new(#2a78d6, 70))</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table.cell(sc, 3, 0, "Win %", text_size=size.small, bgcolor=color.new(#2a78d6, 70))</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table.cell(sc, 0, 1, "In-sample", text_size=size.small)</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table.cell(sc, 1, 1, str.tostring(nIS), text_size=size.small)</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table.cell(sc, 2, 1, nIS &gt; 0 ? str.tostring(sIS / nIS, "#.00") + "%" : "–", text_size=size.small)</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table.cell(sc, 3, 1, nIS &gt; 0 ? str.tostring(100.0 * wIS / nIS, "#") + "%" : "–", text_size=size.small)</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table.cell(sc, 0, 2, "Out-of-sample", text_size=size.small)</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table.cell(sc, 1, 2, str.tostring(nOOS), text_size=size.small)</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table.cell(sc, 2, 2, nOOS &gt; 0 ? str.tostring(sOOS / nOOS, "#.00") + "%" : "–", text_size=size.small)</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table.cell(sc, 3, 2, nOOS &gt; 0 ? str.tostring(100.0 * wOOS / nOOS, "#") + "%" : "–", text_size=size.small)</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table.cell(sc, 0, 3, "Active: " + (useStop ? "M1 " : "") + (useFomo ? "M2 " : "") + (useVol ? "M3 " : "") + (not useStop and not useFomo and not useVol ? "none (M0)" : ""), text_size=size.tiny)</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table.merge_cells(sc, 0, 3, 3, 3)</w:t>
      </w:r>
    </w:p>
    <w:p>
      <w:pPr>
        <w:keepNext w:val="false"/>
        <w:keepLines/>
        <w:shd w:fill="F4F4F2" w:color="auto" w:val="clear"/>
        <w:spacing w:after="0" w:line="228"/>
        <w:ind w:left="120" w:right="120"/>
      </w:pPr>
      <w:r>
        <w:rPr>
          <w:rFonts w:ascii="Consolas" w:cs="Consolas" w:eastAsia="Consolas" w:hAnsi="Consolas"/>
          <w:color w:val="1A1A1A"/>
          <w:sz w:val="14"/>
          <w:szCs w:val="14"/>
        </w:rPr>
        <w:t xml:space="preserve"> </w:t>
      </w:r>
    </w:p>
    <w:sectPr>
      <w:headerReference w:type="default" r:id="rId7"/>
      <w:footerReference w:type="default" r:id="rId8"/>
      <w:pgSz w:w="11906" w:h="16838" w:orient="portrait"/>
      <w:pgMar w:top="1300" w:right="1440" w:bottom="120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Calibri" w:cs="Calibri" w:eastAsia="Calibri" w:hAnsi="Calibri"/>
        <w:color w:val="808080"/>
        <w:sz w:val="16"/>
        <w:szCs w:val="16"/>
      </w:rPr>
      <w:t xml:space="preserve">MBA680 · Technical Analysis &amp; Behavioural Biases · Pande &amp; Mishra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20" w:hanging="240"/>
      </w:pPr>
    </w:lvl>
  </w:abstractNum>
  <w:abstractNum w:abstractNumId="3" w15:restartNumberingAfterBreak="0">
    <w:multiLevelType w:val="hybridMultilevel"/>
    <w:lvl w:ilvl="0" w15:tentative="1">
      <w:start w:val="1"/>
      <w:numFmt w:val="decimal"/>
      <w:lvlText w:val="%1."/>
      <w:lvlJc w:val="left"/>
      <w:pPr>
        <w:ind w:left="36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d84246a361101255bd2256bb26fc7a75285df81.png"/><Relationship Id="rId10" Type="http://schemas.openxmlformats.org/officeDocument/2006/relationships/image" Target="media/607456ba9194ebd2ce350a1c2537896bc8c6dcb6.png"/><Relationship Id="rId11" Type="http://schemas.openxmlformats.org/officeDocument/2006/relationships/image" Target="media/57cdc4ec0fb1e851d49668cfbe8f437d5c3eeedf.png"/><Relationship Id="rId12" Type="http://schemas.openxmlformats.org/officeDocument/2006/relationships/image" Target="media/ed22e21c5110f9830983514dbc91be5dca7b71c1.png"/><Relationship Id="rId13" Type="http://schemas.openxmlformats.org/officeDocument/2006/relationships/image" Target="media/c8868736bb38f40a9bfb5b1f896515a5b0ff37b3.png"/><Relationship Id="rId14" Type="http://schemas.openxmlformats.org/officeDocument/2006/relationships/image" Target="media/8e88779e318ab4d067e5846a08f3df4d84e7dd68.png"/><Relationship Id="rId15" Type="http://schemas.openxmlformats.org/officeDocument/2006/relationships/image" Target="media/a93a5a250eb2effeed4d365a643dba046587ca56.png"/><Relationship Id="rId16" Type="http://schemas.openxmlformats.org/officeDocument/2006/relationships/image" Target="media/ffd3569094532c0aa188b77770760d74e5cedcb6.png"/><Relationship Id="rId17" Type="http://schemas.openxmlformats.org/officeDocument/2006/relationships/image" Target="media/345b3fc19fa34ba152e815904dc661e150b93b35.png"/><Relationship Id="rId18" Type="http://schemas.openxmlformats.org/officeDocument/2006/relationships/image" Target="media/3b3769cdc394de1029b9ff46cf237e12ba1ca771.png"/><Relationship Id="rId19" Type="http://schemas.openxmlformats.org/officeDocument/2006/relationships/image" Target="media/5b45a237c68a8d6f0ace93d8ac73124482db0bae.png"/><Relationship Id="rId20" Type="http://schemas.openxmlformats.org/officeDocument/2006/relationships/image" Target="media/0482503cfa8729ea03886380d50bf4c39fb2e6a6.png"/><Relationship Id="rId21" Type="http://schemas.openxmlformats.org/officeDocument/2006/relationships/image" Target="media/26e4457dafd8b871f9f2d124ff28ca85ab97cd02.png"/><Relationship Id="rId22" Type="http://schemas.openxmlformats.org/officeDocument/2006/relationships/image" Target="media/616204e159b8669fb9419583139ffe7adca834b1.png"/><Relationship Id="rId23" Type="http://schemas.openxmlformats.org/officeDocument/2006/relationships/image" Target="media/c9a356e6e4970dfa3bbc4d242ce2a09b42e5f18e.png"/><Relationship Id="rId24" Type="http://schemas.openxmlformats.org/officeDocument/2006/relationships/image" Target="media/5131dffdb3fa371396bfc5232572cb977e5023cc.png"/><Relationship Id="rId25" Type="http://schemas.openxmlformats.org/officeDocument/2006/relationships/image" Target="media/57d80e715cfd2a9e52334e64a9ea7f4ed3eee44b.png"/><Relationship Id="rId26" Type="http://schemas.openxmlformats.org/officeDocument/2006/relationships/image" Target="media/7bb779d37174c654792d91b492f24d7ea6a718cb.png"/><Relationship Id="rId27" Type="http://schemas.openxmlformats.org/officeDocument/2006/relationships/image" Target="media/2ff95ba5774cdab48f6e9502aff5740fcbee1fcc.png"/><Relationship Id="rId28" Type="http://schemas.openxmlformats.org/officeDocument/2006/relationships/image" Target="media/fc420a980636ac44932c522aa7856e5d2e0b55c9.png"/><Relationship Id="rId29" Type="http://schemas.openxmlformats.org/officeDocument/2006/relationships/image" Target="media/71e24f236375be2bec6fd09c6d3752947d02f6a1.png"/><Relationship Id="rId30" Type="http://schemas.openxmlformats.org/officeDocument/2006/relationships/image" Target="media/dc5025f8be21a57093fa8fe67a283b7baa84015b.png"/><Relationship Id="rId31" Type="http://schemas.openxmlformats.org/officeDocument/2006/relationships/image" Target="media/4179857d264cc7dce228b75b40d1e41cad3b437c.png"/><Relationship Id="rId32" Type="http://schemas.openxmlformats.org/officeDocument/2006/relationships/image" Target="media/534fe408a577759e537c84376d469a7bcfbaee68.png"/><Relationship Id="rId33" Type="http://schemas.openxmlformats.org/officeDocument/2006/relationships/image" Target="media/e1bdc77f5859019c161db262e1ec5be273000a66.png"/><Relationship Id="rId34" Type="http://schemas.openxmlformats.org/officeDocument/2006/relationships/image" Target="media/dd9000578867d2a82c81761af29ed04dd86e1a96.png"/><Relationship Id="rId35" Type="http://schemas.openxmlformats.org/officeDocument/2006/relationships/image" Target="media/e2fe5d0c3d870e5a8db9885246bd226610dad8e1.png"/><Relationship Id="rId36" Type="http://schemas.openxmlformats.org/officeDocument/2006/relationships/image" Target="media/5ed5a1366fcb0b766f140e6e3b9df0c4539fc46b.png"/><Relationship Id="rId37" Type="http://schemas.openxmlformats.org/officeDocument/2006/relationships/image" Target="media/fcc3c06d819dad4790713535fccbc5116e122b00.png"/><Relationship Id="rId3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MBA680 — Technical Analysis, Horizon Strategies and Behavioural Biases</dc:title>
  <dc:creator>Adwaaiit Pande; Ayushi Mishra</dc:creator>
  <cp:lastModifiedBy>Un-named</cp:lastModifiedBy>
  <cp:revision>1</cp:revision>
  <dcterms:created xsi:type="dcterms:W3CDTF">2026-10-06T19:56:18.905Z</dcterms:created>
  <dcterms:modified xsi:type="dcterms:W3CDTF">2026-10-06T19:56:18.905Z</dcterms:modified>
</cp:coreProperties>
</file>

<file path=docProps/custom.xml><?xml version="1.0" encoding="utf-8"?>
<Properties xmlns="http://schemas.openxmlformats.org/officeDocument/2006/custom-properties" xmlns:vt="http://schemas.openxmlformats.org/officeDocument/2006/docPropsVTypes"/>
</file>