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Hybrid Parallel Acceleration for Content-Aware Image Sequencing and High-FPS Smooth Video Transition Synthesis</w:t>
      </w:r>
    </w:p>
    <w:p/>
    <w:p>
      <w:pPr>
        <w:pStyle w:val="Heading2"/>
      </w:pPr>
      <w:r>
        <w:t>2. Team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Role / Member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Roll No / Lab Batch</w:t>
            </w:r>
          </w:p>
        </w:tc>
      </w:tr>
      <w:tr>
        <w:tc>
          <w:tcPr>
            <w:tcW w:type="dxa" w:w="3120"/>
          </w:tcPr>
          <w:p>
            <w:r>
              <w:t>Member 1</w:t>
            </w:r>
          </w:p>
        </w:tc>
        <w:tc>
          <w:tcPr>
            <w:tcW w:type="dxa" w:w="3120"/>
          </w:tcPr>
          <w:p>
            <w:r>
              <w:t>Awwab Wadekar</w:t>
            </w:r>
          </w:p>
        </w:tc>
        <w:tc>
          <w:tcPr>
            <w:tcW w:type="dxa" w:w="3120"/>
          </w:tcPr>
          <w:p>
            <w:r>
              <w:t>241080077 | C</w:t>
            </w:r>
          </w:p>
        </w:tc>
      </w:tr>
      <w:tr>
        <w:tc>
          <w:tcPr>
            <w:tcW w:type="dxa" w:w="3120"/>
          </w:tcPr>
          <w:p>
            <w:r>
              <w:t>Member 2</w:t>
            </w:r>
          </w:p>
        </w:tc>
        <w:tc>
          <w:tcPr>
            <w:tcW w:type="dxa" w:w="3120"/>
          </w:tcPr>
          <w:p>
            <w:r>
              <w:t>Taha Valiji</w:t>
            </w:r>
          </w:p>
        </w:tc>
        <w:tc>
          <w:tcPr>
            <w:tcW w:type="dxa" w:w="3120"/>
          </w:tcPr>
          <w:p>
            <w:r>
              <w:t>241080071 | C</w:t>
            </w:r>
          </w:p>
        </w:tc>
      </w:tr>
    </w:tbl>
    <w:p/>
    <w:p>
      <w:pPr>
        <w:pStyle w:val="Heading2"/>
      </w:pPr>
      <w:r>
        <w:t>3. Introduction</w:t>
      </w:r>
    </w:p>
    <w:p>
      <w:r>
        <w:t>Converting large, unordered collections of digital images into smooth, continuous video streams presents significant computational bottlenecks. Specifically, calculating pairwise visual feature distances across thousands of images requires O(N^2) complexity, and rendering pixel-level transition frames at high frame rates (60+ FPS) exceeds standard CPU processing capabilities. This project leverages parallel computing paradigms—namely OpenMP for shared-memory multi-core CPU preprocessing, MPI/OpenMP for structural distance matrix computations, and CUDA for hardware-accelerated GPU pixel interpolation—to achieve real-time video synthesis within hardware constraints.</w:t>
      </w:r>
    </w:p>
    <w:p>
      <w:pPr>
        <w:pStyle w:val="Heading2"/>
      </w:pPr>
      <w:r>
        <w:t>4. Goal</w:t>
      </w:r>
    </w:p>
    <w:p>
      <w:r>
        <w:t>The primary goal of this project is to build an efficient C++ parallel pipeline that:</w:t>
        <w:br/>
        <w:t>1. Ingests and processes a dataset of 1,000+ unstructured 720p images using multi-threaded OpenMP CPU operations.</w:t>
        <w:br/>
        <w:t>2. Computes a structural feature similarity matrix and solves a Nearest Neighbor (TSP) sorting heuristic to order images for smooth visual transitions.</w:t>
        <w:br/>
        <w:t>3. Implements custom CUDA kernels on an NVIDIA GPU to accelerate fine-grained pixel alpha blending and frame interpolation.</w:t>
        <w:br/>
        <w:t>4. Directly pipes generated frames into a hardware-accelerated NVENC video encoder to output a 60 FPS, 3-minute video without disk I/O bottlenecks.</w:t>
      </w:r>
    </w:p>
    <w:p>
      <w:pPr>
        <w:pStyle w:val="Heading2"/>
      </w:pPr>
      <w:r>
        <w:t>5. References (Research Papers)</w:t>
      </w:r>
    </w:p>
    <w:p>
      <w:pPr>
        <w:pStyle w:val="ListBullet"/>
      </w:pPr>
      <w:r>
        <w:rPr>
          <w:b/>
        </w:rPr>
        <w:t xml:space="preserve">Snavely, N., Seitz, S. M., &amp; Szeliski, R. </w:t>
      </w:r>
      <w:r>
        <w:t>"Photo Tourism: Exploring Photo Collections in 3D." ACM Transactions on Graphics (SIGGRAPH) — utilized for structured image dataset feature representation and pairwise matching concepts.</w:t>
      </w:r>
    </w:p>
    <w:p>
      <w:pPr>
        <w:pStyle w:val="ListBullet"/>
      </w:pPr>
      <w:r>
        <w:rPr>
          <w:b/>
        </w:rPr>
        <w:t xml:space="preserve">Niklaus, S., Mai, L., &amp; Liu, F. </w:t>
      </w:r>
      <w:r>
        <w:t>"Video Frame Interpolation via Adaptive Separable Convolution." IEEE International Conference on Computer Vision (ICCV) — referenced for GPU-accelerated intermediate frame generation principles.</w:t>
      </w:r>
    </w:p>
    <w:p>
      <w:pPr>
        <w:pStyle w:val="Heading2"/>
      </w:pPr>
      <w:r>
        <w:t>6. Expected Results</w:t>
      </w:r>
    </w:p>
    <w:p>
      <w:r>
        <w:t>By utilizing OpenMP multi-threading, similarity matrix computation time is expected to decrease by approximately 75% compared to single-threaded baseline execution. Using CUDA streaming on an NVIDIA RTX 4050 (4GB VRAM), the system will successfully synthesize over 10,000 intermediate transition frames, maintaining a continuous generation rate exceeding 60 FPS and producing a seamless, high-framerate output video.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