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AND METHOD FOR DYNAMIC MULTI-TIER POST-QUANTUM CRYPTOGRAPHIC RISK PROPAGATION AND ECOSYSTEM-AWARE MIGRATION PRIORITIZATION IN DIGITAL BANKING NETWORKS</w:t>
      </w:r>
    </w:p>
    <w:p>
      <w:pPr>
        <w:jc w:val="center"/>
      </w:pPr>
      <w:r>
        <w:rPr>
          <w:b/>
          <w:sz w:val="24"/>
        </w:rPr>
        <w:t>Technical Invention Disclosure and Draft Claim Set</w:t>
      </w:r>
    </w:p>
    <w:tbl>
      <w:tblPr>
        <w:tblStyle w:val="TableGrid"/>
        <w:tblW w:type="auto" w:w="0"/>
        <w:jc w:val="center"/>
        <w:tblLook w:firstColumn="1" w:firstRow="1" w:lastColumn="0" w:lastRow="0" w:noHBand="0" w:noVBand="1" w:val="04A0"/>
      </w:tblPr>
      <w:tblGrid>
        <w:gridCol w:w="4968"/>
        <w:gridCol w:w="4968"/>
      </w:tblGrid>
      <w:tr>
        <w:tc>
          <w:tcPr>
            <w:tcW w:type="dxa" w:w="4968"/>
          </w:tcPr>
          <w:p>
            <w:r>
              <w:t>Inventor(s)</w:t>
            </w:r>
          </w:p>
        </w:tc>
        <w:tc>
          <w:tcPr>
            <w:tcW w:type="dxa" w:w="4968"/>
          </w:tcPr>
          <w:p>
            <w:r>
              <w:t>[Enter inventor name(s) exactly as required for filing]</w:t>
            </w:r>
          </w:p>
        </w:tc>
      </w:tr>
      <w:tr>
        <w:tc>
          <w:tcPr>
            <w:tcW w:type="dxa" w:w="4968"/>
          </w:tcPr>
          <w:p>
            <w:r>
              <w:t>Applicant/Assignee</w:t>
            </w:r>
          </w:p>
        </w:tc>
        <w:tc>
          <w:tcPr>
            <w:tcW w:type="dxa" w:w="4968"/>
          </w:tcPr>
          <w:p>
            <w:r>
              <w:t>[Enter institution / applicant if applicable]</w:t>
            </w:r>
          </w:p>
        </w:tc>
      </w:tr>
      <w:tr>
        <w:tc>
          <w:tcPr>
            <w:tcW w:type="dxa" w:w="4968"/>
          </w:tcPr>
          <w:p>
            <w:r>
              <w:t>Project</w:t>
            </w:r>
          </w:p>
        </w:tc>
        <w:tc>
          <w:tcPr>
            <w:tcW w:type="dxa" w:w="4968"/>
          </w:tcPr>
          <w:p>
            <w:r>
              <w:t>PQC Banking Risk Framework</w:t>
            </w:r>
          </w:p>
        </w:tc>
      </w:tr>
      <w:tr>
        <w:tc>
          <w:tcPr>
            <w:tcW w:type="dxa" w:w="4968"/>
          </w:tcPr>
          <w:p>
            <w:r>
              <w:t>Document status</w:t>
            </w:r>
          </w:p>
        </w:tc>
        <w:tc>
          <w:tcPr>
            <w:tcW w:type="dxa" w:w="4968"/>
          </w:tcPr>
          <w:p>
            <w:r>
              <w:t>Research-prototype disclosure for patent-agent review</w:t>
            </w:r>
          </w:p>
        </w:tc>
      </w:tr>
    </w:tbl>
    <w:p>
      <w:r>
        <w:rPr>
          <w:b/>
        </w:rPr>
        <w:t xml:space="preserve">Important: </w:t>
      </w:r>
      <w:r>
        <w:t>This document is a technical drafting aid. Patentability is not guaranteed. A qualified patent professional should perform a jurisdiction-specific novelty/inventive-step review and adapt the claims before filing. Filing should be coordinated before public disclosure of the invention.</w:t>
      </w:r>
    </w:p>
    <w:p>
      <w:pPr>
        <w:pStyle w:val="Heading1"/>
      </w:pPr>
      <w:r>
        <w:t>1. Abstract</w:t>
      </w:r>
    </w:p>
    <w:p>
      <w:r>
        <w:t>A computer-implemented framework is disclosed for prioritizing migration of quantum-vulnerable cryptographic assets in a digital banking ecosystem. The framework constructs a directed multi-tier dependency graph that distinguishes banking services, internal cryptographic assets, direct third-party provider assets, and sub-tier provider assets. Contextual asset quantum-risk scores are propagated through selected dependency paths using edge dependency strengths to estimate inherited service risk. Service risks are aggregated into an ecosystem-wide quantum-risk state using banking-service criticalities. For each candidate remediation, the framework creates a counterfactual quantum-safe state, recomputes the ecosystem risk, and determines a marginal ecosystem-risk reduction. Candidate actions are prioritized using the marginal risk reduction and migration cost. After a remediation is selected, the ecosystem state is updated and all remaining candidates are re-evaluated, producing a dynamic migration sequence. The framework also outputs path-based explanations identifying affected banking services and dependency chains associated with each recommendation.</w:t>
      </w:r>
    </w:p>
    <w:p>
      <w:pPr>
        <w:pStyle w:val="Heading1"/>
      </w:pPr>
      <w:r>
        <w:t>2. Technical Field</w:t>
      </w:r>
    </w:p>
    <w:p>
      <w:r>
        <w:t>The disclosure relates to computer security, cryptographic lifecycle management, post-quantum cryptography migration, dependency-graph risk analysis, and cyber-resilience planning for financial and banking information systems.</w:t>
      </w:r>
    </w:p>
    <w:p>
      <w:pPr>
        <w:pStyle w:val="Heading1"/>
      </w:pPr>
      <w:r>
        <w:t>3. Background and Technical Problem</w:t>
      </w:r>
    </w:p>
    <w:p>
      <w:r>
        <w:t>Digital banking services depend on cryptography embedded not only in internal applications and infrastructure but also in cloud platforms, payment providers, identity services, certificate authorities, hardware security services, and sub-tier vendors. A local asset-by-asset risk ranking can miss inherited quantum risk that reaches a critical banking service through external dependency chains. Conversely, simply ranking the most quantum-vulnerable or business-critical asset does not necessarily identify the remediation that yields the greatest reduction in the risk state of the overall banking ecosystem.</w:t>
      </w:r>
    </w:p>
    <w:p>
      <w:r>
        <w:t>The technical problem addressed by the disclosed framework is therefore to determine, under finite migration resources, which cryptographic remediation should be performed next when risk is distributed across internal, third-party and sub-tier dependency paths and when each remediation changes the value of subsequent remediation choices.</w:t>
      </w:r>
    </w:p>
    <w:p>
      <w:pPr>
        <w:pStyle w:val="Heading1"/>
      </w:pPr>
      <w:r>
        <w:t>4. Summary of the Invention</w:t>
      </w:r>
    </w:p>
    <w:p>
      <w:r>
        <w:t>In one embodiment, the framework performs the following computer-implemented operations:</w:t>
      </w:r>
    </w:p>
    <w:p>
      <w:pPr>
        <w:pStyle w:val="ListBullet"/>
      </w:pPr>
      <w:r>
        <w:t>ingesting a cryptographic inventory, banking-service metadata and dependency records;</w:t>
      </w:r>
    </w:p>
    <w:p>
      <w:pPr>
        <w:pStyle w:val="ListBullet"/>
      </w:pPr>
      <w:r>
        <w:t>constructing a directed multi-tier dependency graph with service, internal, third-party and sub-tier node roles;</w:t>
      </w:r>
    </w:p>
    <w:p>
      <w:pPr>
        <w:pStyle w:val="ListBullet"/>
      </w:pPr>
      <w:r>
        <w:t>computing a contextual quantum-risk score for each cryptographic/system asset;</w:t>
      </w:r>
    </w:p>
    <w:p>
      <w:pPr>
        <w:pStyle w:val="ListBullet"/>
      </w:pPr>
      <w:r>
        <w:t>selecting a strongest dependency path from a banking service to each reachable asset and deriving a dependency weight from the path;</w:t>
      </w:r>
    </w:p>
    <w:p>
      <w:pPr>
        <w:pStyle w:val="ListBullet"/>
      </w:pPr>
      <w:r>
        <w:t>propagating risk from quantum-vulnerable assets into banking services to estimate inherited quantum risk;</w:t>
      </w:r>
    </w:p>
    <w:p>
      <w:pPr>
        <w:pStyle w:val="ListBullet"/>
      </w:pPr>
      <w:r>
        <w:t>combining local and inherited service risk and aggregating a service-criticality-weighted ecosystem risk;</w:t>
      </w:r>
    </w:p>
    <w:p>
      <w:pPr>
        <w:pStyle w:val="ListBullet"/>
      </w:pPr>
      <w:r>
        <w:t>simulating each candidate remediation as a counterfactual quantum-safe state;</w:t>
      </w:r>
    </w:p>
    <w:p>
      <w:pPr>
        <w:pStyle w:val="ListBullet"/>
      </w:pPr>
      <w:r>
        <w:t>recomputing the ecosystem risk for each candidate to obtain a marginal ecosystem-risk reduction;</w:t>
      </w:r>
    </w:p>
    <w:p>
      <w:pPr>
        <w:pStyle w:val="ListBullet"/>
      </w:pPr>
      <w:r>
        <w:t>normalizing the marginal reduction by migration cost or complexity;</w:t>
      </w:r>
    </w:p>
    <w:p>
      <w:pPr>
        <w:pStyle w:val="ListBullet"/>
      </w:pPr>
      <w:r>
        <w:t>selecting a remediation, updating the ecosystem state, and dynamically recomputing priorities for remaining candidates; and</w:t>
      </w:r>
    </w:p>
    <w:p>
      <w:pPr>
        <w:pStyle w:val="ListBullet"/>
      </w:pPr>
      <w:r>
        <w:t>generating an explainable migration roadmap with affected-service and dependency-path provenance.</w:t>
      </w:r>
    </w:p>
    <w:p>
      <w:pPr>
        <w:pStyle w:val="Heading1"/>
        <w:keepNext/>
      </w:pPr>
      <w:r>
        <w:t>5. System Architecture</w:t>
      </w:r>
    </w:p>
    <w:p>
      <w:pPr>
        <w:keepNext/>
        <w:jc w:val="center"/>
      </w:pPr>
      <w:r>
        <w:drawing>
          <wp:inline xmlns:a="http://schemas.openxmlformats.org/drawingml/2006/main" xmlns:pic="http://schemas.openxmlformats.org/drawingml/2006/picture">
            <wp:extent cx="2760461" cy="704088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760461" cy="7040880"/>
                    </a:xfrm>
                    <a:prstGeom prst="rect"/>
                  </pic:spPr>
                </pic:pic>
              </a:graphicData>
            </a:graphic>
          </wp:inline>
        </w:drawing>
      </w:r>
    </w:p>
    <w:p>
      <w:pPr>
        <w:jc w:val="center"/>
      </w:pPr>
      <w:r>
        <w:rPr>
          <w:i/>
          <w:sz w:val="18"/>
        </w:rPr>
        <w:t>Figure 1. Reference implementation pipeline for the multi-tier PQC banking risk framework.</w:t>
      </w:r>
    </w:p>
    <w:p>
      <w:r>
        <w:t>The graph direction in the reference implementation is from a banking service toward assets and external dependencies used by that service. Risk conceptually originates at a vulnerable endpoint asset and affects the upstream service. The path computation therefore enumerates service-to-asset dependency paths while the propagated risk represents impact flowing back to the service through the same dependency chain.</w:t>
      </w:r>
    </w:p>
    <w:p>
      <w:pPr>
        <w:pStyle w:val="Heading1"/>
      </w:pPr>
      <w:r>
        <w:t>6. Data Model</w:t>
      </w:r>
    </w:p>
    <w:p>
      <w:pPr>
        <w:pStyle w:val="Heading2"/>
      </w:pPr>
      <w:r>
        <w:t>6.1 Asset records</w:t>
      </w:r>
    </w:p>
    <w:p>
      <w:r>
        <w:t>A cryptographic/system asset record may include:</w:t>
      </w:r>
    </w:p>
    <w:p>
      <w:pPr>
        <w:pStyle w:val="ListBullet"/>
      </w:pPr>
      <w:r>
        <w:t>asset identifier and name</w:t>
      </w:r>
    </w:p>
    <w:p>
      <w:pPr>
        <w:pStyle w:val="ListBullet"/>
      </w:pPr>
      <w:r>
        <w:t>tier (Internal, Third-Party, or Sub-Tier)</w:t>
      </w:r>
    </w:p>
    <w:p>
      <w:pPr>
        <w:pStyle w:val="ListBullet"/>
      </w:pPr>
      <w:r>
        <w:t>associated banking service</w:t>
      </w:r>
    </w:p>
    <w:p>
      <w:pPr>
        <w:pStyle w:val="ListBullet"/>
      </w:pPr>
      <w:r>
        <w:t>cryptographic algorithm and key size</w:t>
      </w:r>
    </w:p>
    <w:p>
      <w:pPr>
        <w:pStyle w:val="ListBullet"/>
      </w:pPr>
      <w:r>
        <w:t>cryptographic function</w:t>
      </w:r>
    </w:p>
    <w:p>
      <w:pPr>
        <w:pStyle w:val="ListBullet"/>
      </w:pPr>
      <w:r>
        <w:t>data sensitivity</w:t>
      </w:r>
    </w:p>
    <w:p>
      <w:pPr>
        <w:pStyle w:val="ListBullet"/>
      </w:pPr>
      <w:r>
        <w:t>data lifetime</w:t>
      </w:r>
    </w:p>
    <w:p>
      <w:pPr>
        <w:pStyle w:val="ListBullet"/>
      </w:pPr>
      <w:r>
        <w:t>business criticality</w:t>
      </w:r>
    </w:p>
    <w:p>
      <w:pPr>
        <w:pStyle w:val="ListBullet"/>
      </w:pPr>
      <w:r>
        <w:t>external exposure</w:t>
      </w:r>
    </w:p>
    <w:p>
      <w:pPr>
        <w:pStyle w:val="ListBullet"/>
      </w:pPr>
      <w:r>
        <w:t>HNDL exposure</w:t>
      </w:r>
    </w:p>
    <w:p>
      <w:pPr>
        <w:pStyle w:val="ListBullet"/>
      </w:pPr>
      <w:r>
        <w:t>migration complexity</w:t>
      </w:r>
    </w:p>
    <w:p>
      <w:pPr>
        <w:pStyle w:val="ListBullet"/>
      </w:pPr>
      <w:r>
        <w:t>quantum vulnerability</w:t>
      </w:r>
    </w:p>
    <w:p>
      <w:pPr>
        <w:pStyle w:val="ListBullet"/>
      </w:pPr>
      <w:r>
        <w:t>provider identity</w:t>
      </w:r>
    </w:p>
    <w:p>
      <w:pPr>
        <w:pStyle w:val="Heading2"/>
      </w:pPr>
      <w:r>
        <w:t>6.2 Service records</w:t>
      </w:r>
    </w:p>
    <w:p>
      <w:r>
        <w:t>A banking service record may include a service identifier, service name, business criticality, data sensitivity, and optional transaction/service classification.</w:t>
      </w:r>
    </w:p>
    <w:p>
      <w:pPr>
        <w:pStyle w:val="Heading2"/>
      </w:pPr>
      <w:r>
        <w:t>6.3 Dependency records</w:t>
      </w:r>
    </w:p>
    <w:p>
      <w:r>
        <w:t>A dependency record may include a source node, target node, dependency strength, dependency type, and flags describing cryptographic, data, or critical-service dependency.</w:t>
      </w:r>
    </w:p>
    <w:p>
      <w:pPr>
        <w:pStyle w:val="Heading1"/>
      </w:pPr>
      <w:r>
        <w:t>7. Risk Computation</w:t>
      </w:r>
    </w:p>
    <w:p>
      <w:pPr>
        <w:pStyle w:val="Heading2"/>
      </w:pPr>
      <w:r>
        <w:t>7.1 Contextual direct asset risk</w:t>
      </w:r>
    </w:p>
    <w:p>
      <w:r>
        <w:t>The reference prototype uses a transparent weighted contextual score rather than a trained model. Let V be quantum vulnerability, S data sensitivity, L data lifetime, C business criticality, and E external exposure.</w:t>
      </w:r>
    </w:p>
    <w:p>
      <w:pPr>
        <w:jc w:val="center"/>
      </w:pPr>
      <w:r>
        <w:rPr>
          <w:rFonts w:ascii="Cambria Math" w:hAnsi="Cambria Math"/>
          <w:b/>
          <w:sz w:val="22"/>
        </w:rPr>
        <w:t>DR_i = w_V V_i + w_S S_i + w_L L_i + w_C C_i + w_E E_i</w:t>
      </w:r>
    </w:p>
    <w:p>
      <w:r>
        <w:t>The reference experiments use equal weights (0.20 each) and separately evaluate weight sensitivity. The score is a prioritization construct, not a calibrated probability of breach.</w:t>
      </w:r>
    </w:p>
    <w:p>
      <w:pPr>
        <w:pStyle w:val="Heading2"/>
      </w:pPr>
      <w:r>
        <w:t>7.2 Dependency path weight and propagated path risk</w:t>
      </w:r>
    </w:p>
    <w:p>
      <w:r>
        <w:t>For a path p from banking service s to reachable cryptographic asset i, the path dependency weight is the product of edge strengths:</w:t>
      </w:r>
    </w:p>
    <w:p>
      <w:pPr>
        <w:jc w:val="center"/>
      </w:pPr>
      <w:r>
        <w:rPr>
          <w:rFonts w:ascii="Cambria Math" w:hAnsi="Cambria Math"/>
          <w:b/>
          <w:sz w:val="22"/>
        </w:rPr>
        <w:t>W_p = product of w_e for all dependency edges e in path p</w:t>
      </w:r>
    </w:p>
    <w:p>
      <w:r>
        <w:t>The propagated contribution associated with the asset is:</w:t>
      </w:r>
    </w:p>
    <w:p>
      <w:pPr>
        <w:jc w:val="center"/>
      </w:pPr>
      <w:r>
        <w:rPr>
          <w:rFonts w:ascii="Cambria Math" w:hAnsi="Cambria Math"/>
          <w:b/>
          <w:sz w:val="22"/>
        </w:rPr>
        <w:t>PR_p = DR_i x W_p</w:t>
      </w:r>
    </w:p>
    <w:p>
      <w:r>
        <w:t>Where multiple paths connect the same service and asset, the reference embodiment selects the strongest path, reducing duplicate counting while preserving the most significant dependency route.</w:t>
      </w:r>
    </w:p>
    <w:p>
      <w:pPr>
        <w:pStyle w:val="Heading2"/>
      </w:pPr>
      <w:r>
        <w:t>7.3 Inherited service risk</w:t>
      </w:r>
    </w:p>
    <w:p>
      <w:r>
        <w:t>For each service, vulnerable reachable assets contribute through their strongest path. The reference implementation uses a dependency-weighted normalized aggregation. Quantum-safe or remediated assets contribute zero to the quantum-risk numerator while remaining part of the reachable dependency portfolio.</w:t>
      </w:r>
    </w:p>
    <w:p>
      <w:pPr>
        <w:pStyle w:val="Heading2"/>
      </w:pPr>
      <w:r>
        <w:t>7.4 Local service quantum risk</w:t>
      </w:r>
    </w:p>
    <w:p>
      <w:r>
        <w:t>The reference implementation calculates local service quantum risk from internal assets. Assets at or below the configured quantum-vulnerability threshold contribute zero to local quantum risk, preventing a remediated or quantum-safe asset from retaining residual quantum risk solely because it protects highly sensitive or critical data.</w:t>
      </w:r>
    </w:p>
    <w:p>
      <w:pPr>
        <w:pStyle w:val="Heading2"/>
      </w:pPr>
      <w:r>
        <w:t>7.5 Total service and ecosystem risk</w:t>
      </w:r>
    </w:p>
    <w:p>
      <w:pPr>
        <w:jc w:val="center"/>
      </w:pPr>
      <w:r>
        <w:rPr>
          <w:rFonts w:ascii="Cambria Math" w:hAnsi="Cambria Math"/>
          <w:b/>
          <w:sz w:val="22"/>
        </w:rPr>
        <w:t>TR_s = 1 - (1 - DR_s)(1 - IR_s)</w:t>
      </w:r>
    </w:p>
    <w:p>
      <w:r>
        <w:t>where DR_s is local service quantum risk and IR_s is inherited quantum risk.</w:t>
      </w:r>
    </w:p>
    <w:p>
      <w:pPr>
        <w:jc w:val="center"/>
      </w:pPr>
      <w:r>
        <w:rPr>
          <w:rFonts w:ascii="Cambria Math" w:hAnsi="Cambria Math"/>
          <w:b/>
          <w:sz w:val="22"/>
        </w:rPr>
        <w:t>ER = Sum(C_s x TR_s) / Sum(C_s)</w:t>
      </w:r>
    </w:p>
    <w:p>
      <w:r>
        <w:t>where C_s is business criticality of banking service s.</w:t>
      </w:r>
    </w:p>
    <w:p>
      <w:pPr>
        <w:pStyle w:val="Heading1"/>
      </w:pPr>
      <w:r>
        <w:t>8. Counterfactual Remediation and Dynamic Prioritization</w:t>
      </w:r>
    </w:p>
    <w:p>
      <w:r>
        <w:t>For each vulnerable candidate asset i, the framework:</w:t>
      </w:r>
    </w:p>
    <w:p>
      <w:pPr>
        <w:pStyle w:val="ListNumber"/>
      </w:pPr>
      <w:r>
        <w:t>records the current ecosystem risk ER_before;</w:t>
      </w:r>
    </w:p>
    <w:p>
      <w:pPr>
        <w:pStyle w:val="ListNumber"/>
      </w:pPr>
      <w:r>
        <w:t>creates a candidate-specific counterfactual state in which the asset is treated as quantum-safe or remediated;</w:t>
      </w:r>
    </w:p>
    <w:p>
      <w:pPr>
        <w:pStyle w:val="ListNumber"/>
      </w:pPr>
      <w:r>
        <w:t>recalculates path propagation, inherited service risk, total service risk and ER_after,i;</w:t>
      </w:r>
    </w:p>
    <w:p>
      <w:pPr>
        <w:pStyle w:val="ListNumber"/>
      </w:pPr>
      <w:r>
        <w:t>calculates the marginal ecosystem-risk reduction Delta ER_i = ER_before - ER_after,i;</w:t>
      </w:r>
    </w:p>
    <w:p>
      <w:pPr>
        <w:pStyle w:val="ListNumber"/>
      </w:pPr>
      <w:r>
        <w:t>maps migration complexity to a migration cost M_i; and</w:t>
      </w:r>
    </w:p>
    <w:p>
      <w:pPr>
        <w:pStyle w:val="ListNumber"/>
      </w:pPr>
      <w:r>
        <w:t>computes a priority score Delta ER_i / M_i.</w:t>
      </w:r>
    </w:p>
    <w:p>
      <w:pPr>
        <w:jc w:val="center"/>
      </w:pPr>
      <w:r>
        <w:rPr>
          <w:rFonts w:ascii="Cambria Math" w:hAnsi="Cambria Math"/>
          <w:b/>
          <w:sz w:val="22"/>
        </w:rPr>
        <w:t>Priority_i = Delta ER_i / MigrationCost_i</w:t>
      </w:r>
    </w:p>
    <w:p>
      <w:r>
        <w:t>After the selected candidate is remediated, the framework does not continue using the original list. It re-evaluates all remaining candidates against the modified graph-risk state. This dynamic counterfactual loop captures interaction between migration decisions and is a central element of the disclosed implementation.</w:t>
      </w:r>
    </w:p>
    <w:p>
      <w:pPr>
        <w:pStyle w:val="Heading1"/>
      </w:pPr>
      <w:r>
        <w:t>9. Explainability Layer</w:t>
      </w:r>
    </w:p>
    <w:p>
      <w:r>
        <w:t>For a recommended migration, the reference implementation can output:</w:t>
      </w:r>
    </w:p>
    <w:p>
      <w:pPr>
        <w:pStyle w:val="ListBullet"/>
      </w:pPr>
      <w:r>
        <w:t>candidate asset, tier and current cryptographic algorithm</w:t>
      </w:r>
    </w:p>
    <w:p>
      <w:pPr>
        <w:pStyle w:val="ListBullet"/>
      </w:pPr>
      <w:r>
        <w:t>marginal ecosystem-risk reduction</w:t>
      </w:r>
    </w:p>
    <w:p>
      <w:pPr>
        <w:pStyle w:val="ListBullet"/>
      </w:pPr>
      <w:r>
        <w:t>migration cost and priority score</w:t>
      </w:r>
    </w:p>
    <w:p>
      <w:pPr>
        <w:pStyle w:val="ListBullet"/>
      </w:pPr>
      <w:r>
        <w:t>number and names of affected banking services</w:t>
      </w:r>
    </w:p>
    <w:p>
      <w:pPr>
        <w:pStyle w:val="ListBullet"/>
      </w:pPr>
      <w:r>
        <w:t>strongest propagated path risk</w:t>
      </w:r>
    </w:p>
    <w:p>
      <w:pPr>
        <w:pStyle w:val="ListBullet"/>
      </w:pPr>
      <w:r>
        <w:t>maximum dependency depth</w:t>
      </w:r>
    </w:p>
    <w:p>
      <w:pPr>
        <w:pStyle w:val="ListBullet"/>
      </w:pPr>
      <w:r>
        <w:t>strongest named dependency path</w:t>
      </w:r>
    </w:p>
    <w:p>
      <w:r>
        <w:t>This path provenance enables a reviewer to determine why a third-party or sub-tier remediation appears in the migration sequence even when the asset is outside the bank's direct administrative boundary.</w:t>
      </w:r>
    </w:p>
    <w:p>
      <w:pPr>
        <w:pStyle w:val="Heading1"/>
      </w:pPr>
      <w:r>
        <w:t>10. Experimental Embodiments</w:t>
      </w:r>
    </w:p>
    <w:p>
      <w:pPr>
        <w:pStyle w:val="Heading2"/>
      </w:pPr>
      <w:r>
        <w:t>10.1 Reference V1 synthetic ecosystem</w:t>
      </w:r>
    </w:p>
    <w:p>
      <w:r>
        <w:t>The reference experiment contains 10 banking services and 50 cryptographic/system assets: 25 Internal, 15 Third-Party and 10 Sub-Tier. The input contains 77 dependency records; six duplicate endpoint pairs are resolved by retaining the strongest dependency strength, resulting in 71 directed graph edges.</w:t>
      </w:r>
    </w:p>
    <w:p>
      <w:pPr>
        <w:pStyle w:val="Heading2"/>
      </w:pPr>
      <w:r>
        <w:t>10.2 Equal-budget comparison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Strategy</w:t>
            </w:r>
          </w:p>
        </w:tc>
        <w:tc>
          <w:tcPr>
            <w:tcW w:type="dxa" w:w="1987"/>
          </w:tcPr>
          <w:p>
            <w:r>
              <w:t>Budget used</w:t>
            </w:r>
          </w:p>
        </w:tc>
        <w:tc>
          <w:tcPr>
            <w:tcW w:type="dxa" w:w="1987"/>
          </w:tcPr>
          <w:p>
            <w:r>
              <w:t>Final ER</w:t>
            </w:r>
          </w:p>
        </w:tc>
        <w:tc>
          <w:tcPr>
            <w:tcW w:type="dxa" w:w="1987"/>
          </w:tcPr>
          <w:p>
            <w:r>
              <w:t>Risk reduction</w:t>
            </w:r>
          </w:p>
        </w:tc>
        <w:tc>
          <w:tcPr>
            <w:tcW w:type="dxa" w:w="1987"/>
          </w:tcPr>
          <w:p>
            <w:r>
              <w:t>Reduction %</w:t>
            </w:r>
          </w:p>
        </w:tc>
      </w:tr>
      <w:tr>
        <w:tc>
          <w:tcPr>
            <w:tcW w:type="dxa" w:w="1987"/>
          </w:tcPr>
          <w:p>
            <w:r>
              <w:t>Proposed Dynamic DeltaER/Cost</w:t>
            </w:r>
          </w:p>
        </w:tc>
        <w:tc>
          <w:tcPr>
            <w:tcW w:type="dxa" w:w="1987"/>
          </w:tcPr>
          <w:p>
            <w:r>
              <w:t>7.45</w:t>
            </w:r>
          </w:p>
        </w:tc>
        <w:tc>
          <w:tcPr>
            <w:tcW w:type="dxa" w:w="1987"/>
          </w:tcPr>
          <w:p>
            <w:r>
              <w:t>0.439112</w:t>
            </w:r>
          </w:p>
        </w:tc>
        <w:tc>
          <w:tcPr>
            <w:tcW w:type="dxa" w:w="1987"/>
          </w:tcPr>
          <w:p>
            <w:r>
              <w:t>0.339614</w:t>
            </w:r>
          </w:p>
        </w:tc>
        <w:tc>
          <w:tcPr>
            <w:tcW w:type="dxa" w:w="1987"/>
          </w:tcPr>
          <w:p>
            <w:r>
              <w:t>43.61%</w:t>
            </w:r>
          </w:p>
        </w:tc>
      </w:tr>
      <w:tr>
        <w:tc>
          <w:tcPr>
            <w:tcW w:type="dxa" w:w="1987"/>
          </w:tcPr>
          <w:p>
            <w:r>
              <w:t>Business Criticality First</w:t>
            </w:r>
          </w:p>
        </w:tc>
        <w:tc>
          <w:tcPr>
            <w:tcW w:type="dxa" w:w="1987"/>
          </w:tcPr>
          <w:p>
            <w:r>
              <w:t>7.20</w:t>
            </w:r>
          </w:p>
        </w:tc>
        <w:tc>
          <w:tcPr>
            <w:tcW w:type="dxa" w:w="1987"/>
          </w:tcPr>
          <w:p>
            <w:r>
              <w:t>0.584322</w:t>
            </w:r>
          </w:p>
        </w:tc>
        <w:tc>
          <w:tcPr>
            <w:tcW w:type="dxa" w:w="1987"/>
          </w:tcPr>
          <w:p>
            <w:r>
              <w:t>0.194405</w:t>
            </w:r>
          </w:p>
        </w:tc>
        <w:tc>
          <w:tcPr>
            <w:tcW w:type="dxa" w:w="1987"/>
          </w:tcPr>
          <w:p>
            <w:r>
              <w:t>24.96%</w:t>
            </w:r>
          </w:p>
        </w:tc>
      </w:tr>
      <w:tr>
        <w:tc>
          <w:tcPr>
            <w:tcW w:type="dxa" w:w="1987"/>
          </w:tcPr>
          <w:p>
            <w:r>
              <w:t>Direct Risk First</w:t>
            </w:r>
          </w:p>
        </w:tc>
        <w:tc>
          <w:tcPr>
            <w:tcW w:type="dxa" w:w="1987"/>
          </w:tcPr>
          <w:p>
            <w:r>
              <w:t>7.15</w:t>
            </w:r>
          </w:p>
        </w:tc>
        <w:tc>
          <w:tcPr>
            <w:tcW w:type="dxa" w:w="1987"/>
          </w:tcPr>
          <w:p>
            <w:r>
              <w:t>0.593505</w:t>
            </w:r>
          </w:p>
        </w:tc>
        <w:tc>
          <w:tcPr>
            <w:tcW w:type="dxa" w:w="1987"/>
          </w:tcPr>
          <w:p>
            <w:r>
              <w:t>0.185221</w:t>
            </w:r>
          </w:p>
        </w:tc>
        <w:tc>
          <w:tcPr>
            <w:tcW w:type="dxa" w:w="1987"/>
          </w:tcPr>
          <w:p>
            <w:r>
              <w:t>23.79%</w:t>
            </w:r>
          </w:p>
        </w:tc>
      </w:tr>
      <w:tr>
        <w:tc>
          <w:tcPr>
            <w:tcW w:type="dxa" w:w="1987"/>
          </w:tcPr>
          <w:p>
            <w:r>
              <w:t>HNDL Risk First</w:t>
            </w:r>
          </w:p>
        </w:tc>
        <w:tc>
          <w:tcPr>
            <w:tcW w:type="dxa" w:w="1987"/>
          </w:tcPr>
          <w:p>
            <w:r>
              <w:t>7.40</w:t>
            </w:r>
          </w:p>
        </w:tc>
        <w:tc>
          <w:tcPr>
            <w:tcW w:type="dxa" w:w="1987"/>
          </w:tcPr>
          <w:p>
            <w:r>
              <w:t>0.603723</w:t>
            </w:r>
          </w:p>
        </w:tc>
        <w:tc>
          <w:tcPr>
            <w:tcW w:type="dxa" w:w="1987"/>
          </w:tcPr>
          <w:p>
            <w:r>
              <w:t>0.175003</w:t>
            </w:r>
          </w:p>
        </w:tc>
        <w:tc>
          <w:tcPr>
            <w:tcW w:type="dxa" w:w="1987"/>
          </w:tcPr>
          <w:p>
            <w:r>
              <w:t>22.47%</w:t>
            </w:r>
          </w:p>
        </w:tc>
      </w:tr>
    </w:tbl>
    <w:p>
      <w:r>
        <w:t>The initial ER was 0.778727. Under a normalized migration budget of 7.5, the dynamic counterfactual method reduced ER by 43.61% in the synthetic V1 scenario, compared with 24.96% for the strongest of the three simple baselines. These values are experimental prototype results and are not production performance guarantees.</w:t>
      </w:r>
    </w:p>
    <w:p>
      <w:pPr>
        <w:pStyle w:val="Heading2"/>
      </w:pPr>
      <w:r>
        <w:t>10.3 Sensitivity</w:t>
      </w:r>
    </w:p>
    <w:p>
      <w:r>
        <w:t>Across five tested direct-risk weight scenarios, the same top one-step priority (A022 - Fraud Detection API) was selected. Baseline ER varied from 0.774293 to 0.781640.</w:t>
      </w:r>
    </w:p>
    <w:p>
      <w:pPr>
        <w:pStyle w:val="Heading2"/>
      </w:pPr>
      <w:r>
        <w:t>10.4 Topology ablation</w:t>
      </w:r>
    </w:p>
    <w:p>
      <w:r>
        <w:t>The full multi-tier model produced ER 0.778727; removing Sub-Tier assets produced ER 0.770724; using only Internal assets produced ER 0.753983. The experiment illustrates risk hidden when external dependency tiers are omitted.</w:t>
      </w:r>
    </w:p>
    <w:p>
      <w:pPr>
        <w:pStyle w:val="Heading2"/>
      </w:pPr>
      <w:r>
        <w:t>10.5 Prioritization ablation</w:t>
      </w:r>
    </w:p>
    <w:p>
      <w:r>
        <w:t>Under equal budget, full dynamic DeltaER/Cost reduced risk by 43.61%, a frozen initial DeltaER/Cost ordering reduced risk by 41.94%, and dynamic DeltaER without cost normalization reduced risk by 40.41%.</w:t>
      </w:r>
    </w:p>
    <w:p>
      <w:pPr>
        <w:pStyle w:val="Heading2"/>
      </w:pPr>
      <w:r>
        <w:t>10.6 Larger synthetic ecosystem</w:t>
      </w:r>
    </w:p>
    <w:p>
      <w:r>
        <w:t>A larger synthetic dataset contains 20 banking services, 250 assets and 720 unique dependency edges. A complete baseline evaluation produced ER 0.850527, and an all-candidate one-step ranking over 216 vulnerable assets completed in approximately 10.6 seconds in the supplied execution environment. This is an implementation benchmark, not a formal complexity bound.</w:t>
      </w:r>
    </w:p>
    <w:p>
      <w:pPr>
        <w:pStyle w:val="Heading1"/>
      </w:pPr>
      <w:r>
        <w:t>11. Technical Effects and Advantages</w:t>
      </w:r>
    </w:p>
    <w:p>
      <w:pPr>
        <w:pStyle w:val="ListBullet"/>
      </w:pPr>
      <w:r>
        <w:t>detects inherited PQC exposure that is not represented by an internal-only cryptographic inventory;</w:t>
      </w:r>
    </w:p>
    <w:p>
      <w:pPr>
        <w:pStyle w:val="ListBullet"/>
      </w:pPr>
      <w:r>
        <w:t>prioritizes by marginal reduction of ecosystem risk rather than only local asset risk;</w:t>
      </w:r>
    </w:p>
    <w:p>
      <w:pPr>
        <w:pStyle w:val="ListBullet"/>
      </w:pPr>
      <w:r>
        <w:t>adapts the migration sequence after every remediation;</w:t>
      </w:r>
    </w:p>
    <w:p>
      <w:pPr>
        <w:pStyle w:val="ListBullet"/>
      </w:pPr>
      <w:r>
        <w:t>supports finite migration budgets through cost-normalized ranking;</w:t>
      </w:r>
    </w:p>
    <w:p>
      <w:pPr>
        <w:pStyle w:val="ListBullet"/>
      </w:pPr>
      <w:r>
        <w:t>provides path provenance for third-party and sub-tier recommendations;</w:t>
      </w:r>
    </w:p>
    <w:p>
      <w:pPr>
        <w:pStyle w:val="ListBullet"/>
      </w:pPr>
      <w:r>
        <w:t>supports deterministic, auditable operation without requiring labeled training data; and</w:t>
      </w:r>
    </w:p>
    <w:p>
      <w:pPr>
        <w:pStyle w:val="ListBullet"/>
      </w:pPr>
      <w:r>
        <w:t>can be evaluated on synthetic ecosystems when production bank topology cannot be disclosed.</w:t>
      </w:r>
    </w:p>
    <w:p>
      <w:pPr>
        <w:pStyle w:val="Heading1"/>
      </w:pPr>
      <w:r>
        <w:t>12. Distinction from Close Prior Art (Drafting Guidance)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Reference</w:t>
            </w:r>
          </w:p>
        </w:tc>
        <w:tc>
          <w:tcPr>
            <w:tcW w:type="dxa" w:w="3312"/>
          </w:tcPr>
          <w:p>
            <w:r>
              <w:t>Relevant overlap</w:t>
            </w:r>
          </w:p>
        </w:tc>
        <w:tc>
          <w:tcPr>
            <w:tcW w:type="dxa" w:w="3312"/>
          </w:tcPr>
          <w:p>
            <w:r>
              <w:t>Claim focus for distinction</w:t>
            </w:r>
          </w:p>
        </w:tc>
      </w:tr>
      <w:tr>
        <w:tc>
          <w:tcPr>
            <w:tcW w:type="dxa" w:w="3312"/>
          </w:tcPr>
          <w:p>
            <w:r>
              <w:t>Cisco US20250045422A1</w:t>
            </w:r>
          </w:p>
        </w:tc>
        <w:tc>
          <w:tcPr>
            <w:tcW w:type="dxa" w:w="3312"/>
          </w:tcPr>
          <w:p>
            <w:r>
              <w:t>PQC dependency graph, call paths, aggregate risk and remediation</w:t>
            </w:r>
          </w:p>
        </w:tc>
        <w:tc>
          <w:tcPr>
            <w:tcW w:type="dxa" w:w="3312"/>
          </w:tcPr>
          <w:p>
            <w:r>
              <w:t>Multi-tier banking/vendor/sub-tier inherited risk plus candidate-specific ecosystem recomputation and dynamic DeltaER/cost sequence</w:t>
            </w:r>
          </w:p>
        </w:tc>
      </w:tr>
      <w:tr>
        <w:tc>
          <w:tcPr>
            <w:tcW w:type="dxa" w:w="3312"/>
          </w:tcPr>
          <w:p>
            <w:r>
              <w:t>AT&amp;T US12519809B2 / US20250150466A1</w:t>
            </w:r>
          </w:p>
        </w:tc>
        <w:tc>
          <w:tcPr>
            <w:tcW w:type="dxa" w:w="3312"/>
          </w:tcPr>
          <w:p>
            <w:r>
              <w:t>Enterprise quantum-risk scoring, asset ranking, remediation considerations</w:t>
            </w:r>
          </w:p>
        </w:tc>
        <w:tc>
          <w:tcPr>
            <w:tcW w:type="dxa" w:w="3312"/>
          </w:tcPr>
          <w:p>
            <w:r>
              <w:t>Deterministic graph/path inherited risk and full ecosystem counterfactual re-evaluation rather than ML metadata scoring</w:t>
            </w:r>
          </w:p>
        </w:tc>
      </w:tr>
      <w:tr>
        <w:tc>
          <w:tcPr>
            <w:tcW w:type="dxa" w:w="3312"/>
          </w:tcPr>
          <w:p>
            <w:r>
              <w:t>Wells Fargo US20250103720A1</w:t>
            </w:r>
          </w:p>
        </w:tc>
        <w:tc>
          <w:tcPr>
            <w:tcW w:type="dxa" w:w="3312"/>
          </w:tcPr>
          <w:p>
            <w:r>
              <w:t>Financial-institution PQC risk modeling, node/data flow, remediation cost</w:t>
            </w:r>
          </w:p>
        </w:tc>
        <w:tc>
          <w:tcPr>
            <w:tcW w:type="dxa" w:w="3312"/>
          </w:tcPr>
          <w:p>
            <w:r>
              <w:t>Explicit provider/sub-tier roles, dependency-strength path propagation, service-criticality ER, iterative marginal ecosystem-risk re-ranking</w:t>
            </w:r>
          </w:p>
        </w:tc>
      </w:tr>
      <w:tr>
        <w:tc>
          <w:tcPr>
            <w:tcW w:type="dxa" w:w="3312"/>
          </w:tcPr>
          <w:p>
            <w:r>
              <w:t>Hasan et al., IEEE Access 2024</w:t>
            </w:r>
          </w:p>
        </w:tc>
        <w:tc>
          <w:tcPr>
            <w:tcW w:type="dxa" w:w="3312"/>
          </w:tcPr>
          <w:p>
            <w:r>
              <w:t>PQC migration framework and graph-theoretic dependency analysis</w:t>
            </w:r>
          </w:p>
        </w:tc>
        <w:tc>
          <w:tcPr>
            <w:tcW w:type="dxa" w:w="3312"/>
          </w:tcPr>
          <w:p>
            <w:r>
              <w:t>Banking-specific multi-tier inherited-risk quantification and dynamic marginal ecosystem-risk reduction</w:t>
            </w:r>
          </w:p>
        </w:tc>
      </w:tr>
      <w:tr>
        <w:tc>
          <w:tcPr>
            <w:tcW w:type="dxa" w:w="3312"/>
          </w:tcPr>
          <w:p>
            <w:r>
              <w:t>Sharma et al., IEEE conference 2026</w:t>
            </w:r>
          </w:p>
        </w:tc>
        <w:tc>
          <w:tcPr>
            <w:tcW w:type="dxa" w:w="3312"/>
          </w:tcPr>
          <w:p>
            <w:r>
              <w:t>Dependency-aware PQC migration ordering</w:t>
            </w:r>
          </w:p>
        </w:tc>
        <w:tc>
          <w:tcPr>
            <w:tcW w:type="dxa" w:w="3312"/>
          </w:tcPr>
          <w:p>
            <w:r>
              <w:t>Different optimization objective: ecosystem-risk reduction per cost rather than reversed-topological interoperability ordering</w:t>
            </w:r>
          </w:p>
        </w:tc>
      </w:tr>
    </w:tbl>
    <w:p>
      <w:r>
        <w:t>Because these references are close, broad claims to generic PQC risk scoring, banking risk modeling, dependency graphs, call paths, or cost-aware remediation should be avoided. The claim set should remain focused on the ordered technical combination implemented here.</w:t>
      </w:r>
    </w:p>
    <w:p>
      <w:pPr>
        <w:pStyle w:val="Heading1"/>
      </w:pPr>
      <w:r>
        <w:t>13. Example Embodiments</w:t>
      </w:r>
    </w:p>
    <w:p>
      <w:pPr>
        <w:pStyle w:val="ListBullet"/>
      </w:pPr>
      <w:r>
        <w:t>A bank imports a CBOM-like cryptographic inventory and vendor dependency records and generates a multi-tier graph automatically.</w:t>
      </w:r>
    </w:p>
    <w:p>
      <w:pPr>
        <w:pStyle w:val="ListBullet"/>
      </w:pPr>
      <w:r>
        <w:t>A third-party KMS is reachable by four banking services and its remediation is evaluated by simulating a quantum-safe replacement and recalculating all affected service risks.</w:t>
      </w:r>
    </w:p>
    <w:p>
      <w:pPr>
        <w:pStyle w:val="ListBullet"/>
      </w:pPr>
      <w:r>
        <w:t>A sub-tier KMS is reachable through several provider chains; the framework selects the strongest path per service-asset pair and reports the chain to a reviewer.</w:t>
      </w:r>
    </w:p>
    <w:p>
      <w:pPr>
        <w:pStyle w:val="ListBullet"/>
      </w:pPr>
      <w:r>
        <w:t>A migration budget is supplied and the system repeatedly selects the affordable candidate with highest marginal ecosystem-risk reduction per normalized migration cost.</w:t>
      </w:r>
    </w:p>
    <w:p>
      <w:pPr>
        <w:pStyle w:val="ListBullet"/>
      </w:pPr>
      <w:r>
        <w:t>A threshold is used to treat ML-KEM, ML-DSA, AES-256 or other configured assets as sufficiently quantum resistant for the selected threat model.</w:t>
      </w:r>
    </w:p>
    <w:p>
      <w:pPr>
        <w:pStyle w:val="ListBullet"/>
      </w:pPr>
      <w:r>
        <w:t>Alternative embodiments use different direct-risk weights, path aggregation rules, service aggregation rules, or cost units while retaining the counterfactual dynamic prioritization loop.</w:t>
      </w:r>
    </w:p>
    <w:p>
      <w:pPr>
        <w:pStyle w:val="Heading1"/>
      </w:pPr>
      <w:r>
        <w:t>14. Draft Claims for Patent-Agent Review</w:t>
      </w:r>
    </w:p>
    <w:p>
      <w:r>
        <w:t>The following claims are intentionally drafted as a technical starting point and require professional review.</w:t>
      </w:r>
    </w:p>
    <w:p>
      <w:pPr>
        <w:pStyle w:val="Heading2"/>
      </w:pPr>
      <w:r>
        <w:t>Claim 1 - Computer-implemented method</w:t>
      </w:r>
    </w:p>
    <w:p>
      <w:r>
        <w:t>1. A computer-implemented method for prioritizing post-quantum cryptographic remediation in a digital banking network, the method comprising: receiving, by one or more processors, cryptographic asset records, banking-service records, and dependency records; constructing a directed dependency graph in which nodes comprise banking-service nodes, internal cryptographic-asset nodes, first-tier external-provider nodes, and sub-tier provider nodes, and in which edges include respective dependency-strength values; determining respective quantum-risk scores for cryptographic assets; for each banking-service node, determining a dependency path to each of a plurality of reachable cryptographic assets and determining a propagated risk contribution using the quantum-risk score of the reachable cryptographic asset and dependency-strength values of edges of the dependency path; generating an inherited quantum-risk value for each banking-service node from propagated risk contributions; generating an ecosystem quantum-risk value from service-risk values and service-criticality values; for each of a plurality of candidate remediations, generating a counterfactual state in which a corresponding cryptographic asset is assigned a quantum-safe state, recomputing the ecosystem quantum-risk value for the counterfactual state, and determining a marginal ecosystem-risk reduction for the candidate remediation; determining a priority value for the candidate remediation from the marginal ecosystem-risk reduction and a migration cost; selecting a candidate remediation according to the priority value; updating the state of the digital banking network according to the selected candidate remediation; and repeating the counterfactual recomputation for remaining candidate remediations to generate a dynamically re-ranked migration sequence.</w:t>
      </w:r>
    </w:p>
    <w:p>
      <w:r>
        <w:t>2. The method of claim 1, wherein determining the dependency path comprises selecting, for a given service-asset pair, a path having a greatest product of dependency-strength values among candidate paths.</w:t>
      </w:r>
    </w:p>
    <w:p>
      <w:r>
        <w:t>3. The method of claim 1, wherein the propagated risk contribution is based on a product of an asset quantum-risk score and dependency-strength values along the selected dependency path.</w:t>
      </w:r>
    </w:p>
    <w:p>
      <w:r>
        <w:t>4. The method of claim 1, wherein the ecosystem quantum-risk value is a criticality-weighted aggregation of total service-risk values.</w:t>
      </w:r>
    </w:p>
    <w:p>
      <w:r>
        <w:t>5. The method of claim 1, wherein the migration cost is derived from a migration-complexity value associated with the candidate cryptographic asset.</w:t>
      </w:r>
    </w:p>
    <w:p>
      <w:r>
        <w:t>6. The method of claim 1, wherein the priority value comprises a ratio of marginal ecosystem-risk reduction to migration cost.</w:t>
      </w:r>
    </w:p>
    <w:p>
      <w:r>
        <w:t>7. The method of claim 1, further comprising enforcing a migration budget and selecting only candidate remediations whose migration costs are within a remaining budget.</w:t>
      </w:r>
    </w:p>
    <w:p>
      <w:r>
        <w:t>8. The method of claim 1, wherein the cryptographic asset records comprise data-lifetime metadata used to represent harvest-now-decrypt-later exposure.</w:t>
      </w:r>
    </w:p>
    <w:p>
      <w:r>
        <w:t>9. The method of claim 1, further comprising generating, for each selected remediation, an explanation record identifying at least one affected banking service and at least one dependency path connecting the affected banking service to the selected cryptographic asset.</w:t>
      </w:r>
    </w:p>
    <w:p>
      <w:r>
        <w:t>10. The method of claim 9, wherein the explanation record further comprises a path depth and a strongest propagated path-risk value.</w:t>
      </w:r>
    </w:p>
    <w:p>
      <w:r>
        <w:t>11. The method of claim 1, wherein a cryptographic asset having a quantum-vulnerability value at or below a configured threshold contributes zero to service-level quantum risk.</w:t>
      </w:r>
    </w:p>
    <w:p>
      <w:r>
        <w:t>12. The method of claim 1, wherein duplicate dependency records having a common source node and target node are consolidated by retaining a greatest dependency-strength value.</w:t>
      </w:r>
    </w:p>
    <w:p>
      <w:r>
        <w:t>13. The method of claim 1, wherein the external-provider nodes comprise cloud key-management, payment-processing, identity, certificate, tokenization, or managed security services.</w:t>
      </w:r>
    </w:p>
    <w:p>
      <w:r>
        <w:t>14. The method of claim 1, wherein the sub-tier provider nodes represent dependencies of the first-tier external-provider nodes that are not directly administered by the banking entity.</w:t>
      </w:r>
    </w:p>
    <w:p>
      <w:pPr>
        <w:pStyle w:val="Heading2"/>
      </w:pPr>
      <w:r>
        <w:t>Claim 15 - System</w:t>
      </w:r>
    </w:p>
    <w:p>
      <w:r>
        <w:t>15. A system comprising at least one processor and memory storing instructions that, when executed by the at least one processor, cause the system to perform the method of any of claims 1-14.</w:t>
      </w:r>
    </w:p>
    <w:p>
      <w:pPr>
        <w:pStyle w:val="Heading2"/>
      </w:pPr>
      <w:r>
        <w:t>Claim 16 - Non-transitory computer-readable medium</w:t>
      </w:r>
    </w:p>
    <w:p>
      <w:r>
        <w:t>16. A non-transitory computer-readable medium storing instructions that, when executed by one or more processors, cause the one or more processors to perform the method of any of claims 1-14.</w:t>
      </w:r>
    </w:p>
    <w:p>
      <w:pPr>
        <w:pStyle w:val="Heading1"/>
      </w:pPr>
      <w:r>
        <w:t>15. Suggested Patent Drawings</w:t>
      </w:r>
    </w:p>
    <w:p>
      <w:pPr>
        <w:pStyle w:val="ListBullet"/>
      </w:pPr>
      <w:r>
        <w:t>Figure 1: End-to-end system architecture and dynamic feedback loop.</w:t>
      </w:r>
    </w:p>
    <w:p>
      <w:pPr>
        <w:pStyle w:val="ListBullet"/>
      </w:pPr>
      <w:r>
        <w:t>Figure 2: Example multi-tier banking dependency graph showing a service, internal asset, third-party provider and sub-tier provider.</w:t>
      </w:r>
    </w:p>
    <w:p>
      <w:pPr>
        <w:pStyle w:val="ListBullet"/>
      </w:pPr>
      <w:r>
        <w:t>Figure 3: Counterfactual remediation evaluation flow for one candidate.</w:t>
      </w:r>
    </w:p>
    <w:p>
      <w:pPr>
        <w:pStyle w:val="ListBullet"/>
      </w:pPr>
      <w:r>
        <w:t>Figure 4: Dynamic re-ranking loop under a migration budget.</w:t>
      </w:r>
    </w:p>
    <w:p>
      <w:pPr>
        <w:pStyle w:val="ListBullet"/>
      </w:pPr>
      <w:r>
        <w:t>Figure 5: Example explanation record showing affected services and strongest dependency path.</w:t>
      </w:r>
    </w:p>
    <w:p>
      <w:pPr>
        <w:pStyle w:val="Heading1"/>
      </w:pPr>
      <w:r>
        <w:t>16. Filing and Publication Notes</w:t>
      </w:r>
    </w:p>
    <w:p>
      <w:pPr>
        <w:pStyle w:val="ListBullet"/>
      </w:pPr>
      <w:r>
        <w:t>Do not publish the detailed claim concept, source code, thesis chapter, poster, or paper before receiving patent-filing advice if patent protection is a priority.</w:t>
      </w:r>
    </w:p>
    <w:p>
      <w:pPr>
        <w:pStyle w:val="ListBullet"/>
      </w:pPr>
      <w:r>
        <w:t>Retain dated source-code snapshots, experiment logs, dataset-generator seed information and design notes as evidence of development history.</w:t>
      </w:r>
    </w:p>
    <w:p>
      <w:pPr>
        <w:pStyle w:val="ListBullet"/>
      </w:pPr>
      <w:r>
        <w:t>Provide the patent professional with this disclosure, the final source-code ZIP, the novelty/prior-art positioning note, architecture figure, and final result tables.</w:t>
      </w:r>
    </w:p>
    <w:p>
      <w:pPr>
        <w:pStyle w:val="ListBullet"/>
      </w:pPr>
      <w:r>
        <w:t>Ask the patent professional specifically to review Cisco US20250045422A1, AT&amp;T US12519809B2, Wells Fargo US20250103720A1, and dependency-aware PQC migration literature before finalizing claims.</w:t>
      </w:r>
    </w:p>
    <w:p>
      <w:pPr>
        <w:pStyle w:val="Heading1"/>
      </w:pPr>
      <w:r>
        <w:t>17. Reproducibility References Within Project Package</w:t>
      </w:r>
    </w:p>
    <w:p>
      <w:pPr>
        <w:pStyle w:val="ListBullet"/>
      </w:pPr>
      <w:r>
        <w:t>README.md - setup and execution instructions</w:t>
      </w:r>
    </w:p>
    <w:p>
      <w:pPr>
        <w:pStyle w:val="ListBullet"/>
      </w:pPr>
      <w:r>
        <w:t>FINAL_RESULTS_SUMMARY.md - experiment results and supported claims</w:t>
      </w:r>
    </w:p>
    <w:p>
      <w:pPr>
        <w:pStyle w:val="ListBullet"/>
      </w:pPr>
      <w:r>
        <w:t>NOVELTY_AND_PATENT_POSITION.md - prior-art pressure and recommended claim focus</w:t>
      </w:r>
    </w:p>
    <w:p>
      <w:pPr>
        <w:pStyle w:val="ListBullet"/>
      </w:pPr>
      <w:r>
        <w:t>results/tables/final_strategy_comparison_v1.csv - equal-budget baseline comparison</w:t>
      </w:r>
    </w:p>
    <w:p>
      <w:pPr>
        <w:pStyle w:val="ListBullet"/>
      </w:pPr>
      <w:r>
        <w:t>results/tables/ablation_topology.csv - external-tier ablation</w:t>
      </w:r>
    </w:p>
    <w:p>
      <w:pPr>
        <w:pStyle w:val="ListBullet"/>
      </w:pPr>
      <w:r>
        <w:t>results/tables/ablation_prioritization.csv - dynamic/cost ablation</w:t>
      </w:r>
    </w:p>
    <w:p>
      <w:pPr>
        <w:pStyle w:val="ListBullet"/>
      </w:pPr>
      <w:r>
        <w:t>results/tables/sensitivity_analysis.csv - weight sensitivity</w:t>
      </w:r>
    </w:p>
    <w:p>
      <w:pPr>
        <w:pStyle w:val="ListBullet"/>
      </w:pPr>
      <w:r>
        <w:t>results/tables/explainable_priorities.csv - path-based explanation outputs</w:t>
      </w:r>
    </w:p>
    <w:p>
      <w:pPr>
        <w:pStyle w:val="ListBullet"/>
      </w:pPr>
      <w:r>
        <w:t>results/tables/scalability_analysis.csv - V1/V2 prototype timing comparison</w:t>
      </w:r>
    </w:p>
    <w:p>
      <w:pPr>
        <w:pStyle w:val="ListBullet"/>
      </w:pPr>
      <w:r>
        <w:t>tests/test_framework.py - basic reproducibility and monotonicity checks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Technical invention disclosure draft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CONFIDENTIAL DRAFT - PQC Banking Risk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