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DARP-PQC: CROSS-TIER ASSURANCE</w:t>
        <w:br/>
        <w:t>TECHNICAL ADDENDUM</w:t>
      </w:r>
    </w:p>
    <w:p>
      <w:pPr>
        <w:jc w:val="center"/>
      </w:pPr>
      <w:r>
        <w:rPr>
          <w:i/>
          <w:sz w:val="20"/>
        </w:rPr>
        <w:t>Banking dependency-risk propagation + post-quantum transaction enforcement</w:t>
      </w:r>
    </w:p>
    <w:p>
      <w:pPr>
        <w:jc w:val="center"/>
      </w:pPr>
      <w:r>
        <w:rPr>
          <w:b/>
        </w:rPr>
        <w:t>Research invention-disclosure supplement • October 2026</w:t>
      </w:r>
    </w:p>
    <w:p>
      <w:r>
        <w:rPr>
          <w:b/>
        </w:rPr>
        <w:t xml:space="preserve">Disclosure status: </w:t>
      </w:r>
      <w:r>
        <w:t>Draft for university IP cell and qualified patent counsel. This is not a patentability opinion or a filing-ready claim set. Do not publicly disclose before coordinating the intended filing.</w:t>
      </w:r>
    </w:p>
    <w:p>
      <w:pPr>
        <w:pStyle w:val="Heading1"/>
      </w:pPr>
      <w:r>
        <w:t>1. Technical problem</w:t>
      </w:r>
    </w:p>
    <w:p>
      <w:r>
        <w:t>A digital bank may model quantum-vulnerable cryptographic dependencies across internal systems, direct third-party suppliers and sub-tier providers without enforcing any independent provider accountability at transaction time. Even when a bank protects one internal message using PQC, cryptographic operations performed by downstream providers may remain outside the bank’s direct control.</w:t>
      </w:r>
    </w:p>
    <w:p>
      <w:pPr>
        <w:pStyle w:val="Heading1"/>
      </w:pPr>
      <w:r>
        <w:t>2. Proposed technical mechanism</w:t>
      </w:r>
    </w:p>
    <w:p>
      <w:pPr>
        <w:pStyle w:val="ListNumber"/>
      </w:pPr>
      <w:r>
        <w:t>Map service-to-internal-to-third-party-to-sub-tier assets and compute propagated quantum-risk contributions along each dependency path.</w:t>
      </w:r>
    </w:p>
    <w:p>
      <w:pPr>
        <w:pStyle w:val="ListNumber"/>
      </w:pPr>
      <w:r>
        <w:t>Select risk-significant external assets by banking service and dependency tier; derive the minimum required set of direct-provider and sub-tier attestations.</w:t>
      </w:r>
    </w:p>
    <w:p>
      <w:pPr>
        <w:pStyle w:val="ListNumber"/>
      </w:pPr>
      <w:r>
        <w:t>Produce an authoritative post-quantum security policy with cryptographic profile, risk-evidence digest and monotonic policy epoch.</w:t>
      </w:r>
    </w:p>
    <w:p>
      <w:pPr>
        <w:pStyle w:val="ListNumber"/>
      </w:pPr>
      <w:r>
        <w:t>Obtain short-lived ML-DSA signatures from separately registered provider keys over the exact service, action, record hash, asset ID, tier, provider, policy epoch and evidence digest.</w:t>
      </w:r>
    </w:p>
    <w:p>
      <w:pPr>
        <w:pStyle w:val="ListNumber"/>
      </w:pPr>
      <w:r>
        <w:t>Require those signatures in a fail-closed banking gateway before encryption and again during authenticated receipt; also require bank employee ML-DSA signature, RBAC and replay defense.</w:t>
      </w:r>
    </w:p>
    <w:p>
      <w:pPr>
        <w:pStyle w:val="ListNumber"/>
      </w:pPr>
      <w:r>
        <w:t>Establish a record-encryption secret with ML-KEM; derive an AES-256-GCM key using HKDF-SHA256, encrypt, and bind the signed policy to the authenticated message.</w:t>
      </w:r>
    </w:p>
    <w:p>
      <w:pPr>
        <w:pStyle w:val="ListNumber"/>
      </w:pPr>
      <w:r>
        <w:t>Recalculate graph-derived policies after simulated remediation and reject earlier policy-epoch messages.</w:t>
      </w:r>
    </w:p>
    <w:p>
      <w:pPr>
        <w:pStyle w:val="Heading1"/>
      </w:pPr>
      <w:r>
        <w:t>3. Experimental technical effects (synthetic V1)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Measure</w:t>
            </w:r>
          </w:p>
        </w:tc>
        <w:tc>
          <w:tcPr>
            <w:tcW w:type="dxa" w:w="3264"/>
          </w:tcPr>
          <w:p>
            <w:r>
              <w:t>Without tier gate</w:t>
            </w:r>
          </w:p>
        </w:tc>
        <w:tc>
          <w:tcPr>
            <w:tcW w:type="dxa" w:w="3264"/>
          </w:tcPr>
          <w:p>
            <w:r>
              <w:t>With strict tier gate</w:t>
            </w:r>
          </w:p>
        </w:tc>
      </w:tr>
      <w:tr>
        <w:tc>
          <w:tcPr>
            <w:tcW w:type="dxa" w:w="3264"/>
          </w:tcPr>
          <w:p>
            <w:r>
              <w:t>Median processing time</w:t>
            </w:r>
          </w:p>
        </w:tc>
        <w:tc>
          <w:tcPr>
            <w:tcW w:type="dxa" w:w="3264"/>
          </w:tcPr>
          <w:p>
            <w:r>
              <w:t>37.083 ms</w:t>
            </w:r>
          </w:p>
        </w:tc>
        <w:tc>
          <w:tcPr>
            <w:tcW w:type="dxa" w:w="3264"/>
          </w:tcPr>
          <w:p>
            <w:r>
              <w:t>62.510 ms</w:t>
            </w:r>
          </w:p>
        </w:tc>
      </w:tr>
      <w:tr>
        <w:tc>
          <w:tcPr>
            <w:tcW w:type="dxa" w:w="3264"/>
          </w:tcPr>
          <w:p>
            <w:r>
              <w:t>95th percentile</w:t>
            </w:r>
          </w:p>
        </w:tc>
        <w:tc>
          <w:tcPr>
            <w:tcW w:type="dxa" w:w="3264"/>
          </w:tcPr>
          <w:p>
            <w:r>
              <w:t>58.553 ms</w:t>
            </w:r>
          </w:p>
        </w:tc>
        <w:tc>
          <w:tcPr>
            <w:tcW w:type="dxa" w:w="3264"/>
          </w:tcPr>
          <w:p>
            <w:r>
              <w:t>83.272 ms</w:t>
            </w:r>
          </w:p>
        </w:tc>
      </w:tr>
      <w:tr>
        <w:tc>
          <w:tcPr>
            <w:tcW w:type="dxa" w:w="3264"/>
          </w:tcPr>
          <w:p>
            <w:r>
              <w:t>Encrypted JSON envelope</w:t>
            </w:r>
          </w:p>
        </w:tc>
        <w:tc>
          <w:tcPr>
            <w:tcW w:type="dxa" w:w="3264"/>
          </w:tcPr>
          <w:p>
            <w:r>
              <w:t>20,704 bytes</w:t>
            </w:r>
          </w:p>
        </w:tc>
        <w:tc>
          <w:tcPr>
            <w:tcW w:type="dxa" w:w="3264"/>
          </w:tcPr>
          <w:p>
            <w:r>
              <w:t>34,204 bytes</w:t>
            </w:r>
          </w:p>
        </w:tc>
      </w:tr>
      <w:tr>
        <w:tc>
          <w:tcPr>
            <w:tcW w:type="dxa" w:w="3264"/>
          </w:tcPr>
          <w:p>
            <w:r>
              <w:t>Required external signatures</w:t>
            </w:r>
          </w:p>
        </w:tc>
        <w:tc>
          <w:tcPr>
            <w:tcW w:type="dxa" w:w="3264"/>
          </w:tcPr>
          <w:p>
            <w:r>
              <w:t>0</w:t>
            </w:r>
          </w:p>
        </w:tc>
        <w:tc>
          <w:tcPr>
            <w:tcW w:type="dxa" w:w="3264"/>
          </w:tcPr>
          <w:p>
            <w:r>
              <w:t>2 (third party + sub-tier)</w:t>
            </w:r>
          </w:p>
        </w:tc>
      </w:tr>
    </w:tbl>
    <w:p>
      <w:pPr/>
      <w:r>
        <w:t>Measured locally over 20 successful synthetic Core Banking operations (S01), retaining the same ML-KEM-1024, ML-DSA-87 and AES-256-GCM security profile in both settings. Figures include OpenSSL command startup and temporary-file overhead; not optimized cryptographic microbenchmarks.</w:t>
      </w:r>
    </w:p>
    <w:p>
      <w:r>
        <w:t>Graph-selected external assets: A026 Cloud KMS (direct provider, path risk 0.8742); A041 Cloud Sub-KMS (sub-tier, path risk 0.76986). The gate rejected missing, duplicated, tampered and expired provider evidence and unauthorized/replayed requests in controlled tests. Combined original and new project: 37 automated tests passed.</w:t>
      </w:r>
    </w:p>
    <w:p>
      <w:pPr>
        <w:pStyle w:val="Heading1"/>
      </w:pPr>
      <w:r>
        <w:t>4. Research differentiation</w:t>
      </w:r>
    </w:p>
    <w:p>
      <w:r>
        <w:t>The proposed contribution is the interaction of graph-derived multi-tier risk, cost-aware migration, risk-evidence hashing, transaction-scoped independent provider assertions, and mandatory PQC-policy enforcement. It is not an invented ML-KEM, ML-DSA or SLH-DSA primitive; similar inventory, graph, crypto-policy and supply-chain attestation components exist in earlier work. A patentability assessment must examine whether their exact combination and technical effect involve an inventive step.</w:t>
      </w:r>
    </w:p>
    <w:p>
      <w:pPr>
        <w:pStyle w:val="Heading1"/>
      </w:pPr>
      <w:r>
        <w:t>5. Material limitations</w:t>
      </w:r>
    </w:p>
    <w:p>
      <w:pPr>
        <w:pStyle w:val="ListBullet"/>
      </w:pPr>
      <w:r>
        <w:t>Provider identities and signing keys are simulated and enrolled locally. Signatures only show an acknowledgement from the registered key, not evidence of actual third-party PQC adoption.</w:t>
      </w:r>
    </w:p>
    <w:p>
      <w:pPr>
        <w:pStyle w:val="ListBullet"/>
      </w:pPr>
      <w:r>
        <w:t>Static ML-KEM recipient keys do not provide forward secrecy against future compromise of those long-term keys, so the demonstration does not establish complete HNDL protection.</w:t>
      </w:r>
    </w:p>
    <w:p>
      <w:pPr>
        <w:pStyle w:val="ListBullet"/>
      </w:pPr>
      <w:r>
        <w:t>Production PKI, HSM-backed key custody, externally audited attestations, durable anti-replay storage, distributed policy synchronization and real banking-network integration remain unimplemented.</w:t>
      </w:r>
    </w:p>
    <w:p>
      <w:pPr>
        <w:pStyle w:val="ListBullet"/>
      </w:pPr>
      <w:r>
        <w:t>Synthetic risk weights and provider-selection thresholds require calibration and sensitivity analysis; measured risk indices are not probabilities of a successful quantum attack.</w:t>
      </w:r>
    </w:p>
    <w:p>
      <w:pPr>
        <w:pStyle w:val="ListBullet"/>
      </w:pPr>
      <w:r>
        <w:t>This technical disclosure is not a legal claim. University IP cell and qualified patent counsel should review prior art, sufficiency and claim scope before any public filing.</w:t>
      </w:r>
    </w:p>
    <w:p>
      <w:pPr>
        <w:pStyle w:val="Heading1"/>
      </w:pPr>
      <w:r>
        <w:t>6. Reproducible supporting files</w:t>
      </w:r>
    </w:p>
    <w:p>
      <w:r>
        <w:t>pqc_layer/multitier_assurance.py; pqc_layer/banking_gateway.py; pqc_layer/darp_pqc.py; experiments/banking_gateway_demo.py; experiments/cross_tier_final_evaluation.py; tests/test_cross_tier.py; results/tables/cross_tier_ablation.csv; results/tables/cross_tier_proof_demo.json; PATENT_ADDENDUM.md. The previous patent-disclosure DOCX remains the background document and must be reconciled by counsel.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C78"/>
        <w:sz w:val="16"/>
      </w:rPr>
      <w:t>DARP-PQC Research Prototype  •  Technical Disclosure Addendum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35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35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8335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