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D1E35"/>
          <w:sz w:val="36"/>
        </w:rPr>
        <w:t>MT Performance Review — July 2026</w:t>
      </w:r>
    </w:p>
    <w:p>
      <w:pPr>
        <w:jc w:val="center"/>
      </w:pPr>
      <w:r>
        <w:rPr>
          <w:i/>
          <w:color w:val="8A9BB2"/>
          <w:sz w:val="20"/>
        </w:rPr>
        <w:t>Presenter Scripts by Slide  ·  Honasa Consumer Ltd. · MT Analytics</w:t>
      </w:r>
    </w:p>
    <w:p/>
    <w:p>
      <w:pPr>
        <w:spacing w:after="240"/>
      </w:pPr>
      <w:r>
        <w:rPr>
          <w:i/>
          <w:color w:val="6B5B00"/>
          <w:sz w:val="18"/>
        </w:rPr>
        <w:t>Usage: These scripts are intended for the presenter only and do NOT appear in the deck. Read naturally — adjust to your audience. Data governance notes within scripts are for presenter awareness; share selectively.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20"/>
            <w:shd w:val="clear" w:color="auto" w:fill="0D1E3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Slide #</w:t>
            </w:r>
          </w:p>
        </w:tc>
        <w:tc>
          <w:tcPr>
            <w:tcW w:type="dxa" w:w="2835"/>
            <w:shd w:val="clear" w:color="auto" w:fill="0D1E3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Slide Title</w:t>
            </w:r>
          </w:p>
        </w:tc>
        <w:tc>
          <w:tcPr>
            <w:tcW w:type="dxa" w:w="6350"/>
            <w:shd w:val="clear" w:color="auto" w:fill="0D1E3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Presenter Script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Cambria" w:hAnsi="Cambria"/>
                <w:b/>
                <w:color w:val="0D1E35"/>
                <w:sz w:val="24"/>
              </w:rPr>
              <w:t>1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rFonts w:ascii="Cambria" w:hAnsi="Cambria"/>
                <w:b/>
                <w:color w:val="0D1E35"/>
                <w:sz w:val="20"/>
              </w:rPr>
              <w:t>Cover — MT Performance &amp; Market Share Review</w:t>
            </w:r>
          </w:p>
        </w:tc>
        <w:tc>
          <w:tcPr>
            <w:tcW w:type="dxa" w:w="6350"/>
            <w:shd w:val="clear" w:color="auto" w:fill="FFFFFF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A2840"/>
                <w:sz w:val="19"/>
              </w:rPr>
              <w:t>Welcome to the Modern Trade Performance and Market Share Review for July 2026, presented in the context of Q1 FY27 performance. This deck covers three channels: MT Zones, eB2B — our Nykaa/FSN business — and SIS, Shop-in-Shop. One important governance note before we begin: June offtake source data is absent. This is a Tier 3 pipeline block under our three-tier pre-flight protocol — meaning we cannot compute a complete Q1 total. All numbers you see are exact from verified source files; no estimates or fabricated figures have been used.</w:t>
            </w:r>
          </w:p>
        </w:tc>
      </w:tr>
      <w:tr>
        <w:tc>
          <w:tcPr>
            <w:tcW w:type="dxa" w:w="1020"/>
            <w:shd w:val="clear" w:color="auto" w:fill="F4F6FB"/>
          </w:tcPr>
          <w:p>
            <w:pPr>
              <w:jc w:val="center"/>
            </w:pPr>
            <w:r>
              <w:rPr>
                <w:rFonts w:ascii="Cambria" w:hAnsi="Cambria"/>
                <w:b/>
                <w:color w:val="0D1E35"/>
                <w:sz w:val="24"/>
              </w:rPr>
              <w:t>2</w:t>
            </w:r>
          </w:p>
        </w:tc>
        <w:tc>
          <w:tcPr>
            <w:tcW w:type="dxa" w:w="2835"/>
            <w:shd w:val="clear" w:color="auto" w:fill="F4F6FB"/>
          </w:tcPr>
          <w:p>
            <w:pPr>
              <w:jc w:val="left"/>
            </w:pPr>
            <w:r>
              <w:rPr>
                <w:rFonts w:ascii="Cambria" w:hAnsi="Cambria"/>
                <w:b/>
                <w:color w:val="0D1E35"/>
                <w:sz w:val="20"/>
              </w:rPr>
              <w:t>Q1 FY27 Offtake Snapshot · Apr – Jun '26</w:t>
            </w:r>
          </w:p>
        </w:tc>
        <w:tc>
          <w:tcPr>
            <w:tcW w:type="dxa" w:w="6350"/>
            <w:shd w:val="clear" w:color="auto" w:fill="F4F6FB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A2840"/>
                <w:sz w:val="19"/>
              </w:rPr>
              <w:t>Starting with Q1 FY27 context as requested. April delivered ₹33.60 Crore NSV on 19.6 lakh units — a strong opening to the financial year. May grew 13% month-on-month to ₹38.11 Crore on 22 lakh units, our highest month in the period covered. June is a Tier 3 block: the source file is absent from our data folders, so we cannot report that month and Q1 is partial, covering only April and May — ₹71.71 Crore combined. July at ₹33.96 Crore opens Q2. The key insight to carry is the ASP premiumisation story: average selling price moved from ₹171.7 in April to ₹179.2 in July — a 4.4% appreciation in four months — while realisation improved from 41.6% to 42.2%. The portfolio is moving up in value.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Cambria" w:hAnsi="Cambria"/>
                <w:b/>
                <w:color w:val="0D1E35"/>
                <w:sz w:val="24"/>
              </w:rPr>
              <w:t>3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rFonts w:ascii="Cambria" w:hAnsi="Cambria"/>
                <w:b/>
                <w:color w:val="0D1E35"/>
                <w:sz w:val="20"/>
              </w:rPr>
              <w:t>July '26 · MT Channel Overview</w:t>
            </w:r>
          </w:p>
        </w:tc>
        <w:tc>
          <w:tcPr>
            <w:tcW w:type="dxa" w:w="6350"/>
            <w:shd w:val="clear" w:color="auto" w:fill="FFFFFF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A2840"/>
                <w:sz w:val="19"/>
              </w:rPr>
              <w:t>Now to July's headline numbers. MT primary at ₹47.02 Crore; MT offtake at ₹33.96 Crore. Conversion is 72.2% — that is 13.5 percentage points below our West and South-1 benchmark of 85.7%. The gap between primary and offtake is ₹13.06 Crore. Not all of that gap is recoverable — some is structural timing or floor stock. The actionable portion: ₹6.22 Crore sits above our ₹0.25 Crore per-zone floor. That is the number the field team should be chasing this month. Separately, eB2B through Nykaa: ₹2.20 Crore primary, ₹2.07 Crore offtake, 93.9% flow — the best-converting channel we have. SIS is very small and net of MRN returns. Neither eB2B nor SIS is included in zone figures — they are separate channels per our governance.</w:t>
            </w:r>
          </w:p>
        </w:tc>
      </w:tr>
      <w:tr>
        <w:tc>
          <w:tcPr>
            <w:tcW w:type="dxa" w:w="1020"/>
            <w:shd w:val="clear" w:color="auto" w:fill="F4F6FB"/>
          </w:tcPr>
          <w:p>
            <w:pPr>
              <w:jc w:val="center"/>
            </w:pPr>
            <w:r>
              <w:rPr>
                <w:rFonts w:ascii="Cambria" w:hAnsi="Cambria"/>
                <w:b/>
                <w:color w:val="0D1E35"/>
                <w:sz w:val="24"/>
              </w:rPr>
              <w:t>4</w:t>
            </w:r>
          </w:p>
        </w:tc>
        <w:tc>
          <w:tcPr>
            <w:tcW w:type="dxa" w:w="2835"/>
            <w:shd w:val="clear" w:color="auto" w:fill="F4F6FB"/>
          </w:tcPr>
          <w:p>
            <w:pPr>
              <w:jc w:val="left"/>
            </w:pPr>
            <w:r>
              <w:rPr>
                <w:rFonts w:ascii="Cambria" w:hAnsi="Cambria"/>
                <w:b/>
                <w:color w:val="0D1E35"/>
                <w:sz w:val="20"/>
              </w:rPr>
              <w:t>Zone Conversion Analysis · July '26</w:t>
            </w:r>
          </w:p>
        </w:tc>
        <w:tc>
          <w:tcPr>
            <w:tcW w:type="dxa" w:w="6350"/>
            <w:shd w:val="clear" w:color="auto" w:fill="F4F6FB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A2840"/>
                <w:sz w:val="19"/>
              </w:rPr>
              <w:t>Breaking the conversion picture down by zone. South-1 leads at 86.3% and West follows at 85.2% — both at or above the 85.7% benchmark. These are our model geographies; the practices driving their conversion should be documented and replicated. Central is next at 80.9% — reasonable but with room. South-2 at 72.4% is borderline. North at 61.3% has the largest absolute gap at ₹4.41 Crore — this is a volume issue. East is the most critical at 49.9%: less than half the primary stock has converted to shelf offtake. With ₹3.56 Crore gap, East needs an immediate field investigation. In absolute terms, North and East account for ₹7.97 Crore of the ₹13.06 Crore total gap — 61% of the problem is in two zones.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Cambria" w:hAnsi="Cambria"/>
                <w:b/>
                <w:color w:val="0D1E35"/>
                <w:sz w:val="24"/>
              </w:rPr>
              <w:t>5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rFonts w:ascii="Cambria" w:hAnsi="Cambria"/>
                <w:b/>
                <w:color w:val="0D1E35"/>
                <w:sz w:val="20"/>
              </w:rPr>
              <w:t>Account Gap Analysis · July '26</w:t>
            </w:r>
          </w:p>
        </w:tc>
        <w:tc>
          <w:tcPr>
            <w:tcW w:type="dxa" w:w="6350"/>
            <w:shd w:val="clear" w:color="auto" w:fill="FFFFFF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A2840"/>
                <w:sz w:val="19"/>
              </w:rPr>
              <w:t>Zooming into accounts. Reliance is the critical gap account: ₹7.61 Crore gap at 51.5% conversion. That is 58% of the entire MT gap in one account. Moving Reliance to the 75% level would recover approximately ₹3.7 Crore — that alone changes the conversion picture materially. DMart at ₹4.29 Crore gap is likely a stocking lag — they tend to build inventory ahead of billing cycles, so this may self-correct. Monitor closely. Metro at ₹1.36 Crore is manageable. On the positive side: Apollo is our gold standard account at 99.7% conversion — ₹7.20 Crore primary, ₹7.18 Crore offtake. Whatever Apollo's account manager is doing, capture it. Lulu is a special case: zero primary billing but ₹1.70 Crore offtake. This is a consignment or billing lag pattern — stores are drawing from existing stock without fresh billing. Not necessarily a problem but needs monitoring to ensure replenishment happens before stockouts. The recoverable gap above floor is ₹6.22 Crore — this is the addressable number for the next 30 days.</w:t>
            </w:r>
          </w:p>
        </w:tc>
      </w:tr>
      <w:tr>
        <w:tc>
          <w:tcPr>
            <w:tcW w:type="dxa" w:w="1020"/>
            <w:shd w:val="clear" w:color="auto" w:fill="F4F6FB"/>
          </w:tcPr>
          <w:p>
            <w:pPr>
              <w:jc w:val="center"/>
            </w:pPr>
            <w:r>
              <w:rPr>
                <w:rFonts w:ascii="Cambria" w:hAnsi="Cambria"/>
                <w:b/>
                <w:color w:val="0D1E35"/>
                <w:sz w:val="24"/>
              </w:rPr>
              <w:t>6</w:t>
            </w:r>
          </w:p>
        </w:tc>
        <w:tc>
          <w:tcPr>
            <w:tcW w:type="dxa" w:w="2835"/>
            <w:shd w:val="clear" w:color="auto" w:fill="F4F6FB"/>
          </w:tcPr>
          <w:p>
            <w:pPr>
              <w:jc w:val="left"/>
            </w:pPr>
            <w:r>
              <w:rPr>
                <w:rFonts w:ascii="Cambria" w:hAnsi="Cambria"/>
                <w:b/>
                <w:color w:val="0D1E35"/>
                <w:sz w:val="20"/>
              </w:rPr>
              <w:t>Market Share · Nielsen RMS</w:t>
            </w:r>
          </w:p>
        </w:tc>
        <w:tc>
          <w:tcPr>
            <w:tcW w:type="dxa" w:w="6350"/>
            <w:shd w:val="clear" w:color="auto" w:fill="F4F6FB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A2840"/>
                <w:sz w:val="19"/>
              </w:rPr>
              <w:t>Market share from Nielsen RMS. Two categories to focus on. In Face Wash within MT, Mamaearth is ranked fourth at 10.5%. Himalaya leads at 22.6%, Garnier at 14.2%, Pond's at 13.8%. We are competitive but there is a 12-point gap to the category leader. The sharper story is Shampoo: Mamaearth at 3.7% versus Dove at 16.6% and H&amp;S at 13.0%. That is a 4-times gap to the category leader — shampoo is our biggest MT market share opportunity. One governance note: the July Nielsen cut is pending. A Tier 3 badge is applied — these numbers represent the latest available cut, which is June or earlier. When the July data comes in, we should re-run this slide.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Cambria" w:hAnsi="Cambria"/>
                <w:b/>
                <w:color w:val="0D1E35"/>
                <w:sz w:val="24"/>
              </w:rPr>
              <w:t>7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rFonts w:ascii="Cambria" w:hAnsi="Cambria"/>
                <w:b/>
                <w:color w:val="0D1E35"/>
                <w:sz w:val="20"/>
              </w:rPr>
              <w:t>Brand Primary vs Offtake · July '26</w:t>
            </w:r>
          </w:p>
        </w:tc>
        <w:tc>
          <w:tcPr>
            <w:tcW w:type="dxa" w:w="6350"/>
            <w:shd w:val="clear" w:color="auto" w:fill="FFFFFF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A2840"/>
                <w:sz w:val="19"/>
              </w:rPr>
              <w:t>Brand-level P vs O for July. Mamaearth is our volume engine: ₹33.38 Crore primary, ₹24.49 Crore offtake — 73.4% conversion, ₹8.89 Crore gap. The Derma Co. at ₹15.19 Crore primary, ₹11.03 Crore offtake — 72.6% conversion, ₹4.16 Crore gap. Both brands track close together in conversion rate. Aqualogica shows offtake slightly above primary at ₹0.48 versus ₹0.41 Crore — a stock draw pattern, likely from prior month inventory. BBlunt and Dr. Sheth's are very small volumes — keep monitoring but not a focus area today. Combined, the portfolio has meaningful conversion headroom.</w:t>
            </w:r>
          </w:p>
        </w:tc>
      </w:tr>
      <w:tr>
        <w:tc>
          <w:tcPr>
            <w:tcW w:type="dxa" w:w="1020"/>
            <w:shd w:val="clear" w:color="auto" w:fill="F4F6FB"/>
          </w:tcPr>
          <w:p>
            <w:pPr>
              <w:jc w:val="center"/>
            </w:pPr>
            <w:r>
              <w:rPr>
                <w:rFonts w:ascii="Cambria" w:hAnsi="Cambria"/>
                <w:b/>
                <w:color w:val="0D1E35"/>
                <w:sz w:val="24"/>
              </w:rPr>
              <w:t>8</w:t>
            </w:r>
          </w:p>
        </w:tc>
        <w:tc>
          <w:tcPr>
            <w:tcW w:type="dxa" w:w="2835"/>
            <w:shd w:val="clear" w:color="auto" w:fill="F4F6FB"/>
          </w:tcPr>
          <w:p>
            <w:pPr>
              <w:jc w:val="left"/>
            </w:pPr>
            <w:r>
              <w:rPr>
                <w:rFonts w:ascii="Cambria" w:hAnsi="Cambria"/>
                <w:b/>
                <w:color w:val="0D1E35"/>
                <w:sz w:val="20"/>
              </w:rPr>
              <w:t>Account Primary vs Offtake · July '26</w:t>
            </w:r>
          </w:p>
        </w:tc>
        <w:tc>
          <w:tcPr>
            <w:tcW w:type="dxa" w:w="6350"/>
            <w:shd w:val="clear" w:color="auto" w:fill="F4F6FB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A2840"/>
                <w:sz w:val="19"/>
              </w:rPr>
              <w:t>Account P vs O gives us the clearest view of where conversion is happening and where it is not. DMart is our largest primary account at ₹18.25 Crore but offtake at ₹13.97 Crore, 76.5% — the stocking lag pattern. Reliance at ₹15.66 Crore primary, ₹8.06 Crore offtake, 51.5% — this is where the most urgent action is needed. Apollo at ₹7.20 Crore primary, ₹7.18 Crore offtake, 99.7% — the gold standard. FSN/Nykaa at 99.5% reflects the eB2B channel's strong flow — this is included here for brand-level visibility but is a separate channel in the zone figures. Lulu: zero primary, ₹1.70 Crore offtake — consignment draw. Wellness Forward and H&amp;G both show offtake exceeding primary — similar consignment patterns. Metro at 26.6% conversion is the weakest account conversion — only ₹0.49 Crore offtake against ₹1.84 Crore primary; this needs investigation.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Cambria" w:hAnsi="Cambria"/>
                <w:b/>
                <w:color w:val="0D1E35"/>
                <w:sz w:val="24"/>
              </w:rPr>
              <w:t>9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rFonts w:ascii="Cambria" w:hAnsi="Cambria"/>
                <w:b/>
                <w:color w:val="0D1E35"/>
                <w:sz w:val="20"/>
              </w:rPr>
              <w:t>Category Offtake Trends · Feb – Jul '26</w:t>
            </w:r>
          </w:p>
        </w:tc>
        <w:tc>
          <w:tcPr>
            <w:tcW w:type="dxa" w:w="6350"/>
            <w:shd w:val="clear" w:color="auto" w:fill="FFFFFF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A2840"/>
                <w:sz w:val="19"/>
              </w:rPr>
              <w:t>Category trend analysis over the Feb to July window. Starting with Mamaearth. Face Cleanser peaked in May and June at ₹9.65 Crore and pulled back to ₹8.53 Crore in July — likely a seasonal normalisation after summer peak demand. Shampoo is the standout story: from ₹4.81 Crore in February to ₹6.95 Crore in July, up 44.5% in six months, showing sustained momentum without a seasonal spike. Sun Care is retreating as expected post-summer — from ₹3.10 Crore in April to ₹1.30 Crore in July. Now The Derma Co.: Face Cleanser jumped from ₹4.83 Crore in June to ₹7.13 Crore in July — a 47.5% month-on-month spike. This warrants immediate investigation: is this a large account listing, a promotional fill, a channel event? Understanding the driver will tell us if this is repeatable or one-off. Sun Care and Face Serum for Derma Co. are relatively stable. On eB2B through Nykaa: the April spike to ₹2.29 Crore was notable; July settled at ₹2.07 Crore. Active EANs have declined from 222 in January to 198 in July — this suggests deliberate portfolio pruning, which should improve velocity on the remaining SKUs. Watch if this leads to better per-EAN offtake in the coming months.</w:t>
            </w:r>
          </w:p>
        </w:tc>
      </w:tr>
    </w:tbl>
    <w:p/>
    <w:p>
      <w:pPr>
        <w:jc w:val="right"/>
      </w:pPr>
      <w:r>
        <w:rPr>
          <w:i/>
          <w:color w:val="8A9BB2"/>
          <w:sz w:val="16"/>
        </w:rPr>
        <w:t>Honasa Consumer Ltd. · MT Analytics · August 2026  |  Tier 3 note: Jun offtake source absent; Q1 partial (Apr+May). Nielsen Jul MS pending.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