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BMW Group</w:t>
      </w:r>
    </w:p>
    <w:p>
      <w:r>
        <w:rPr>
          <w:b/>
        </w:rPr>
        <w:t>Re: Application for Intern Quantum Computing Applications (w/m/x)</w:t>
      </w:r>
    </w:p>
    <w:p>
      <w:r>
        <w:t>Dear BMW Group Quantum Computing Team,</w:t>
      </w:r>
    </w:p>
    <w:p>
      <w:r>
        <w:t>My first encounter with quantum computing wasn't in a lecture hall — it was debugging a VQE implementation at 2 AM, trying to understand why the ansatz wasn't converging. That frustration taught me more than any textbook could.</w:t>
      </w:r>
    </w:p>
    <w:p>
      <w:r>
        <w:t>That is why I am applying for the Intern Quantum Computing Applications (w/m/x) at BMW Group. I believe the role aligns with both my current skills and the direction I want to grow in.</w:t>
      </w:r>
    </w:p>
    <w:p>
      <w:r>
        <w:t>My technical toolkit includes Python (Advanced, 4+ years), GPU-aware computing concepts, Quantum optimization algorithms, and Variational quantum eigensolver (VQE).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BMW Group is the opportunity to work on quantum research with a team that values both engineering depth and code quality. I am ready to contribute from day one and learn what I do not yet know.</w:t>
      </w:r>
    </w:p>
    <w:p>
      <w:r>
        <w:t>I am genuinely interested in BMW Group's approach to quantum computing research, and I believe my background in quantum algorithms and numerical optimization would be a good fit. I would welcome the opportunity to discuss this further.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