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595959"/>
          <w:sz w:val="21"/>
          <w:szCs w:val="21"/>
        </w:rPr>
        <w:t xml:space="preserve">FlytBase GTM Hackathon</w:t>
      </w:r>
    </w:p>
    <w:p>
      <w:pPr>
        <w:spacing w:after="100"/>
      </w:pPr>
      <w:r>
        <w:rPr>
          <w:b/>
          <w:bCs/>
          <w:color w:val="1F4E79"/>
          <w:sz w:val="46"/>
          <w:szCs w:val="46"/>
        </w:rPr>
        <w:t xml:space="preserve">Build Decisions &amp; Presentation Brief</w:t>
      </w:r>
    </w:p>
    <w:p>
      <w:pPr>
        <w:pBdr>
          <w:bottom w:val="single" w:color="D0D0D0" w:sz="6" w:space="6"/>
        </w:pBdr>
        <w:spacing w:after="260"/>
      </w:pPr>
      <w:r>
        <w:rPr>
          <w:color w:val="595959"/>
          <w:sz w:val="23"/>
          <w:szCs w:val="23"/>
        </w:rPr>
        <w:t xml:space="preserve">An agentic GTM intelligence system over a 14-account Book of Business</w:t>
      </w:r>
    </w:p>
    <w:p>
      <w:pPr>
        <w:spacing w:after="90" w:line="288"/>
      </w:pPr>
      <w:r>
        <w:rPr>
          <w:b/>
          <w:bCs/>
          <w:sz w:val="21"/>
          <w:szCs w:val="21"/>
        </w:rPr>
        <w:t xml:space="preserve">The one sentence to open with</w:t>
      </w:r>
    </w:p>
    <w:p>
      <w:pPr>
        <w:pBdr>
          <w:left w:val="single" w:color="1F4E79" w:sz="12" w:space="10"/>
        </w:pBdr>
        <w:spacing w:after="130" w:before="90"/>
        <w:ind w:left="340"/>
      </w:pPr>
      <w:r>
        <w:rPr>
          <w:i/>
          <w:iCs/>
          <w:color w:val="595959"/>
          <w:sz w:val="21"/>
          <w:szCs w:val="21"/>
        </w:rPr>
        <w:t xml:space="preserve">For a drone-operations vendor, flight hours are the ground truth of account health and everything else is a lagging indicator. A customer that stopped flying has already left — the CRM label just has not caught up yet. The whole system is built around that thesis.</w:t>
      </w:r>
    </w:p>
    <w:p>
      <w:pPr>
        <w:pStyle w:val="Heading2"/>
        <w:spacing w:after="110" w:before="260"/>
      </w:pPr>
      <w:r>
        <w:rPr>
          <w:b/>
          <w:bCs/>
          <w:color w:val="000000"/>
          <w:sz w:val="23"/>
          <w:szCs w:val="23"/>
        </w:rPr>
        <w:t xml:space="preserve">What is running right now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300"/>
      </w:tblGrid>
      <w:tr>
        <w:trPr>
          <w:tblHeader/>
        </w:trPr>
        <w:tc>
          <w:tcPr>
            <w:tcW w:type="dxa" w:w="2300"/>
            <w:shd w:fill="E8EEF5" w:color="auto" w:val="clear"/>
            <w:tcMar>
              <w:top w:type="dxa" w:w="70"/>
              <w:left w:type="dxa" w:w="110"/>
              <w:bottom w:type="dxa" w:w="70"/>
              <w:right w:type="dxa" w:w="110"/>
            </w:tcMar>
          </w:tcPr>
          <w:p>
            <w:pPr>
              <w:spacing w:after="0" w:line="264"/>
            </w:pPr>
            <w:r>
              <w:rPr>
                <w:b/>
                <w:bCs/>
                <w:sz w:val="19"/>
                <w:szCs w:val="19"/>
              </w:rPr>
              <w:t xml:space="preserve">Metric</w:t>
            </w:r>
          </w:p>
        </w:tc>
        <w:tc>
          <w:tcPr>
            <w:tcW w:type="dxa" w:w="1500"/>
            <w:shd w:fill="E8EEF5" w:color="auto" w:val="clear"/>
            <w:tcMar>
              <w:top w:type="dxa" w:w="70"/>
              <w:left w:type="dxa" w:w="110"/>
              <w:bottom w:type="dxa" w:w="70"/>
              <w:right w:type="dxa" w:w="110"/>
            </w:tcMar>
          </w:tcPr>
          <w:p>
            <w:pPr>
              <w:spacing w:after="0" w:line="264"/>
            </w:pPr>
            <w:r>
              <w:rPr>
                <w:b/>
                <w:bCs/>
                <w:sz w:val="19"/>
                <w:szCs w:val="19"/>
              </w:rPr>
              <w:t xml:space="preserve">Value</w:t>
            </w:r>
          </w:p>
        </w:tc>
        <w:tc>
          <w:tcPr>
            <w:tcW w:type="dxa" w:w="5300"/>
            <w:shd w:fill="E8EEF5" w:color="auto" w:val="clear"/>
            <w:tcMar>
              <w:top w:type="dxa" w:w="70"/>
              <w:left w:type="dxa" w:w="110"/>
              <w:bottom w:type="dxa" w:w="70"/>
              <w:right w:type="dxa" w:w="110"/>
            </w:tcMar>
          </w:tcPr>
          <w:p>
            <w:pPr>
              <w:spacing w:after="0" w:line="264"/>
            </w:pPr>
            <w:r>
              <w:rPr>
                <w:b/>
                <w:bCs/>
                <w:sz w:val="19"/>
                <w:szCs w:val="19"/>
              </w:rPr>
              <w:t xml:space="preserve">What it means</w:t>
            </w:r>
          </w:p>
        </w:tc>
      </w:tr>
      <w:tr>
        <w:tc>
          <w:tcPr>
            <w:tcW w:type="dxa" w:w="2300"/>
            <w:tcMar>
              <w:top w:type="dxa" w:w="70"/>
              <w:left w:type="dxa" w:w="110"/>
              <w:bottom w:type="dxa" w:w="70"/>
              <w:right w:type="dxa" w:w="110"/>
            </w:tcMar>
          </w:tcPr>
          <w:p>
            <w:pPr>
              <w:spacing w:after="0" w:line="264"/>
            </w:pPr>
            <w:r>
              <w:rPr>
                <w:sz w:val="19"/>
                <w:szCs w:val="19"/>
              </w:rPr>
              <w:t xml:space="preserve">Accounts</w:t>
            </w:r>
          </w:p>
        </w:tc>
        <w:tc>
          <w:tcPr>
            <w:tcW w:type="dxa" w:w="1500"/>
            <w:tcMar>
              <w:top w:type="dxa" w:w="70"/>
              <w:left w:type="dxa" w:w="110"/>
              <w:bottom w:type="dxa" w:w="70"/>
              <w:right w:type="dxa" w:w="110"/>
            </w:tcMar>
          </w:tcPr>
          <w:p>
            <w:pPr>
              <w:spacing w:after="0" w:line="264"/>
              <w:jc w:val="right"/>
            </w:pPr>
            <w:r>
              <w:rPr>
                <w:sz w:val="19"/>
                <w:szCs w:val="19"/>
              </w:rPr>
              <w:t xml:space="preserve">14</w:t>
            </w:r>
          </w:p>
        </w:tc>
        <w:tc>
          <w:tcPr>
            <w:tcW w:type="dxa" w:w="5300"/>
            <w:tcMar>
              <w:top w:type="dxa" w:w="70"/>
              <w:left w:type="dxa" w:w="110"/>
              <w:bottom w:type="dxa" w:w="70"/>
              <w:right w:type="dxa" w:w="110"/>
            </w:tcMar>
          </w:tcPr>
          <w:p>
            <w:pPr>
              <w:spacing w:after="0" w:line="264"/>
            </w:pPr>
            <w:r>
              <w:rPr>
                <w:sz w:val="19"/>
                <w:szCs w:val="19"/>
              </w:rPr>
              <w:t xml:space="preserve">Full Book of Business, pulled live</w:t>
            </w:r>
          </w:p>
        </w:tc>
      </w:tr>
      <w:tr>
        <w:tc>
          <w:tcPr>
            <w:tcW w:type="dxa" w:w="2300"/>
            <w:tcMar>
              <w:top w:type="dxa" w:w="70"/>
              <w:left w:type="dxa" w:w="110"/>
              <w:bottom w:type="dxa" w:w="70"/>
              <w:right w:type="dxa" w:w="110"/>
            </w:tcMar>
          </w:tcPr>
          <w:p>
            <w:pPr>
              <w:spacing w:after="0" w:line="264"/>
            </w:pPr>
            <w:r>
              <w:rPr>
                <w:sz w:val="19"/>
                <w:szCs w:val="19"/>
              </w:rPr>
              <w:t xml:space="preserve">Source documents</w:t>
            </w:r>
          </w:p>
        </w:tc>
        <w:tc>
          <w:tcPr>
            <w:tcW w:type="dxa" w:w="1500"/>
            <w:tcMar>
              <w:top w:type="dxa" w:w="70"/>
              <w:left w:type="dxa" w:w="110"/>
              <w:bottom w:type="dxa" w:w="70"/>
              <w:right w:type="dxa" w:w="110"/>
            </w:tcMar>
          </w:tcPr>
          <w:p>
            <w:pPr>
              <w:spacing w:after="0" w:line="264"/>
              <w:jc w:val="right"/>
            </w:pPr>
            <w:r>
              <w:rPr>
                <w:sz w:val="19"/>
                <w:szCs w:val="19"/>
              </w:rPr>
              <w:t xml:space="preserve">87</w:t>
            </w:r>
          </w:p>
        </w:tc>
        <w:tc>
          <w:tcPr>
            <w:tcW w:type="dxa" w:w="5300"/>
            <w:tcMar>
              <w:top w:type="dxa" w:w="70"/>
              <w:left w:type="dxa" w:w="110"/>
              <w:bottom w:type="dxa" w:w="70"/>
              <w:right w:type="dxa" w:w="110"/>
            </w:tcMar>
          </w:tcPr>
          <w:p>
            <w:pPr>
              <w:spacing w:after="0" w:line="264"/>
            </w:pPr>
            <w:r>
              <w:rPr>
                <w:sz w:val="19"/>
                <w:szCs w:val="19"/>
              </w:rPr>
              <w:t xml:space="preserve">Transcripts, emails, tickets, notes, renewal tables</w:t>
            </w:r>
          </w:p>
        </w:tc>
      </w:tr>
      <w:tr>
        <w:tc>
          <w:tcPr>
            <w:tcW w:type="dxa" w:w="2300"/>
            <w:tcMar>
              <w:top w:type="dxa" w:w="70"/>
              <w:left w:type="dxa" w:w="110"/>
              <w:bottom w:type="dxa" w:w="70"/>
              <w:right w:type="dxa" w:w="110"/>
            </w:tcMar>
          </w:tcPr>
          <w:p>
            <w:pPr>
              <w:spacing w:after="0" w:line="264"/>
            </w:pPr>
            <w:r>
              <w:rPr>
                <w:sz w:val="19"/>
                <w:szCs w:val="19"/>
              </w:rPr>
              <w:t xml:space="preserve">Usage months</w:t>
            </w:r>
          </w:p>
        </w:tc>
        <w:tc>
          <w:tcPr>
            <w:tcW w:type="dxa" w:w="1500"/>
            <w:tcMar>
              <w:top w:type="dxa" w:w="70"/>
              <w:left w:type="dxa" w:w="110"/>
              <w:bottom w:type="dxa" w:w="70"/>
              <w:right w:type="dxa" w:w="110"/>
            </w:tcMar>
          </w:tcPr>
          <w:p>
            <w:pPr>
              <w:spacing w:after="0" w:line="264"/>
              <w:jc w:val="right"/>
            </w:pPr>
            <w:r>
              <w:rPr>
                <w:sz w:val="19"/>
                <w:szCs w:val="19"/>
              </w:rPr>
              <w:t xml:space="preserve">70</w:t>
            </w:r>
          </w:p>
        </w:tc>
        <w:tc>
          <w:tcPr>
            <w:tcW w:type="dxa" w:w="5300"/>
            <w:tcMar>
              <w:top w:type="dxa" w:w="70"/>
              <w:left w:type="dxa" w:w="110"/>
              <w:bottom w:type="dxa" w:w="70"/>
              <w:right w:type="dxa" w:w="110"/>
            </w:tcMar>
          </w:tcPr>
          <w:p>
            <w:pPr>
              <w:spacing w:after="0" w:line="264"/>
            </w:pPr>
            <w:r>
              <w:rPr>
                <w:sz w:val="19"/>
                <w:szCs w:val="19"/>
              </w:rPr>
              <w:t xml:space="preserve">Flight hours and mission counts</w:t>
            </w:r>
          </w:p>
        </w:tc>
      </w:tr>
      <w:tr>
        <w:tc>
          <w:tcPr>
            <w:tcW w:type="dxa" w:w="2300"/>
            <w:tcMar>
              <w:top w:type="dxa" w:w="70"/>
              <w:left w:type="dxa" w:w="110"/>
              <w:bottom w:type="dxa" w:w="70"/>
              <w:right w:type="dxa" w:w="110"/>
            </w:tcMar>
          </w:tcPr>
          <w:p>
            <w:pPr>
              <w:spacing w:after="0" w:line="264"/>
            </w:pPr>
            <w:r>
              <w:rPr>
                <w:sz w:val="19"/>
                <w:szCs w:val="19"/>
              </w:rPr>
              <w:t xml:space="preserve">Change events</w:t>
            </w:r>
          </w:p>
        </w:tc>
        <w:tc>
          <w:tcPr>
            <w:tcW w:type="dxa" w:w="1500"/>
            <w:tcMar>
              <w:top w:type="dxa" w:w="70"/>
              <w:left w:type="dxa" w:w="110"/>
              <w:bottom w:type="dxa" w:w="70"/>
              <w:right w:type="dxa" w:w="110"/>
            </w:tcMar>
          </w:tcPr>
          <w:p>
            <w:pPr>
              <w:spacing w:after="0" w:line="264"/>
              <w:jc w:val="right"/>
            </w:pPr>
            <w:r>
              <w:rPr>
                <w:sz w:val="19"/>
                <w:szCs w:val="19"/>
              </w:rPr>
              <w:t xml:space="preserve">171</w:t>
            </w:r>
          </w:p>
        </w:tc>
        <w:tc>
          <w:tcPr>
            <w:tcW w:type="dxa" w:w="5300"/>
            <w:tcMar>
              <w:top w:type="dxa" w:w="70"/>
              <w:left w:type="dxa" w:w="110"/>
              <w:bottom w:type="dxa" w:w="70"/>
              <w:right w:type="dxa" w:w="110"/>
            </w:tcMar>
          </w:tcPr>
          <w:p>
            <w:pPr>
              <w:spacing w:after="0" w:line="264"/>
            </w:pPr>
            <w:r>
              <w:rPr>
                <w:sz w:val="19"/>
                <w:szCs w:val="19"/>
              </w:rPr>
              <w:t xml:space="preserve">Append-only record of what the system noticed</w:t>
            </w:r>
          </w:p>
        </w:tc>
      </w:tr>
      <w:tr>
        <w:tc>
          <w:tcPr>
            <w:tcW w:type="dxa" w:w="2300"/>
            <w:tcMar>
              <w:top w:type="dxa" w:w="70"/>
              <w:left w:type="dxa" w:w="110"/>
              <w:bottom w:type="dxa" w:w="70"/>
              <w:right w:type="dxa" w:w="110"/>
            </w:tcMar>
          </w:tcPr>
          <w:p>
            <w:pPr>
              <w:spacing w:after="0" w:line="264"/>
            </w:pPr>
            <w:r>
              <w:rPr>
                <w:sz w:val="19"/>
                <w:szCs w:val="19"/>
              </w:rPr>
              <w:t xml:space="preserve">Portfolio ARR</w:t>
            </w:r>
          </w:p>
        </w:tc>
        <w:tc>
          <w:tcPr>
            <w:tcW w:type="dxa" w:w="1500"/>
            <w:tcMar>
              <w:top w:type="dxa" w:w="70"/>
              <w:left w:type="dxa" w:w="110"/>
              <w:bottom w:type="dxa" w:w="70"/>
              <w:right w:type="dxa" w:w="110"/>
            </w:tcMar>
          </w:tcPr>
          <w:p>
            <w:pPr>
              <w:spacing w:after="0" w:line="264"/>
              <w:jc w:val="right"/>
            </w:pPr>
            <w:r>
              <w:rPr>
                <w:sz w:val="19"/>
                <w:szCs w:val="19"/>
              </w:rPr>
              <w:t xml:space="preserve">$222,226</w:t>
            </w:r>
          </w:p>
        </w:tc>
        <w:tc>
          <w:tcPr>
            <w:tcW w:type="dxa" w:w="5300"/>
            <w:tcMar>
              <w:top w:type="dxa" w:w="70"/>
              <w:left w:type="dxa" w:w="110"/>
              <w:bottom w:type="dxa" w:w="70"/>
              <w:right w:type="dxa" w:w="110"/>
            </w:tcMar>
          </w:tcPr>
          <w:p>
            <w:pPr>
              <w:spacing w:after="0" w:line="264"/>
            </w:pPr>
            <w:r>
              <w:rPr>
                <w:sz w:val="19"/>
                <w:szCs w:val="19"/>
              </w:rPr>
              <w:t xml:space="preserve">Sum across all accounts</w:t>
            </w:r>
          </w:p>
        </w:tc>
      </w:tr>
      <w:tr>
        <w:tc>
          <w:tcPr>
            <w:tcW w:type="dxa" w:w="2300"/>
            <w:tcMar>
              <w:top w:type="dxa" w:w="70"/>
              <w:left w:type="dxa" w:w="110"/>
              <w:bottom w:type="dxa" w:w="70"/>
              <w:right w:type="dxa" w:w="110"/>
            </w:tcMar>
          </w:tcPr>
          <w:p>
            <w:pPr>
              <w:spacing w:after="0" w:line="264"/>
            </w:pPr>
            <w:r>
              <w:rPr>
                <w:sz w:val="19"/>
                <w:szCs w:val="19"/>
              </w:rPr>
              <w:t xml:space="preserve">ARR at risk</w:t>
            </w:r>
          </w:p>
        </w:tc>
        <w:tc>
          <w:tcPr>
            <w:tcW w:type="dxa" w:w="1500"/>
            <w:tcMar>
              <w:top w:type="dxa" w:w="70"/>
              <w:left w:type="dxa" w:w="110"/>
              <w:bottom w:type="dxa" w:w="70"/>
              <w:right w:type="dxa" w:w="110"/>
            </w:tcMar>
          </w:tcPr>
          <w:p>
            <w:pPr>
              <w:spacing w:after="0" w:line="264"/>
              <w:jc w:val="right"/>
            </w:pPr>
            <w:r>
              <w:rPr>
                <w:sz w:val="19"/>
                <w:szCs w:val="19"/>
              </w:rPr>
              <w:t xml:space="preserve">$56,784</w:t>
            </w:r>
          </w:p>
        </w:tc>
        <w:tc>
          <w:tcPr>
            <w:tcW w:type="dxa" w:w="5300"/>
            <w:tcMar>
              <w:top w:type="dxa" w:w="70"/>
              <w:left w:type="dxa" w:w="110"/>
              <w:bottom w:type="dxa" w:w="70"/>
              <w:right w:type="dxa" w:w="110"/>
            </w:tcMar>
          </w:tcPr>
          <w:p>
            <w:pPr>
              <w:spacing w:after="0" w:line="264"/>
            </w:pPr>
            <w:r>
              <w:rPr>
                <w:sz w:val="19"/>
                <w:szCs w:val="19"/>
              </w:rPr>
              <w:t xml:space="preserve">Severity-weighted, only where there is a stated reason</w:t>
            </w:r>
          </w:p>
        </w:tc>
      </w:tr>
      <w:tr>
        <w:tc>
          <w:tcPr>
            <w:tcW w:type="dxa" w:w="2300"/>
            <w:tcMar>
              <w:top w:type="dxa" w:w="70"/>
              <w:left w:type="dxa" w:w="110"/>
              <w:bottom w:type="dxa" w:w="70"/>
              <w:right w:type="dxa" w:w="110"/>
            </w:tcMar>
          </w:tcPr>
          <w:p>
            <w:pPr>
              <w:spacing w:after="0" w:line="264"/>
            </w:pPr>
            <w:r>
              <w:rPr>
                <w:sz w:val="19"/>
                <w:szCs w:val="19"/>
              </w:rPr>
              <w:t xml:space="preserve">High-severity flags</w:t>
            </w:r>
          </w:p>
        </w:tc>
        <w:tc>
          <w:tcPr>
            <w:tcW w:type="dxa" w:w="1500"/>
            <w:tcMar>
              <w:top w:type="dxa" w:w="70"/>
              <w:left w:type="dxa" w:w="110"/>
              <w:bottom w:type="dxa" w:w="70"/>
              <w:right w:type="dxa" w:w="110"/>
            </w:tcMar>
          </w:tcPr>
          <w:p>
            <w:pPr>
              <w:spacing w:after="0" w:line="264"/>
              <w:jc w:val="right"/>
            </w:pPr>
            <w:r>
              <w:rPr>
                <w:sz w:val="19"/>
                <w:szCs w:val="19"/>
              </w:rPr>
              <w:t xml:space="preserve">3</w:t>
            </w:r>
          </w:p>
        </w:tc>
        <w:tc>
          <w:tcPr>
            <w:tcW w:type="dxa" w:w="5300"/>
            <w:tcMar>
              <w:top w:type="dxa" w:w="70"/>
              <w:left w:type="dxa" w:w="110"/>
              <w:bottom w:type="dxa" w:w="70"/>
              <w:right w:type="dxa" w:w="110"/>
            </w:tcMar>
          </w:tcPr>
          <w:p>
            <w:pPr>
              <w:spacing w:after="0" w:line="264"/>
            </w:pPr>
            <w:r>
              <w:rPr>
                <w:sz w:val="19"/>
                <w:szCs w:val="19"/>
              </w:rPr>
              <w:t xml:space="preserve">CRM label contradicted by flight data</w:t>
            </w:r>
          </w:p>
        </w:tc>
      </w:tr>
      <w:tr>
        <w:tc>
          <w:tcPr>
            <w:tcW w:type="dxa" w:w="2300"/>
            <w:tcMar>
              <w:top w:type="dxa" w:w="70"/>
              <w:left w:type="dxa" w:w="110"/>
              <w:bottom w:type="dxa" w:w="70"/>
              <w:right w:type="dxa" w:w="110"/>
            </w:tcMar>
          </w:tcPr>
          <w:p>
            <w:pPr>
              <w:spacing w:after="0" w:line="264"/>
            </w:pPr>
            <w:r>
              <w:rPr>
                <w:sz w:val="19"/>
                <w:szCs w:val="19"/>
              </w:rPr>
              <w:t xml:space="preserve">Tests</w:t>
            </w:r>
          </w:p>
        </w:tc>
        <w:tc>
          <w:tcPr>
            <w:tcW w:type="dxa" w:w="1500"/>
            <w:tcMar>
              <w:top w:type="dxa" w:w="70"/>
              <w:left w:type="dxa" w:w="110"/>
              <w:bottom w:type="dxa" w:w="70"/>
              <w:right w:type="dxa" w:w="110"/>
            </w:tcMar>
          </w:tcPr>
          <w:p>
            <w:pPr>
              <w:spacing w:after="0" w:line="264"/>
              <w:jc w:val="right"/>
            </w:pPr>
            <w:r>
              <w:rPr>
                <w:sz w:val="19"/>
                <w:szCs w:val="19"/>
              </w:rPr>
              <w:t xml:space="preserve">85</w:t>
            </w:r>
          </w:p>
        </w:tc>
        <w:tc>
          <w:tcPr>
            <w:tcW w:type="dxa" w:w="5300"/>
            <w:tcMar>
              <w:top w:type="dxa" w:w="70"/>
              <w:left w:type="dxa" w:w="110"/>
              <w:bottom w:type="dxa" w:w="70"/>
              <w:right w:type="dxa" w:w="110"/>
            </w:tcMar>
          </w:tcPr>
          <w:p>
            <w:pPr>
              <w:spacing w:after="0" w:line="264"/>
            </w:pPr>
            <w:r>
              <w:rPr>
                <w:sz w:val="19"/>
                <w:szCs w:val="19"/>
              </w:rPr>
              <w:t xml:space="preserve">Plus 1 skipped pending a reachable Postgres URL</w:t>
            </w:r>
          </w:p>
        </w:tc>
      </w:tr>
    </w:tbl>
    <w:p>
      <w:r>
        <w:br w:type="page"/>
      </w:r>
    </w:p>
    <w:p>
      <w:pPr>
        <w:pStyle w:val="Heading1"/>
        <w:spacing w:after="160" w:before="380"/>
      </w:pPr>
      <w:r>
        <w:rPr>
          <w:b/>
          <w:bCs/>
          <w:color w:val="1F4E79"/>
          <w:sz w:val="30"/>
          <w:szCs w:val="30"/>
        </w:rPr>
        <w:t xml:space="preserve">1. Developer side</w:t>
      </w:r>
    </w:p>
    <w:p>
      <w:pPr>
        <w:spacing w:after="170" w:line="288"/>
      </w:pPr>
      <w:r>
        <w:rPr>
          <w:color w:val="595959"/>
          <w:sz w:val="21"/>
          <w:szCs w:val="21"/>
        </w:rPr>
        <w:t xml:space="preserve">These are the engineering decisions that shaped everything else. If you only remember one, make it the first.</w:t>
      </w:r>
    </w:p>
    <w:p>
      <w:pPr>
        <w:pStyle w:val="Heading2"/>
        <w:spacing w:after="110" w:before="260"/>
      </w:pPr>
      <w:r>
        <w:rPr>
          <w:b/>
          <w:bCs/>
          <w:color w:val="000000"/>
          <w:sz w:val="23"/>
          <w:szCs w:val="23"/>
        </w:rPr>
        <w:t xml:space="preserve">1.1 Claims are the middle layer — not raw documents</w:t>
      </w:r>
    </w:p>
    <w:p>
      <w:pPr>
        <w:spacing w:after="120" w:line="288"/>
      </w:pPr>
      <w:r>
        <w:rPr>
          <w:sz w:val="21"/>
          <w:szCs w:val="21"/>
        </w:rPr>
        <w:t xml:space="preserve">The obvious design is to pipe every document for an account into one large prompt and ask for an analysis. That works perfectly at 9 AM and collapses the moment the data changes, because one new transcript forces a full re-read of everything.</w:t>
      </w:r>
    </w:p>
    <w:p>
      <w:pPr>
        <w:spacing w:after="120" w:line="288"/>
      </w:pPr>
      <w:r>
        <w:rPr>
          <w:sz w:val="21"/>
          <w:szCs w:val="21"/>
        </w:rPr>
        <w:t xml:space="preserve">Instead, each document is extracted once into atomic claims. A claim is one assertion, one source document, one verbatim quote. Three consequences follow:</w:t>
      </w:r>
    </w:p>
    <w:p>
      <w:pPr>
        <w:pStyle w:val="ListParagraph"/>
        <w:numPr>
          <w:ilvl w:val="0"/>
          <w:numId w:val="2"/>
        </w:numPr>
        <w:spacing w:after="70" w:line="288"/>
      </w:pPr>
      <w:r>
        <w:rPr>
          <w:b/>
          <w:bCs/>
          <w:sz w:val="21"/>
          <w:szCs w:val="21"/>
        </w:rPr>
        <w:t xml:space="preserve">Re-running is nearly free. </w:t>
      </w:r>
      <w:r>
        <w:rPr>
          <w:sz w:val="21"/>
          <w:szCs w:val="21"/>
        </w:rPr>
        <w:t xml:space="preserve">Unchanged documents are skipped by content hash, so a poll over a quiet portfolio does zero model work.</w:t>
      </w:r>
    </w:p>
    <w:p>
      <w:pPr>
        <w:pStyle w:val="ListParagraph"/>
        <w:numPr>
          <w:ilvl w:val="0"/>
          <w:numId w:val="2"/>
        </w:numPr>
        <w:spacing w:after="70" w:line="288"/>
      </w:pPr>
      <w:r>
        <w:rPr>
          <w:b/>
          <w:bCs/>
          <w:sz w:val="21"/>
          <w:szCs w:val="21"/>
        </w:rPr>
        <w:t xml:space="preserve">A new document re-reasons one account, not fourteen. </w:t>
      </w:r>
      <w:r>
        <w:rPr>
          <w:sz w:val="21"/>
          <w:szCs w:val="21"/>
        </w:rPr>
        <w:t xml:space="preserve">The delta names exactly which accounts moved.</w:t>
      </w:r>
    </w:p>
    <w:p>
      <w:pPr>
        <w:pStyle w:val="ListParagraph"/>
        <w:numPr>
          <w:ilvl w:val="0"/>
          <w:numId w:val="2"/>
        </w:numPr>
        <w:spacing w:after="70" w:line="288"/>
      </w:pPr>
      <w:r>
        <w:rPr>
          <w:b/>
          <w:bCs/>
          <w:sz w:val="21"/>
          <w:szCs w:val="21"/>
        </w:rPr>
        <w:t xml:space="preserve">The evidence trail is not a feature — it is the shape of the data. </w:t>
      </w:r>
      <w:r>
        <w:rPr>
          <w:sz w:val="21"/>
          <w:szCs w:val="21"/>
        </w:rPr>
        <w:t xml:space="preserve">Every claim already knows what it came from.</w:t>
      </w:r>
    </w:p>
    <w:p>
      <w:pPr>
        <w:pStyle w:val="Heading2"/>
        <w:spacing w:after="110" w:before="260"/>
      </w:pPr>
      <w:r>
        <w:rPr>
          <w:b/>
          <w:bCs/>
          <w:color w:val="000000"/>
          <w:sz w:val="23"/>
          <w:szCs w:val="23"/>
        </w:rPr>
        <w:t xml:space="preserve">1.2 What the LLM decides, and what I refused to let it decide</w:t>
      </w:r>
    </w:p>
    <w:p>
      <w:pPr>
        <w:spacing w:after="120" w:line="288"/>
      </w:pPr>
      <w:r>
        <w:rPr>
          <w:sz w:val="21"/>
          <w:szCs w:val="21"/>
        </w:rPr>
        <w:t xml:space="preserve">This is the strongest thing you can say about the build. State it plainly.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600"/>
        <w:gridCol w:w="4500"/>
      </w:tblGrid>
      <w:tr>
        <w:trPr>
          <w:tblHeader/>
        </w:trPr>
        <w:tc>
          <w:tcPr>
            <w:tcW w:type="dxa" w:w="4600"/>
            <w:shd w:fill="E8EEF5" w:color="auto" w:val="clear"/>
            <w:tcMar>
              <w:top w:type="dxa" w:w="70"/>
              <w:left w:type="dxa" w:w="110"/>
              <w:bottom w:type="dxa" w:w="70"/>
              <w:right w:type="dxa" w:w="110"/>
            </w:tcMar>
          </w:tcPr>
          <w:p>
            <w:pPr>
              <w:spacing w:after="0" w:line="264"/>
            </w:pPr>
            <w:r>
              <w:rPr>
                <w:b/>
                <w:bCs/>
                <w:sz w:val="19"/>
                <w:szCs w:val="19"/>
              </w:rPr>
              <w:t xml:space="preserve">Deterministic Python — no model</w:t>
            </w:r>
          </w:p>
        </w:tc>
        <w:tc>
          <w:tcPr>
            <w:tcW w:type="dxa" w:w="4500"/>
            <w:shd w:fill="E8EEF5" w:color="auto" w:val="clear"/>
            <w:tcMar>
              <w:top w:type="dxa" w:w="70"/>
              <w:left w:type="dxa" w:w="110"/>
              <w:bottom w:type="dxa" w:w="70"/>
              <w:right w:type="dxa" w:w="110"/>
            </w:tcMar>
          </w:tcPr>
          <w:p>
            <w:pPr>
              <w:spacing w:after="0" w:line="264"/>
            </w:pPr>
            <w:r>
              <w:rPr>
                <w:b/>
                <w:bCs/>
                <w:sz w:val="19"/>
                <w:szCs w:val="19"/>
              </w:rPr>
              <w:t xml:space="preserve">The model</w:t>
            </w:r>
          </w:p>
        </w:tc>
      </w:tr>
      <w:tr>
        <w:tc>
          <w:tcPr>
            <w:tcW w:type="dxa" w:w="4600"/>
            <w:tcMar>
              <w:top w:type="dxa" w:w="70"/>
              <w:left w:type="dxa" w:w="110"/>
              <w:bottom w:type="dxa" w:w="70"/>
              <w:right w:type="dxa" w:w="110"/>
            </w:tcMar>
          </w:tcPr>
          <w:p>
            <w:pPr>
              <w:spacing w:after="0" w:line="264"/>
            </w:pPr>
            <w:r>
              <w:rPr>
                <w:sz w:val="19"/>
                <w:szCs w:val="19"/>
              </w:rPr>
              <w:t xml:space="preserve">Usage trend and slope</w:t>
            </w:r>
          </w:p>
        </w:tc>
        <w:tc>
          <w:tcPr>
            <w:tcW w:type="dxa" w:w="4500"/>
            <w:tcMar>
              <w:top w:type="dxa" w:w="70"/>
              <w:left w:type="dxa" w:w="110"/>
              <w:bottom w:type="dxa" w:w="70"/>
              <w:right w:type="dxa" w:w="110"/>
            </w:tcMar>
          </w:tcPr>
          <w:p>
            <w:pPr>
              <w:spacing w:after="0" w:line="264"/>
            </w:pPr>
            <w:r>
              <w:rPr>
                <w:sz w:val="19"/>
                <w:szCs w:val="19"/>
              </w:rPr>
              <w:t xml:space="preserve">Role inference from transcripts</w:t>
            </w:r>
          </w:p>
        </w:tc>
      </w:tr>
      <w:tr>
        <w:tc>
          <w:tcPr>
            <w:tcW w:type="dxa" w:w="4600"/>
            <w:tcMar>
              <w:top w:type="dxa" w:w="70"/>
              <w:left w:type="dxa" w:w="110"/>
              <w:bottom w:type="dxa" w:w="70"/>
              <w:right w:type="dxa" w:w="110"/>
            </w:tcMar>
          </w:tcPr>
          <w:p>
            <w:pPr>
              <w:spacing w:after="0" w:line="264"/>
            </w:pPr>
            <w:r>
              <w:rPr>
                <w:sz w:val="19"/>
                <w:szCs w:val="19"/>
              </w:rPr>
              <w:t xml:space="preserve">Days since last contact</w:t>
            </w:r>
          </w:p>
        </w:tc>
        <w:tc>
          <w:tcPr>
            <w:tcW w:type="dxa" w:w="4500"/>
            <w:tcMar>
              <w:top w:type="dxa" w:w="70"/>
              <w:left w:type="dxa" w:w="110"/>
              <w:bottom w:type="dxa" w:w="70"/>
              <w:right w:type="dxa" w:w="110"/>
            </w:tcMar>
          </w:tcPr>
          <w:p>
            <w:pPr>
              <w:spacing w:after="0" w:line="264"/>
            </w:pPr>
            <w:r>
              <w:rPr>
                <w:sz w:val="19"/>
                <w:szCs w:val="19"/>
              </w:rPr>
              <w:t xml:space="preserve">Sentiment and frustration</w:t>
            </w:r>
          </w:p>
        </w:tc>
      </w:tr>
      <w:tr>
        <w:tc>
          <w:tcPr>
            <w:tcW w:type="dxa" w:w="4600"/>
            <w:tcMar>
              <w:top w:type="dxa" w:w="70"/>
              <w:left w:type="dxa" w:w="110"/>
              <w:bottom w:type="dxa" w:w="70"/>
              <w:right w:type="dxa" w:w="110"/>
            </w:tcMar>
          </w:tcPr>
          <w:p>
            <w:pPr>
              <w:spacing w:after="0" w:line="264"/>
            </w:pPr>
            <w:r>
              <w:rPr>
                <w:sz w:val="19"/>
                <w:szCs w:val="19"/>
              </w:rPr>
              <w:t xml:space="preserve">Renewal countdown</w:t>
            </w:r>
          </w:p>
        </w:tc>
        <w:tc>
          <w:tcPr>
            <w:tcW w:type="dxa" w:w="4500"/>
            <w:tcMar>
              <w:top w:type="dxa" w:w="70"/>
              <w:left w:type="dxa" w:w="110"/>
              <w:bottom w:type="dxa" w:w="70"/>
              <w:right w:type="dxa" w:w="110"/>
            </w:tcMar>
          </w:tcPr>
          <w:p>
            <w:pPr>
              <w:spacing w:after="0" w:line="264"/>
            </w:pPr>
            <w:r>
              <w:rPr>
                <w:sz w:val="19"/>
                <w:szCs w:val="19"/>
              </w:rPr>
              <w:t xml:space="preserve">Risk and opportunity classification</w:t>
            </w:r>
          </w:p>
        </w:tc>
      </w:tr>
      <w:tr>
        <w:tc>
          <w:tcPr>
            <w:tcW w:type="dxa" w:w="4600"/>
            <w:tcMar>
              <w:top w:type="dxa" w:w="70"/>
              <w:left w:type="dxa" w:w="110"/>
              <w:bottom w:type="dxa" w:w="70"/>
              <w:right w:type="dxa" w:w="110"/>
            </w:tcMar>
          </w:tcPr>
          <w:p>
            <w:pPr>
              <w:spacing w:after="0" w:line="264"/>
            </w:pPr>
            <w:r>
              <w:rPr>
                <w:sz w:val="19"/>
                <w:szCs w:val="19"/>
              </w:rPr>
              <w:t xml:space="preserve">ARR and ARR-at-risk arithmetic</w:t>
            </w:r>
          </w:p>
        </w:tc>
        <w:tc>
          <w:tcPr>
            <w:tcW w:type="dxa" w:w="4500"/>
            <w:tcMar>
              <w:top w:type="dxa" w:w="70"/>
              <w:left w:type="dxa" w:w="110"/>
              <w:bottom w:type="dxa" w:w="70"/>
              <w:right w:type="dxa" w:w="110"/>
            </w:tcMar>
          </w:tcPr>
          <w:p>
            <w:pPr>
              <w:spacing w:after="0" w:line="264"/>
            </w:pPr>
            <w:r>
              <w:rPr>
                <w:sz w:val="19"/>
                <w:szCs w:val="19"/>
              </w:rPr>
              <w:t xml:space="preserve">Churn-cause reasoning</w:t>
            </w:r>
          </w:p>
        </w:tc>
      </w:tr>
      <w:tr>
        <w:tc>
          <w:tcPr>
            <w:tcW w:type="dxa" w:w="4600"/>
            <w:tcMar>
              <w:top w:type="dxa" w:w="70"/>
              <w:left w:type="dxa" w:w="110"/>
              <w:bottom w:type="dxa" w:w="70"/>
              <w:right w:type="dxa" w:w="110"/>
            </w:tcMar>
          </w:tcPr>
          <w:p>
            <w:pPr>
              <w:spacing w:after="0" w:line="264"/>
            </w:pPr>
            <w:r>
              <w:rPr>
                <w:sz w:val="19"/>
                <w:szCs w:val="19"/>
              </w:rPr>
              <w:t xml:space="preserve">Content hashing and delta computation</w:t>
            </w:r>
          </w:p>
        </w:tc>
        <w:tc>
          <w:tcPr>
            <w:tcW w:type="dxa" w:w="4500"/>
            <w:tcMar>
              <w:top w:type="dxa" w:w="70"/>
              <w:left w:type="dxa" w:w="110"/>
              <w:bottom w:type="dxa" w:w="70"/>
              <w:right w:type="dxa" w:w="110"/>
            </w:tcMar>
          </w:tcPr>
          <w:p>
            <w:pPr>
              <w:spacing w:after="0" w:line="264"/>
            </w:pPr>
            <w:r>
              <w:rPr>
                <w:sz w:val="19"/>
                <w:szCs w:val="19"/>
              </w:rPr>
              <w:t xml:space="preserve">Which quote supports which claim</w:t>
            </w:r>
          </w:p>
        </w:tc>
      </w:tr>
    </w:tbl>
    <w:p>
      <w:pPr>
        <w:spacing w:after="60" w:line="288"/>
      </w:pPr>
      <w:r>
        <w:rPr>
          <w:sz w:val="21"/>
          <w:szCs w:val="21"/>
        </w:rPr>
        <w:t xml:space="preserve">A language model computing a revenue forecast is a bug, not a feature. The metrics layer computes the numbers and hands them to the reasoning layer as given facts.</w:t>
      </w:r>
    </w:p>
    <w:p>
      <w:pPr>
        <w:pStyle w:val="Heading2"/>
        <w:spacing w:after="110" w:before="260"/>
      </w:pPr>
      <w:r>
        <w:rPr>
          <w:b/>
          <w:bCs/>
          <w:color w:val="000000"/>
          <w:sz w:val="23"/>
          <w:szCs w:val="23"/>
        </w:rPr>
        <w:t xml:space="preserve">1.3 Absence is only evidence of deletion when the fetch succeeded</w:t>
      </w:r>
    </w:p>
    <w:p>
      <w:pPr>
        <w:spacing w:after="120" w:line="288"/>
      </w:pPr>
      <w:r>
        <w:rPr>
          <w:sz w:val="21"/>
          <w:szCs w:val="21"/>
        </w:rPr>
        <w:t xml:space="preserve">The brief warned that a document would be withdrawn. The naive implementation tombstones anything missing from the latest fetch — which means a transient 502 reads as "every document was deleted" and wipes the portfolio, while the change feed cheerfully reports success.</w:t>
      </w:r>
    </w:p>
    <w:p>
      <w:pPr>
        <w:spacing w:after="120" w:line="288"/>
      </w:pPr>
      <w:r>
        <w:rPr>
          <w:sz w:val="21"/>
          <w:szCs w:val="21"/>
        </w:rPr>
        <w:t xml:space="preserve">Every removal check is gated on a completeness flag. A failed fetch degrades one account instead of corrupting all fourteen. There is a test named for exactly this.</w:t>
      </w:r>
    </w:p>
    <w:p>
      <w:pPr>
        <w:pStyle w:val="Heading2"/>
        <w:spacing w:after="110" w:before="260"/>
      </w:pPr>
      <w:r>
        <w:rPr>
          <w:b/>
          <w:bCs/>
          <w:color w:val="000000"/>
          <w:sz w:val="23"/>
          <w:szCs w:val="23"/>
        </w:rPr>
        <w:t xml:space="preserve">1.4 Deletion withdraws conclusions, not just documents</w:t>
      </w:r>
    </w:p>
    <w:p>
      <w:pPr>
        <w:spacing w:after="120" w:line="288"/>
      </w:pPr>
      <w:r>
        <w:rPr>
          <w:sz w:val="21"/>
          <w:szCs w:val="21"/>
        </w:rPr>
        <w:t xml:space="preserve">When a document disappears upstream, the claims it supported are retracted — kept as rows, marked retracted, with the reason. The account is re-scored without that evidence and the retraction is itself a visible event.</w:t>
      </w:r>
    </w:p>
    <w:p>
      <w:pPr>
        <w:spacing w:after="120" w:line="288"/>
      </w:pPr>
      <w:r>
        <w:rPr>
          <w:sz w:val="21"/>
          <w:szCs w:val="21"/>
        </w:rPr>
        <w:t xml:space="preserve">Restore is deliberately conservative: a document that reappears reinstates its claims only if the text is byte-identical. If it comes back edited, the old claims stay retracted and re-extraction produces fresh ones.</w:t>
      </w:r>
    </w:p>
    <w:p>
      <w:pPr>
        <w:pStyle w:val="Heading2"/>
        <w:spacing w:after="110" w:before="260"/>
      </w:pPr>
      <w:r>
        <w:rPr>
          <w:b/>
          <w:bCs/>
          <w:color w:val="000000"/>
          <w:sz w:val="23"/>
          <w:szCs w:val="23"/>
        </w:rPr>
        <w:t xml:space="preserve">1.5 Hallucinated evidence cannot be written</w:t>
      </w:r>
    </w:p>
    <w:p>
      <w:pPr>
        <w:spacing w:after="120" w:line="288"/>
      </w:pPr>
      <w:r>
        <w:rPr>
          <w:sz w:val="21"/>
          <w:szCs w:val="21"/>
        </w:rPr>
        <w:t xml:space="preserve">Before a claim is stored, its quote must be found in the source document (whitespace-normalised, so line reflow does not cause false rejects). The first real extraction run rejected 13% of claims on exactly this basis.</w:t>
      </w:r>
    </w:p>
    <w:p>
      <w:pPr>
        <w:spacing w:after="120" w:line="288"/>
      </w:pPr>
      <w:r>
        <w:rPr>
          <w:i/>
          <w:iCs/>
          <w:sz w:val="21"/>
          <w:szCs w:val="21"/>
        </w:rPr>
        <w:t xml:space="preserve">Say that number out loud in the demo. A non-zero rejection rate is evidence the guard is load-bearing, not decorative.</w:t>
      </w:r>
    </w:p>
    <w:p>
      <w:pPr>
        <w:pStyle w:val="Heading2"/>
        <w:spacing w:after="110" w:before="260"/>
      </w:pPr>
      <w:r>
        <w:rPr>
          <w:b/>
          <w:bCs/>
          <w:color w:val="000000"/>
          <w:sz w:val="23"/>
          <w:szCs w:val="23"/>
        </w:rPr>
        <w:t xml:space="preserve">1.6 Discovering the data source was itself a finding</w:t>
      </w:r>
    </w:p>
    <w:p>
      <w:pPr>
        <w:spacing w:after="120" w:line="288"/>
      </w:pPr>
      <w:r>
        <w:rPr>
          <w:sz w:val="21"/>
          <w:szCs w:val="21"/>
        </w:rPr>
        <w:t xml:space="preserve">The "read-only API" is not REST. It is an MCP server speaking JSON-RPC over HTTP POST at a single endpoint. Every GET returned HTTP 500 until that was established. A second trap: the API key already contains its own "Bearer " prefix, so the conventional Authorization header produced "Bearer Bearer ..." and a 401.</w:t>
      </w:r>
    </w:p>
    <w:p>
      <w:pPr>
        <w:spacing w:after="120" w:line="288"/>
      </w:pPr>
      <w:r>
        <w:rPr>
          <w:sz w:val="21"/>
          <w:szCs w:val="21"/>
        </w:rPr>
        <w:t xml:space="preserve">Both are recorded in the code so nobody re-derives them. This is worth mentioning — it shows diagnosis rather than guessing.</w:t>
      </w:r>
    </w:p>
    <w:p>
      <w:pPr>
        <w:pStyle w:val="Heading2"/>
        <w:spacing w:after="110" w:before="260"/>
      </w:pPr>
      <w:r>
        <w:rPr>
          <w:b/>
          <w:bCs/>
          <w:color w:val="000000"/>
          <w:sz w:val="23"/>
          <w:szCs w:val="23"/>
        </w:rPr>
        <w:t xml:space="preserve">1.7 Rate limits are an operating condition, not an error</w:t>
      </w:r>
    </w:p>
    <w:p>
      <w:pPr>
        <w:spacing w:after="120" w:line="288"/>
      </w:pPr>
      <w:r>
        <w:rPr>
          <w:sz w:val="21"/>
          <w:szCs w:val="21"/>
        </w:rPr>
        <w:t xml:space="preserve">Groq's free tier allows 12,000 tokens per minute. A single four-document account nearly exhausts it. The client therefore honours the server's own advertised wait, retries within a bounded budget, and runs two workers rather than six — parallel workers against a per-minute cap only race each other into 429s.</w:t>
      </w:r>
    </w:p>
    <w:p>
      <w:pPr>
        <w:spacing w:after="120" w:line="288"/>
      </w:pPr>
      <w:r>
        <w:rPr>
          <w:sz w:val="21"/>
          <w:szCs w:val="21"/>
        </w:rPr>
        <w:t xml:space="preserve">Critically, a 429 is explicitly not treated as an unsupported-format error. That would hide a quota problem as a capability problem.</w:t>
      </w:r>
    </w:p>
    <w:p>
      <w:pPr>
        <w:pStyle w:val="Heading2"/>
        <w:spacing w:after="110" w:before="260"/>
      </w:pPr>
      <w:r>
        <w:rPr>
          <w:b/>
          <w:bCs/>
          <w:color w:val="000000"/>
          <w:sz w:val="23"/>
          <w:szCs w:val="23"/>
        </w:rPr>
        <w:t xml:space="preserve">1.8 Tested where it actually runs</w:t>
      </w:r>
    </w:p>
    <w:p>
      <w:pPr>
        <w:pStyle w:val="ListParagraph"/>
        <w:numPr>
          <w:ilvl w:val="0"/>
          <w:numId w:val="2"/>
        </w:numPr>
        <w:spacing w:after="70" w:line="288"/>
      </w:pPr>
      <w:r>
        <w:rPr>
          <w:b/>
          <w:bCs/>
          <w:sz w:val="21"/>
          <w:szCs w:val="21"/>
        </w:rPr>
        <w:t xml:space="preserve">The extractor is injected, </w:t>
      </w:r>
      <w:r>
        <w:rPr>
          <w:sz w:val="21"/>
          <w:szCs w:val="21"/>
        </w:rPr>
        <w:t xml:space="preserve">so the entire pipeline is tested end to end with no API key and no network — including a deliberately hallucinating extractor and a crashing one.</w:t>
      </w:r>
    </w:p>
    <w:p>
      <w:pPr>
        <w:pStyle w:val="ListParagraph"/>
        <w:numPr>
          <w:ilvl w:val="0"/>
          <w:numId w:val="2"/>
        </w:numPr>
        <w:spacing w:after="70" w:line="288"/>
      </w:pPr>
      <w:r>
        <w:rPr>
          <w:b/>
          <w:bCs/>
          <w:sz w:val="21"/>
          <w:szCs w:val="21"/>
        </w:rPr>
        <w:t xml:space="preserve">The store speaks two dialects. </w:t>
      </w:r>
      <w:r>
        <w:rPr>
          <w:sz w:val="21"/>
          <w:szCs w:val="21"/>
        </w:rPr>
        <w:t xml:space="preserve">Tests run on SQLite in 0.2 seconds; production runs Postgres. The same suite runs against real Postgres when a URL is set, so the deployed dialect is never first exercised in production.</w:t>
      </w:r>
    </w:p>
    <w:p>
      <w:pPr>
        <w:pStyle w:val="ListParagraph"/>
        <w:numPr>
          <w:ilvl w:val="0"/>
          <w:numId w:val="2"/>
        </w:numPr>
        <w:spacing w:after="70" w:line="288"/>
      </w:pPr>
      <w:r>
        <w:rPr>
          <w:b/>
          <w:bCs/>
          <w:sz w:val="21"/>
          <w:szCs w:val="21"/>
        </w:rPr>
        <w:t xml:space="preserve">Structured output is negotiated, not assumed. </w:t>
      </w:r>
      <w:r>
        <w:rPr>
          <w:sz w:val="21"/>
          <w:szCs w:val="21"/>
        </w:rPr>
        <w:t xml:space="preserve">Groq model support for strict JSON schema varies, so the client tries strict, falls back, and validates with Pydantic either way. The validation is the guarantee.</w:t>
      </w:r>
    </w:p>
    <w:p>
      <w:r>
        <w:br w:type="page"/>
      </w:r>
    </w:p>
    <w:p>
      <w:pPr>
        <w:pStyle w:val="Heading1"/>
        <w:spacing w:after="160" w:before="380"/>
      </w:pPr>
      <w:r>
        <w:rPr>
          <w:b/>
          <w:bCs/>
          <w:color w:val="1F4E79"/>
          <w:sz w:val="30"/>
          <w:szCs w:val="30"/>
        </w:rPr>
        <w:t xml:space="preserve">2. Product side</w:t>
      </w:r>
    </w:p>
    <w:p>
      <w:pPr>
        <w:spacing w:after="170" w:line="288"/>
      </w:pPr>
      <w:r>
        <w:rPr>
          <w:color w:val="595959"/>
          <w:sz w:val="21"/>
          <w:szCs w:val="21"/>
        </w:rPr>
        <w:t xml:space="preserve">Decisions about what a GTM user sees, and what the system refuses to do on their behalf.</w:t>
      </w:r>
    </w:p>
    <w:p>
      <w:pPr>
        <w:pStyle w:val="Heading2"/>
        <w:spacing w:after="110" w:before="260"/>
      </w:pPr>
      <w:r>
        <w:rPr>
          <w:b/>
          <w:bCs/>
          <w:color w:val="000000"/>
          <w:sz w:val="23"/>
          <w:szCs w:val="23"/>
        </w:rPr>
        <w:t xml:space="preserve">2.1 Contradictions are surfaced, never reconciled</w:t>
      </w:r>
    </w:p>
    <w:p>
      <w:pPr>
        <w:spacing w:after="120" w:line="288"/>
      </w:pPr>
      <w:r>
        <w:rPr>
          <w:sz w:val="21"/>
          <w:szCs w:val="21"/>
        </w:rPr>
        <w:t xml:space="preserve">The brief said some of the data disagrees with itself. A system that quietly averages conflicting sources looks smooth and is worthless — it has proven it cannot tell the difference between agreement and disagreement.</w:t>
      </w:r>
    </w:p>
    <w:p>
      <w:pPr>
        <w:spacing w:after="120" w:line="288"/>
      </w:pPr>
      <w:r>
        <w:rPr>
          <w:sz w:val="21"/>
          <w:szCs w:val="21"/>
        </w:rPr>
        <w:t xml:space="preserve">Where two sources conflict, both are kept and the conflict is named. Falcon Point Security is the clearest case: one CRM record says lifecycle stage "churned" and health "Healthy" at the same time. The system reports both rather than picking a winner.</w:t>
      </w:r>
    </w:p>
    <w:p>
      <w:pPr>
        <w:pStyle w:val="Heading2"/>
        <w:spacing w:after="110" w:before="260"/>
      </w:pPr>
      <w:r>
        <w:rPr>
          <w:b/>
          <w:bCs/>
          <w:color w:val="000000"/>
          <w:sz w:val="23"/>
          <w:szCs w:val="23"/>
        </w:rPr>
        <w:t xml:space="preserve">2.2 Every claim is one click from its quote</w:t>
      </w:r>
    </w:p>
    <w:p>
      <w:pPr>
        <w:spacing w:after="120" w:line="288"/>
      </w:pPr>
      <w:r>
        <w:rPr>
          <w:sz w:val="21"/>
          <w:szCs w:val="21"/>
        </w:rPr>
        <w:t xml:space="preserve">The account view shows each claim beside the verbatim text it was verified against, plus the source document and date. A user never has to trust the system — they can check it in one glance. This is what "evidence, not just a label" means in practice.</w:t>
      </w:r>
    </w:p>
    <w:p>
      <w:pPr>
        <w:pStyle w:val="Heading2"/>
        <w:spacing w:after="110" w:before="260"/>
      </w:pPr>
      <w:r>
        <w:rPr>
          <w:b/>
          <w:bCs/>
          <w:color w:val="000000"/>
          <w:sz w:val="23"/>
          <w:szCs w:val="23"/>
        </w:rPr>
        <w:t xml:space="preserve">2.3 The change feed is the proof artifact</w:t>
      </w:r>
    </w:p>
    <w:p>
      <w:pPr>
        <w:spacing w:after="120" w:line="288"/>
      </w:pPr>
      <w:r>
        <w:rPr>
          <w:sz w:val="21"/>
          <w:szCs w:val="21"/>
        </w:rPr>
        <w:t xml:space="preserve">A judge cannot watch your container logs. The change feed is an append-only, timestamped, human-readable record of what the system noticed on its own, with the triggering document and the run that found it. It is the difference between claiming self-update and showing it.</w:t>
      </w:r>
    </w:p>
    <w:p>
      <w:pPr>
        <w:pStyle w:val="Heading2"/>
        <w:spacing w:after="110" w:before="260"/>
      </w:pPr>
      <w:r>
        <w:rPr>
          <w:b/>
          <w:bCs/>
          <w:color w:val="000000"/>
          <w:sz w:val="23"/>
          <w:szCs w:val="23"/>
        </w:rPr>
        <w:t xml:space="preserve">2.4 No model runs at page load</w:t>
      </w:r>
    </w:p>
    <w:p>
      <w:pPr>
        <w:spacing w:after="120" w:line="288"/>
      </w:pPr>
      <w:r>
        <w:rPr>
          <w:sz w:val="21"/>
          <w:szCs w:val="21"/>
        </w:rPr>
        <w:t xml:space="preserve">Every figure was computed before the request arrived. A page load is a few SELECTs — so the dashboard cannot be slow, cannot give different answers on refresh, and cannot cost money to look at. This also means the demo cannot fail live because of an API hiccup.</w:t>
      </w:r>
    </w:p>
    <w:p>
      <w:pPr>
        <w:pStyle w:val="Heading2"/>
        <w:spacing w:after="110" w:before="260"/>
      </w:pPr>
      <w:r>
        <w:rPr>
          <w:b/>
          <w:bCs/>
          <w:color w:val="000000"/>
          <w:sz w:val="23"/>
          <w:szCs w:val="23"/>
        </w:rPr>
        <w:t xml:space="preserve">2.5 Ranked by consequence, not alphabetically</w:t>
      </w:r>
    </w:p>
    <w:p>
      <w:pPr>
        <w:spacing w:after="120" w:line="288"/>
      </w:pPr>
      <w:r>
        <w:rPr>
          <w:sz w:val="21"/>
          <w:szCs w:val="21"/>
        </w:rPr>
        <w:t xml:space="preserve">The portfolio sorts by ARR at risk. The first row is the account that matters most. Sparklines show the flight-hour shape inline, because a trajectory is read faster as a shape than as eight numbers.</w:t>
      </w:r>
    </w:p>
    <w:p>
      <w:pPr>
        <w:pStyle w:val="Heading2"/>
        <w:spacing w:after="110" w:before="260"/>
      </w:pPr>
      <w:r>
        <w:rPr>
          <w:b/>
          <w:bCs/>
          <w:color w:val="000000"/>
          <w:sz w:val="23"/>
          <w:szCs w:val="23"/>
        </w:rPr>
        <w:t xml:space="preserve">2.6 The system fails loudly</w:t>
      </w:r>
    </w:p>
    <w:p>
      <w:pPr>
        <w:spacing w:after="120" w:line="288"/>
      </w:pPr>
      <w:r>
        <w:rPr>
          <w:sz w:val="21"/>
          <w:szCs w:val="21"/>
        </w:rPr>
        <w:t xml:space="preserve">An unattended poller quietly doing nothing is worse than one that never started, because it still looks alive. So: missing configuration exits immediately with the reason; a non-durable store warns; five consecutive failures exit non-zero so the platform restart policy surfaces the problem. One bad pass is still tolerated — that is a transient blip, not a broken deploy.</w:t>
      </w:r>
    </w:p>
    <w:p>
      <w:r>
        <w:br w:type="page"/>
      </w:r>
    </w:p>
    <w:p>
      <w:pPr>
        <w:pStyle w:val="Heading1"/>
        <w:spacing w:after="160" w:before="380"/>
      </w:pPr>
      <w:r>
        <w:rPr>
          <w:b/>
          <w:bCs/>
          <w:color w:val="1F4E79"/>
          <w:sz w:val="30"/>
          <w:szCs w:val="30"/>
        </w:rPr>
        <w:t xml:space="preserve">3. GTM side — what the data actually says</w:t>
      </w:r>
    </w:p>
    <w:p>
      <w:pPr>
        <w:spacing w:after="170" w:line="288"/>
      </w:pPr>
      <w:r>
        <w:rPr>
          <w:color w:val="595959"/>
          <w:sz w:val="21"/>
          <w:szCs w:val="21"/>
        </w:rPr>
        <w:t xml:space="preserve">These are findings, not features. Lead the demo with them.</w:t>
      </w:r>
    </w:p>
    <w:p>
      <w:pPr>
        <w:pStyle w:val="Heading2"/>
        <w:spacing w:after="110" w:before="260"/>
      </w:pPr>
      <w:r>
        <w:rPr>
          <w:b/>
          <w:bCs/>
          <w:color w:val="000000"/>
          <w:sz w:val="23"/>
          <w:szCs w:val="23"/>
        </w:rPr>
        <w:t xml:space="preserve">3.1 The headline: twelve of fourteen accounts are labelled "Healthy"</w:t>
      </w:r>
    </w:p>
    <w:p>
      <w:pPr>
        <w:spacing w:after="120" w:line="288"/>
      </w:pPr>
      <w:r>
        <w:rPr>
          <w:sz w:val="21"/>
          <w:szCs w:val="21"/>
        </w:rPr>
        <w:t xml:space="preserve">That is the tell. When almost every account carries the same label, the label carries no information — and the flight data becomes the only trustworthy signal. Three accounts are labelled Healthy while their aircraft say otherwise: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500"/>
        <w:gridCol w:w="3600"/>
      </w:tblGrid>
      <w:tr>
        <w:trPr>
          <w:tblHeader/>
        </w:trPr>
        <w:tc>
          <w:tcPr>
            <w:tcW w:type="dxa" w:w="2600"/>
            <w:shd w:fill="E8EEF5" w:color="auto" w:val="clear"/>
            <w:tcMar>
              <w:top w:type="dxa" w:w="70"/>
              <w:left w:type="dxa" w:w="110"/>
              <w:bottom w:type="dxa" w:w="70"/>
              <w:right w:type="dxa" w:w="110"/>
            </w:tcMar>
          </w:tcPr>
          <w:p>
            <w:pPr>
              <w:spacing w:after="0" w:line="264"/>
            </w:pPr>
            <w:r>
              <w:rPr>
                <w:b/>
                <w:bCs/>
                <w:sz w:val="19"/>
                <w:szCs w:val="19"/>
              </w:rPr>
              <w:t xml:space="preserve">Account</w:t>
            </w:r>
          </w:p>
        </w:tc>
        <w:tc>
          <w:tcPr>
            <w:tcW w:type="dxa" w:w="1400"/>
            <w:shd w:fill="E8EEF5" w:color="auto" w:val="clear"/>
            <w:tcMar>
              <w:top w:type="dxa" w:w="70"/>
              <w:left w:type="dxa" w:w="110"/>
              <w:bottom w:type="dxa" w:w="70"/>
              <w:right w:type="dxa" w:w="110"/>
            </w:tcMar>
          </w:tcPr>
          <w:p>
            <w:pPr>
              <w:spacing w:after="0" w:line="264"/>
            </w:pPr>
            <w:r>
              <w:rPr>
                <w:b/>
                <w:bCs/>
                <w:sz w:val="19"/>
                <w:szCs w:val="19"/>
              </w:rPr>
              <w:t xml:space="preserve">ARR</w:t>
            </w:r>
          </w:p>
        </w:tc>
        <w:tc>
          <w:tcPr>
            <w:tcW w:type="dxa" w:w="1500"/>
            <w:shd w:fill="E8EEF5" w:color="auto" w:val="clear"/>
            <w:tcMar>
              <w:top w:type="dxa" w:w="70"/>
              <w:left w:type="dxa" w:w="110"/>
              <w:bottom w:type="dxa" w:w="70"/>
              <w:right w:type="dxa" w:w="110"/>
            </w:tcMar>
          </w:tcPr>
          <w:p>
            <w:pPr>
              <w:spacing w:after="0" w:line="264"/>
            </w:pPr>
            <w:r>
              <w:rPr>
                <w:b/>
                <w:bCs/>
                <w:sz w:val="19"/>
                <w:szCs w:val="19"/>
              </w:rPr>
              <w:t xml:space="preserve">Trend</w:t>
            </w:r>
          </w:p>
        </w:tc>
        <w:tc>
          <w:tcPr>
            <w:tcW w:type="dxa" w:w="3600"/>
            <w:shd w:fill="E8EEF5" w:color="auto" w:val="clear"/>
            <w:tcMar>
              <w:top w:type="dxa" w:w="70"/>
              <w:left w:type="dxa" w:w="110"/>
              <w:bottom w:type="dxa" w:w="70"/>
              <w:right w:type="dxa" w:w="110"/>
            </w:tcMar>
          </w:tcPr>
          <w:p>
            <w:pPr>
              <w:spacing w:after="0" w:line="264"/>
            </w:pPr>
            <w:r>
              <w:rPr>
                <w:b/>
                <w:bCs/>
                <w:sz w:val="19"/>
                <w:szCs w:val="19"/>
              </w:rPr>
              <w:t xml:space="preserve">What the usage says</w:t>
            </w:r>
          </w:p>
        </w:tc>
      </w:tr>
      <w:tr>
        <w:tc>
          <w:tcPr>
            <w:tcW w:type="dxa" w:w="2600"/>
            <w:tcMar>
              <w:top w:type="dxa" w:w="70"/>
              <w:left w:type="dxa" w:w="110"/>
              <w:bottom w:type="dxa" w:w="70"/>
              <w:right w:type="dxa" w:w="110"/>
            </w:tcMar>
          </w:tcPr>
          <w:p>
            <w:pPr>
              <w:spacing w:after="0" w:line="264"/>
            </w:pPr>
            <w:r>
              <w:rPr>
                <w:sz w:val="19"/>
                <w:szCs w:val="19"/>
              </w:rPr>
              <w:t xml:space="preserve">Coastline Transit Authority</w:t>
            </w:r>
          </w:p>
        </w:tc>
        <w:tc>
          <w:tcPr>
            <w:tcW w:type="dxa" w:w="1400"/>
            <w:tcMar>
              <w:top w:type="dxa" w:w="70"/>
              <w:left w:type="dxa" w:w="110"/>
              <w:bottom w:type="dxa" w:w="70"/>
              <w:right w:type="dxa" w:w="110"/>
            </w:tcMar>
          </w:tcPr>
          <w:p>
            <w:pPr>
              <w:spacing w:after="0" w:line="264"/>
              <w:jc w:val="right"/>
            </w:pPr>
            <w:r>
              <w:rPr>
                <w:sz w:val="19"/>
                <w:szCs w:val="19"/>
              </w:rPr>
              <w:t xml:space="preserve">$32,790</w:t>
            </w:r>
          </w:p>
        </w:tc>
        <w:tc>
          <w:tcPr>
            <w:tcW w:type="dxa" w:w="1500"/>
            <w:tcMar>
              <w:top w:type="dxa" w:w="70"/>
              <w:left w:type="dxa" w:w="110"/>
              <w:bottom w:type="dxa" w:w="70"/>
              <w:right w:type="dxa" w:w="110"/>
            </w:tcMar>
          </w:tcPr>
          <w:p>
            <w:pPr>
              <w:spacing w:after="0" w:line="264"/>
            </w:pPr>
            <w:r>
              <w:rPr>
                <w:sz w:val="19"/>
                <w:szCs w:val="19"/>
              </w:rPr>
              <w:t xml:space="preserve">down 42%</w:t>
            </w:r>
          </w:p>
        </w:tc>
        <w:tc>
          <w:tcPr>
            <w:tcW w:type="dxa" w:w="3600"/>
            <w:tcMar>
              <w:top w:type="dxa" w:w="70"/>
              <w:left w:type="dxa" w:w="110"/>
              <w:bottom w:type="dxa" w:w="70"/>
              <w:right w:type="dxa" w:w="110"/>
            </w:tcMar>
          </w:tcPr>
          <w:p>
            <w:pPr>
              <w:spacing w:after="0" w:line="264"/>
              <w:jc w:val="right"/>
            </w:pPr>
            <w:r>
              <w:rPr>
                <w:sz w:val="19"/>
                <w:szCs w:val="19"/>
              </w:rPr>
              <w:t xml:space="preserve">38h peak in Jan to 15h in Jul; renewal-focused stage</w:t>
            </w:r>
          </w:p>
        </w:tc>
      </w:tr>
      <w:tr>
        <w:tc>
          <w:tcPr>
            <w:tcW w:type="dxa" w:w="2600"/>
            <w:tcMar>
              <w:top w:type="dxa" w:w="70"/>
              <w:left w:type="dxa" w:w="110"/>
              <w:bottom w:type="dxa" w:w="70"/>
              <w:right w:type="dxa" w:w="110"/>
            </w:tcMar>
          </w:tcPr>
          <w:p>
            <w:pPr>
              <w:spacing w:after="0" w:line="264"/>
            </w:pPr>
            <w:r>
              <w:rPr>
                <w:sz w:val="19"/>
                <w:szCs w:val="19"/>
              </w:rPr>
              <w:t xml:space="preserve">Pinnacle Venue Group</w:t>
            </w:r>
          </w:p>
        </w:tc>
        <w:tc>
          <w:tcPr>
            <w:tcW w:type="dxa" w:w="1400"/>
            <w:tcMar>
              <w:top w:type="dxa" w:w="70"/>
              <w:left w:type="dxa" w:w="110"/>
              <w:bottom w:type="dxa" w:w="70"/>
              <w:right w:type="dxa" w:w="110"/>
            </w:tcMar>
          </w:tcPr>
          <w:p>
            <w:pPr>
              <w:spacing w:after="0" w:line="264"/>
              <w:jc w:val="right"/>
            </w:pPr>
            <w:r>
              <w:rPr>
                <w:sz w:val="19"/>
                <w:szCs w:val="19"/>
              </w:rPr>
              <w:t xml:space="preserve">$19,995</w:t>
            </w:r>
          </w:p>
        </w:tc>
        <w:tc>
          <w:tcPr>
            <w:tcW w:type="dxa" w:w="1500"/>
            <w:tcMar>
              <w:top w:type="dxa" w:w="70"/>
              <w:left w:type="dxa" w:w="110"/>
              <w:bottom w:type="dxa" w:w="70"/>
              <w:right w:type="dxa" w:w="110"/>
            </w:tcMar>
          </w:tcPr>
          <w:p>
            <w:pPr>
              <w:spacing w:after="0" w:line="264"/>
            </w:pPr>
            <w:r>
              <w:rPr>
                <w:sz w:val="19"/>
                <w:szCs w:val="19"/>
              </w:rPr>
              <w:t xml:space="preserve">down 58%</w:t>
            </w:r>
          </w:p>
        </w:tc>
        <w:tc>
          <w:tcPr>
            <w:tcW w:type="dxa" w:w="3600"/>
            <w:tcMar>
              <w:top w:type="dxa" w:w="70"/>
              <w:left w:type="dxa" w:w="110"/>
              <w:bottom w:type="dxa" w:w="70"/>
              <w:right w:type="dxa" w:w="110"/>
            </w:tcMar>
          </w:tcPr>
          <w:p>
            <w:pPr>
              <w:spacing w:after="0" w:line="264"/>
              <w:jc w:val="right"/>
            </w:pPr>
            <w:r>
              <w:rPr>
                <w:sz w:val="19"/>
                <w:szCs w:val="19"/>
              </w:rPr>
              <w:t xml:space="preserve">22h to 5h, and no recorded contact for 127 days</w:t>
            </w:r>
          </w:p>
        </w:tc>
      </w:tr>
      <w:tr>
        <w:tc>
          <w:tcPr>
            <w:tcW w:type="dxa" w:w="2600"/>
            <w:tcMar>
              <w:top w:type="dxa" w:w="70"/>
              <w:left w:type="dxa" w:w="110"/>
              <w:bottom w:type="dxa" w:w="70"/>
              <w:right w:type="dxa" w:w="110"/>
            </w:tcMar>
          </w:tcPr>
          <w:p>
            <w:pPr>
              <w:spacing w:after="0" w:line="264"/>
            </w:pPr>
            <w:r>
              <w:rPr>
                <w:sz w:val="19"/>
                <w:szCs w:val="19"/>
              </w:rPr>
              <w:t xml:space="preserve">Falcon Point Security</w:t>
            </w:r>
          </w:p>
        </w:tc>
        <w:tc>
          <w:tcPr>
            <w:tcW w:type="dxa" w:w="1400"/>
            <w:tcMar>
              <w:top w:type="dxa" w:w="70"/>
              <w:left w:type="dxa" w:w="110"/>
              <w:bottom w:type="dxa" w:w="70"/>
              <w:right w:type="dxa" w:w="110"/>
            </w:tcMar>
          </w:tcPr>
          <w:p>
            <w:pPr>
              <w:spacing w:after="0" w:line="264"/>
              <w:jc w:val="right"/>
            </w:pPr>
            <w:r>
              <w:rPr>
                <w:sz w:val="19"/>
                <w:szCs w:val="19"/>
              </w:rPr>
              <w:t xml:space="preserve">$3,999</w:t>
            </w:r>
          </w:p>
        </w:tc>
        <w:tc>
          <w:tcPr>
            <w:tcW w:type="dxa" w:w="1500"/>
            <w:tcMar>
              <w:top w:type="dxa" w:w="70"/>
              <w:left w:type="dxa" w:w="110"/>
              <w:bottom w:type="dxa" w:w="70"/>
              <w:right w:type="dxa" w:w="110"/>
            </w:tcMar>
          </w:tcPr>
          <w:p>
            <w:pPr>
              <w:spacing w:after="0" w:line="264"/>
              <w:jc w:val="right"/>
            </w:pPr>
            <w:r>
              <w:rPr>
                <w:sz w:val="19"/>
                <w:szCs w:val="19"/>
              </w:rPr>
              <w:t xml:space="preserve">0 hours</w:t>
            </w:r>
          </w:p>
        </w:tc>
        <w:tc>
          <w:tcPr>
            <w:tcW w:type="dxa" w:w="3600"/>
            <w:tcMar>
              <w:top w:type="dxa" w:w="70"/>
              <w:left w:type="dxa" w:w="110"/>
              <w:bottom w:type="dxa" w:w="70"/>
              <w:right w:type="dxa" w:w="110"/>
            </w:tcMar>
          </w:tcPr>
          <w:p>
            <w:pPr>
              <w:spacing w:after="0" w:line="264"/>
            </w:pPr>
            <w:r>
              <w:rPr>
                <w:sz w:val="19"/>
                <w:szCs w:val="19"/>
              </w:rPr>
              <w:t xml:space="preserve">Stopped flying entirely; stage already says churned</w:t>
            </w:r>
          </w:p>
        </w:tc>
      </w:tr>
    </w:tbl>
    <w:p>
      <w:pPr>
        <w:spacing w:after="60" w:line="288"/>
      </w:pPr>
      <w:r>
        <w:rPr>
          <w:sz w:val="21"/>
          <w:szCs w:val="21"/>
        </w:rPr>
        <w:t xml:space="preserve">Coastline Transit is the one to lead with: the largest ARR of the three, in a renewal-focused stage, declining sharply, and nobody has re-scored it.</w:t>
      </w:r>
    </w:p>
    <w:p>
      <w:pPr>
        <w:pStyle w:val="Heading2"/>
        <w:spacing w:after="110" w:before="260"/>
      </w:pPr>
      <w:r>
        <w:rPr>
          <w:b/>
          <w:bCs/>
          <w:color w:val="000000"/>
          <w:sz w:val="23"/>
          <w:szCs w:val="23"/>
        </w:rPr>
        <w:t xml:space="preserve">3.2 The trap that looks like an opportunity</w:t>
      </w:r>
    </w:p>
    <w:p>
      <w:pPr>
        <w:spacing w:after="120" w:line="288"/>
      </w:pPr>
      <w:r>
        <w:rPr>
          <w:sz w:val="21"/>
          <w:szCs w:val="21"/>
        </w:rPr>
        <w:t xml:space="preserve">Falcon Point Security reads as a healthy account in the CRM. It has zero flight hours and its own lifecycle field says churned. Any expansion motion aimed here is wasted effort — the account has already gone. This is the "looks like an opportunity but is not" case, and it was caught by comparing two fields on one record rather than by any clever inference.</w:t>
      </w:r>
    </w:p>
    <w:p>
      <w:pPr>
        <w:pStyle w:val="Heading2"/>
        <w:spacing w:after="110" w:before="260"/>
      </w:pPr>
      <w:r>
        <w:rPr>
          <w:b/>
          <w:bCs/>
          <w:color w:val="000000"/>
          <w:sz w:val="23"/>
          <w:szCs w:val="23"/>
        </w:rPr>
        <w:t xml:space="preserve">3.3 The win-back: one of the two churned accounts is recoverable</w:t>
      </w:r>
    </w:p>
    <w:p>
      <w:pPr>
        <w:spacing w:after="120" w:line="288"/>
      </w:pPr>
      <w:r>
        <w:rPr>
          <w:sz w:val="21"/>
          <w:szCs w:val="21"/>
        </w:rPr>
        <w:t xml:space="preserve">The brief asked whether either churned account is worth winning back. The word "either" invites a no — and the honest answer is that they are not equivalent.</w:t>
      </w:r>
    </w:p>
    <w:p>
      <w:pPr>
        <w:spacing w:after="120" w:line="288"/>
      </w:pPr>
      <w:r>
        <w:rPr>
          <w:b/>
          <w:bCs/>
          <w:sz w:val="21"/>
          <w:szCs w:val="21"/>
        </w:rPr>
        <w:t xml:space="preserve">Ravel Systems is recoverable, and three independent documents say why:</w:t>
      </w:r>
    </w:p>
    <w:p>
      <w:pPr>
        <w:pBdr>
          <w:left w:val="single" w:color="1F4E79" w:sz="12" w:space="10"/>
        </w:pBdr>
        <w:spacing w:after="130" w:before="90"/>
        <w:ind w:left="340"/>
      </w:pPr>
      <w:r>
        <w:rPr>
          <w:i/>
          <w:iCs/>
          <w:color w:val="595959"/>
          <w:sz w:val="21"/>
          <w:szCs w:val="21"/>
        </w:rPr>
        <w:t xml:space="preserve">"this fell through the cracks on my end, it's been a busy stretch"  — email thread</w:t>
      </w:r>
    </w:p>
    <w:p>
      <w:pPr>
        <w:pBdr>
          <w:left w:val="single" w:color="1F4E79" w:sz="12" w:space="10"/>
        </w:pBdr>
        <w:spacing w:after="130" w:before="90"/>
        <w:ind w:left="340"/>
      </w:pPr>
      <w:r>
        <w:rPr>
          <w:i/>
          <w:iCs/>
          <w:color w:val="595959"/>
          <w:sz w:val="21"/>
          <w:szCs w:val="21"/>
        </w:rPr>
        <w:t xml:space="preserve">"It looks like a small, low-touch account that got deprioritized on our side right when it needed one more nudge"  — internal notes</w:t>
      </w:r>
    </w:p>
    <w:p>
      <w:pPr>
        <w:pBdr>
          <w:left w:val="single" w:color="1F4E79" w:sz="12" w:space="10"/>
        </w:pBdr>
        <w:spacing w:after="130" w:before="90"/>
        <w:ind w:left="340"/>
      </w:pPr>
      <w:r>
        <w:rPr>
          <w:i/>
          <w:iCs/>
          <w:color w:val="595959"/>
          <w:sz w:val="21"/>
          <w:szCs w:val="21"/>
        </w:rPr>
        <w:t xml:space="preserve">"you'd mentioned wanting to add a second dock"  /  "the north site got delayed, not cancelled, just delayed"  — email thread</w:t>
      </w:r>
    </w:p>
    <w:p>
      <w:pPr>
        <w:spacing w:after="120" w:line="288"/>
      </w:pPr>
      <w:r>
        <w:rPr>
          <w:sz w:val="21"/>
          <w:szCs w:val="21"/>
        </w:rPr>
        <w:t xml:space="preserve">The churn cause was our own follow-up failure, not price, not product, not a competitor. The expansion intent was stated and the blocker was timing. That is the most recoverable churn profile there is, and every line above is a verified quote rather than a model's opinion.</w:t>
      </w:r>
    </w:p>
    <w:p>
      <w:pPr>
        <w:spacing w:after="120" w:line="288"/>
      </w:pPr>
      <w:r>
        <w:rPr>
          <w:sz w:val="21"/>
          <w:szCs w:val="21"/>
        </w:rPr>
        <w:t xml:space="preserve">What winning it back would take: a direct apology-framed re-engagement from a named owner, a reinstatement of the lapsed licence, and a concrete date for the delayed north site. It is $999 ARR — small — so the argument for it is the second dock and the referenceability, not the recovered revenue.</w:t>
      </w:r>
    </w:p>
    <w:p>
      <w:pPr>
        <w:pStyle w:val="Heading2"/>
        <w:spacing w:after="110" w:before="260"/>
      </w:pPr>
      <w:r>
        <w:rPr>
          <w:b/>
          <w:bCs/>
          <w:color w:val="000000"/>
          <w:sz w:val="23"/>
          <w:szCs w:val="23"/>
        </w:rPr>
        <w:t xml:space="preserve">3.4 How ARR at risk is calculated</w:t>
      </w:r>
    </w:p>
    <w:p>
      <w:pPr>
        <w:spacing w:after="120" w:line="288"/>
      </w:pPr>
      <w:r>
        <w:rPr>
          <w:sz w:val="21"/>
          <w:szCs w:val="21"/>
        </w:rPr>
        <w:t xml:space="preserve">$56,784 of $222,226. Weighted by the severity of the worst divergence on each account, and counted only where there is a stated reason. A dormant account counts at full ARR. This matters because an at-risk number that includes everything is just the portfolio total wearing a different hat.</w:t>
      </w:r>
    </w:p>
    <w:p>
      <w:r>
        <w:br w:type="page"/>
      </w:r>
    </w:p>
    <w:p>
      <w:pPr>
        <w:pStyle w:val="Heading1"/>
        <w:spacing w:after="160" w:before="380"/>
      </w:pPr>
      <w:r>
        <w:rPr>
          <w:b/>
          <w:bCs/>
          <w:color w:val="1F4E79"/>
          <w:sz w:val="30"/>
          <w:szCs w:val="30"/>
        </w:rPr>
        <w:t xml:space="preserve">4. Suggested demo order</w:t>
      </w:r>
    </w:p>
    <w:p>
      <w:pPr>
        <w:spacing w:after="160" w:line="288"/>
      </w:pPr>
      <w:r>
        <w:rPr>
          <w:color w:val="595959"/>
          <w:sz w:val="21"/>
          <w:szCs w:val="21"/>
        </w:rPr>
        <w:t xml:space="preserve">Roughly six minutes. Lead with the finding, not the architecture — earn the right to explain the pipeline.</w:t>
      </w:r>
    </w:p>
    <w:p>
      <w:pPr>
        <w:pStyle w:val="ListParagraph"/>
        <w:numPr>
          <w:ilvl w:val="0"/>
          <w:numId w:val="2"/>
        </w:numPr>
        <w:spacing w:after="70" w:line="288"/>
      </w:pPr>
      <w:r>
        <w:rPr>
          <w:b/>
          <w:bCs/>
          <w:sz w:val="21"/>
          <w:szCs w:val="21"/>
        </w:rPr>
        <w:t xml:space="preserve">1. The thesis, in one sentence (20s). </w:t>
      </w:r>
      <w:r>
        <w:rPr>
          <w:sz w:val="21"/>
          <w:szCs w:val="21"/>
        </w:rPr>
        <w:t xml:space="preserve">Flight hours are ground truth; sentiment lags.</w:t>
      </w:r>
    </w:p>
    <w:p>
      <w:pPr>
        <w:pStyle w:val="ListParagraph"/>
        <w:numPr>
          <w:ilvl w:val="0"/>
          <w:numId w:val="2"/>
        </w:numPr>
        <w:spacing w:after="70" w:line="288"/>
      </w:pPr>
      <w:r>
        <w:rPr>
          <w:b/>
          <w:bCs/>
          <w:sz w:val="21"/>
          <w:szCs w:val="21"/>
        </w:rPr>
        <w:t xml:space="preserve">2. Portfolio view (60s). </w:t>
      </w:r>
      <w:r>
        <w:rPr>
          <w:sz w:val="21"/>
          <w:szCs w:val="21"/>
        </w:rPr>
        <w:t xml:space="preserve">Point at twelve "Healthy" labels, then at the three red flags. Say the ARR-at-risk number.</w:t>
      </w:r>
    </w:p>
    <w:p>
      <w:pPr>
        <w:pStyle w:val="ListParagraph"/>
        <w:numPr>
          <w:ilvl w:val="0"/>
          <w:numId w:val="2"/>
        </w:numPr>
        <w:spacing w:after="70" w:line="288"/>
      </w:pPr>
      <w:r>
        <w:rPr>
          <w:b/>
          <w:bCs/>
          <w:sz w:val="21"/>
          <w:szCs w:val="21"/>
        </w:rPr>
        <w:t xml:space="preserve">3. Coastline Transit drilldown (60s). </w:t>
      </w:r>
      <w:r>
        <w:rPr>
          <w:sz w:val="21"/>
          <w:szCs w:val="21"/>
        </w:rPr>
        <w:t xml:space="preserve">The label, the declining sparkline, the divergence stated in plain language.</w:t>
      </w:r>
    </w:p>
    <w:p>
      <w:pPr>
        <w:pStyle w:val="ListParagraph"/>
        <w:numPr>
          <w:ilvl w:val="0"/>
          <w:numId w:val="2"/>
        </w:numPr>
        <w:spacing w:after="70" w:line="288"/>
      </w:pPr>
      <w:r>
        <w:rPr>
          <w:b/>
          <w:bCs/>
          <w:sz w:val="21"/>
          <w:szCs w:val="21"/>
        </w:rPr>
        <w:t xml:space="preserve">4. Ravel Systems (90s). </w:t>
      </w:r>
      <w:r>
        <w:rPr>
          <w:sz w:val="21"/>
          <w:szCs w:val="21"/>
        </w:rPr>
        <w:t xml:space="preserve">The win-back case, read straight off the three quotes. This is your strongest moment — it is judgment supported by evidence.</w:t>
      </w:r>
    </w:p>
    <w:p>
      <w:pPr>
        <w:pStyle w:val="ListParagraph"/>
        <w:numPr>
          <w:ilvl w:val="0"/>
          <w:numId w:val="2"/>
        </w:numPr>
        <w:spacing w:after="70" w:line="288"/>
      </w:pPr>
      <w:r>
        <w:rPr>
          <w:b/>
          <w:bCs/>
          <w:sz w:val="21"/>
          <w:szCs w:val="21"/>
        </w:rPr>
        <w:t xml:space="preserve">5. Change feed (60s). </w:t>
      </w:r>
      <w:r>
        <w:rPr>
          <w:sz w:val="21"/>
          <w:szCs w:val="21"/>
        </w:rPr>
        <w:t xml:space="preserve">Show the run history and the poll-triggered rows. This is where you prove self-update.</w:t>
      </w:r>
    </w:p>
    <w:p>
      <w:pPr>
        <w:pStyle w:val="ListParagraph"/>
        <w:numPr>
          <w:ilvl w:val="0"/>
          <w:numId w:val="2"/>
        </w:numPr>
        <w:spacing w:after="70" w:line="288"/>
      </w:pPr>
      <w:r>
        <w:rPr>
          <w:b/>
          <w:bCs/>
          <w:sz w:val="21"/>
          <w:szCs w:val="21"/>
        </w:rPr>
        <w:t xml:space="preserve">6. Architecture, briefly (60s). </w:t>
      </w:r>
      <w:r>
        <w:rPr>
          <w:sz w:val="21"/>
          <w:szCs w:val="21"/>
        </w:rPr>
        <w:t xml:space="preserve">Claims layer, hash caching, deletion retracting conclusions. Then the LLM-versus-deterministic split.</w:t>
      </w:r>
    </w:p>
    <w:p>
      <w:pPr>
        <w:pStyle w:val="ListParagraph"/>
        <w:numPr>
          <w:ilvl w:val="0"/>
          <w:numId w:val="2"/>
        </w:numPr>
        <w:spacing w:after="70" w:line="288"/>
      </w:pPr>
      <w:r>
        <w:rPr>
          <w:b/>
          <w:bCs/>
          <w:sz w:val="21"/>
          <w:szCs w:val="21"/>
        </w:rPr>
        <w:t xml:space="preserve">7. Limitations (30s). </w:t>
      </w:r>
      <w:r>
        <w:rPr>
          <w:sz w:val="21"/>
          <w:szCs w:val="21"/>
        </w:rPr>
        <w:t xml:space="preserve">Say them before you are asked. See section 6.</w:t>
      </w:r>
    </w:p>
    <w:p>
      <w:pPr>
        <w:pStyle w:val="Heading1"/>
        <w:spacing w:after="160" w:before="380"/>
      </w:pPr>
      <w:r>
        <w:rPr>
          <w:b/>
          <w:bCs/>
          <w:color w:val="1F4E79"/>
          <w:sz w:val="30"/>
          <w:szCs w:val="30"/>
        </w:rPr>
        <w:t xml:space="preserve">5. Questions to expect</w:t>
      </w:r>
    </w:p>
    <w:p>
      <w:pPr>
        <w:pStyle w:val="Heading3"/>
        <w:spacing w:after="80" w:before="190"/>
      </w:pPr>
      <w:r>
        <w:rPr>
          <w:b/>
          <w:bCs/>
          <w:color w:val="1F4E79"/>
          <w:sz w:val="21"/>
          <w:szCs w:val="21"/>
        </w:rPr>
        <w:t xml:space="preserve">"How do you know the system actually updated itself?"</w:t>
      </w:r>
    </w:p>
    <w:p>
      <w:pPr>
        <w:spacing w:after="120" w:line="288"/>
      </w:pPr>
      <w:r>
        <w:rPr>
          <w:sz w:val="21"/>
          <w:szCs w:val="21"/>
        </w:rPr>
        <w:t xml:space="preserve">The change feed records each run with its trigger. Rows marked "poll" were written by the deployed service with nobody at a keyboard. The poller runs server-side on Railway against Postgres, every five minutes.</w:t>
      </w:r>
    </w:p>
    <w:p>
      <w:pPr>
        <w:pStyle w:val="Heading3"/>
        <w:spacing w:after="80" w:before="190"/>
      </w:pPr>
      <w:r>
        <w:rPr>
          <w:b/>
          <w:bCs/>
          <w:color w:val="1F4E79"/>
          <w:sz w:val="21"/>
          <w:szCs w:val="21"/>
        </w:rPr>
        <w:t xml:space="preserve">"What happens when a document is deleted?"</w:t>
      </w:r>
    </w:p>
    <w:p>
      <w:pPr>
        <w:spacing w:after="120" w:line="288"/>
      </w:pPr>
      <w:r>
        <w:rPr>
          <w:sz w:val="21"/>
          <w:szCs w:val="21"/>
        </w:rPr>
        <w:t xml:space="preserve">It is tombstoned, and the claims it supported are retracted rather than deleted — so the account is re-scored without that evidence and the retraction shows up as an event. There is a test for it, and a rehearsal fixture that exercises the path on demand.</w:t>
      </w:r>
    </w:p>
    <w:p>
      <w:pPr>
        <w:pStyle w:val="Heading3"/>
        <w:spacing w:after="80" w:before="190"/>
      </w:pPr>
      <w:r>
        <w:rPr>
          <w:b/>
          <w:bCs/>
          <w:color w:val="1F4E79"/>
          <w:sz w:val="21"/>
          <w:szCs w:val="21"/>
        </w:rPr>
        <w:t xml:space="preserve">"Why should I trust these claims?"</w:t>
      </w:r>
    </w:p>
    <w:p>
      <w:pPr>
        <w:spacing w:after="120" w:line="288"/>
      </w:pPr>
      <w:r>
        <w:rPr>
          <w:sz w:val="21"/>
          <w:szCs w:val="21"/>
        </w:rPr>
        <w:t xml:space="preserve">Every claim carries a quote that was verified to exist in its source before it was stored. Roughly 13% were rejected on the first real run for failing that check.</w:t>
      </w:r>
    </w:p>
    <w:p>
      <w:pPr>
        <w:pStyle w:val="Heading3"/>
        <w:spacing w:after="80" w:before="190"/>
      </w:pPr>
      <w:r>
        <w:rPr>
          <w:b/>
          <w:bCs/>
          <w:color w:val="1F4E79"/>
          <w:sz w:val="21"/>
          <w:szCs w:val="21"/>
        </w:rPr>
        <w:t xml:space="preserve">"Why Groq / why that model?"</w:t>
      </w:r>
    </w:p>
    <w:p>
      <w:pPr>
        <w:spacing w:after="120" w:line="288"/>
      </w:pPr>
      <w:r>
        <w:rPr>
          <w:sz w:val="21"/>
          <w:szCs w:val="21"/>
        </w:rPr>
        <w:t xml:space="preserve">Structured output with Pydantic validation makes the pipeline model-agnostic; the model ID is one environment variable. The validation layer is the guarantee, not the model choice.</w:t>
      </w:r>
    </w:p>
    <w:p>
      <w:pPr>
        <w:pStyle w:val="Heading3"/>
        <w:spacing w:after="80" w:before="190"/>
      </w:pPr>
      <w:r>
        <w:rPr>
          <w:b/>
          <w:bCs/>
          <w:color w:val="1F4E79"/>
          <w:sz w:val="21"/>
          <w:szCs w:val="21"/>
        </w:rPr>
        <w:t xml:space="preserve">"What would you do with another day?"</w:t>
      </w:r>
    </w:p>
    <w:p>
      <w:pPr>
        <w:spacing w:after="120" w:line="288"/>
      </w:pPr>
      <w:r>
        <w:rPr>
          <w:sz w:val="21"/>
          <w:szCs w:val="21"/>
        </w:rPr>
        <w:t xml:space="preserve">Finish the portfolio-level layer: a ranked next-best-action queue and an explicit renewal forecast. The per-account reasoning exists; the cross-account ranking is the gap.</w:t>
      </w:r>
    </w:p>
    <w:p>
      <w:pPr>
        <w:pStyle w:val="Heading1"/>
        <w:spacing w:after="160" w:before="380"/>
      </w:pPr>
      <w:r>
        <w:rPr>
          <w:b/>
          <w:bCs/>
          <w:color w:val="1F4E79"/>
          <w:sz w:val="30"/>
          <w:szCs w:val="30"/>
        </w:rPr>
        <w:t xml:space="preserve">6. Limitations — state these before you are asked</w:t>
      </w:r>
    </w:p>
    <w:p>
      <w:pPr>
        <w:pStyle w:val="ListParagraph"/>
        <w:numPr>
          <w:ilvl w:val="0"/>
          <w:numId w:val="2"/>
        </w:numPr>
        <w:spacing w:after="70" w:line="288"/>
      </w:pPr>
      <w:r>
        <w:rPr>
          <w:b/>
          <w:bCs/>
          <w:sz w:val="21"/>
          <w:szCs w:val="21"/>
        </w:rPr>
        <w:t xml:space="preserve">Extraction is not complete across all 87 documents. </w:t>
      </w:r>
      <w:r>
        <w:rPr>
          <w:sz w:val="21"/>
          <w:szCs w:val="21"/>
        </w:rPr>
        <w:t xml:space="preserve">The 12,000 tokens-per-minute free-tier limit means the backlog fills in over several poll cycles. It is self-healing and paid once, but at demo time not every account will have claims.</w:t>
      </w:r>
    </w:p>
    <w:p>
      <w:pPr>
        <w:pStyle w:val="ListParagraph"/>
        <w:numPr>
          <w:ilvl w:val="0"/>
          <w:numId w:val="2"/>
        </w:numPr>
        <w:spacing w:after="70" w:line="288"/>
      </w:pPr>
      <w:r>
        <w:rPr>
          <w:b/>
          <w:bCs/>
          <w:sz w:val="21"/>
          <w:szCs w:val="21"/>
        </w:rPr>
        <w:t xml:space="preserve">The portfolio-level layer is not built. </w:t>
      </w:r>
      <w:r>
        <w:rPr>
          <w:sz w:val="21"/>
          <w:szCs w:val="21"/>
        </w:rPr>
        <w:t xml:space="preserve">Per-account dossiers and metrics exist; a ranked next-best-action queue and a formal renewal forecast do not.</w:t>
      </w:r>
    </w:p>
    <w:p>
      <w:pPr>
        <w:pStyle w:val="ListParagraph"/>
        <w:numPr>
          <w:ilvl w:val="0"/>
          <w:numId w:val="2"/>
        </w:numPr>
        <w:spacing w:after="70" w:line="288"/>
      </w:pPr>
      <w:r>
        <w:rPr>
          <w:b/>
          <w:bCs/>
          <w:sz w:val="21"/>
          <w:szCs w:val="21"/>
        </w:rPr>
        <w:t xml:space="preserve">Renewal dates are not extracted yet. </w:t>
      </w:r>
      <w:r>
        <w:rPr>
          <w:sz w:val="21"/>
          <w:szCs w:val="21"/>
        </w:rPr>
        <w:t xml:space="preserve">They live inside the renewal-tracker documents rather than the CRM record, so the renewal countdown is mostly empty until extraction reaches those files.</w:t>
      </w:r>
    </w:p>
    <w:p>
      <w:pPr>
        <w:pStyle w:val="ListParagraph"/>
        <w:numPr>
          <w:ilvl w:val="0"/>
          <w:numId w:val="2"/>
        </w:numPr>
        <w:spacing w:after="70" w:line="288"/>
      </w:pPr>
      <w:r>
        <w:rPr>
          <w:b/>
          <w:bCs/>
          <w:sz w:val="21"/>
          <w:szCs w:val="21"/>
        </w:rPr>
        <w:t xml:space="preserve">One test is skipped. </w:t>
      </w:r>
      <w:r>
        <w:rPr>
          <w:sz w:val="21"/>
          <w:szCs w:val="21"/>
        </w:rPr>
        <w:t xml:space="preserve">The Postgres round-trip needs a publicly reachable database URL; TCP proxy is not enabled on the deployed instance.</w:t>
      </w:r>
    </w:p>
    <w:p>
      <w:pPr>
        <w:spacing w:after="60" w:line="288"/>
      </w:pPr>
      <w:r>
        <w:rPr>
          <w:i/>
          <w:iCs/>
          <w:sz w:val="21"/>
          <w:szCs w:val="21"/>
        </w:rPr>
        <w:t xml:space="preserve">Naming these yourself reads as engineering judgment. Being caught by them reads as an oversight.</w:t>
      </w:r>
    </w:p>
    <w:p>
      <w:pPr>
        <w:pStyle w:val="Heading1"/>
        <w:spacing w:after="160" w:before="380"/>
      </w:pPr>
      <w:r>
        <w:rPr>
          <w:b/>
          <w:bCs/>
          <w:color w:val="1F4E79"/>
          <w:sz w:val="30"/>
          <w:szCs w:val="30"/>
        </w:rPr>
        <w:t xml:space="preserve">7. Where you should add your own judgment</w:t>
      </w:r>
    </w:p>
    <w:p>
      <w:pPr>
        <w:spacing w:after="150" w:line="288"/>
      </w:pPr>
      <w:r>
        <w:rPr>
          <w:color w:val="595959"/>
          <w:sz w:val="21"/>
          <w:szCs w:val="21"/>
        </w:rPr>
        <w:t xml:space="preserve">The system produced the findings. These are the calls only you can make, and they are what will separate the presentation from a tool demo.</w:t>
      </w:r>
    </w:p>
    <w:p>
      <w:pPr>
        <w:pStyle w:val="ListParagraph"/>
        <w:numPr>
          <w:ilvl w:val="0"/>
          <w:numId w:val="2"/>
        </w:numPr>
        <w:spacing w:after="70" w:line="288"/>
      </w:pPr>
      <w:r>
        <w:rPr>
          <w:b/>
          <w:bCs/>
          <w:sz w:val="21"/>
          <w:szCs w:val="21"/>
        </w:rPr>
        <w:t xml:space="preserve">Decide what you would actually do on Monday. </w:t>
      </w:r>
      <w:r>
        <w:rPr>
          <w:sz w:val="21"/>
          <w:szCs w:val="21"/>
        </w:rPr>
        <w:t xml:space="preserve">The system ranks by ARR at risk. Would you? Pinnacle Venue has gone 127 days without contact — arguably that neglect is more urgent than Coastline's steeper decline, because it is entirely within your control. Take a position.</w:t>
      </w:r>
    </w:p>
    <w:p>
      <w:pPr>
        <w:pStyle w:val="ListParagraph"/>
        <w:numPr>
          <w:ilvl w:val="0"/>
          <w:numId w:val="2"/>
        </w:numPr>
        <w:spacing w:after="70" w:line="288"/>
      </w:pPr>
      <w:r>
        <w:rPr>
          <w:b/>
          <w:bCs/>
          <w:sz w:val="21"/>
          <w:szCs w:val="21"/>
        </w:rPr>
        <w:t xml:space="preserve">Argue the Ravel win-back on strategy, not revenue. </w:t>
      </w:r>
      <w:r>
        <w:rPr>
          <w:sz w:val="21"/>
          <w:szCs w:val="21"/>
        </w:rPr>
        <w:t xml:space="preserve">$999 is not worth a recovery motion on its own. The case is the stated second dock, the delayed-not-cancelled site, and the fact that we caused the churn. Make that argument explicitly — it shows commercial judgment rather than pipeline output.</w:t>
      </w:r>
    </w:p>
    <w:p>
      <w:pPr>
        <w:pStyle w:val="ListParagraph"/>
        <w:numPr>
          <w:ilvl w:val="0"/>
          <w:numId w:val="2"/>
        </w:numPr>
        <w:spacing w:after="70" w:line="288"/>
      </w:pPr>
      <w:r>
        <w:rPr>
          <w:b/>
          <w:bCs/>
          <w:sz w:val="21"/>
          <w:szCs w:val="21"/>
        </w:rPr>
        <w:t xml:space="preserve">Say what you deliberately did not build, and why. </w:t>
      </w:r>
      <w:r>
        <w:rPr>
          <w:sz w:val="21"/>
          <w:szCs w:val="21"/>
        </w:rPr>
        <w:t xml:space="preserve">No auth, no multi-tenant, no alerting, no dark mode. Those were correct trade-offs against a deadline, and saying so is stronger than hoping nobody notices.</w:t>
      </w:r>
    </w:p>
    <w:p>
      <w:pPr>
        <w:pStyle w:val="ListParagraph"/>
        <w:numPr>
          <w:ilvl w:val="0"/>
          <w:numId w:val="2"/>
        </w:numPr>
        <w:spacing w:after="70" w:line="288"/>
      </w:pPr>
      <w:r>
        <w:rPr>
          <w:b/>
          <w:bCs/>
          <w:sz w:val="21"/>
          <w:szCs w:val="21"/>
        </w:rPr>
        <w:t xml:space="preserve">Own the health-label thesis as a point of view. </w:t>
      </w:r>
      <w:r>
        <w:rPr>
          <w:sz w:val="21"/>
          <w:szCs w:val="21"/>
        </w:rPr>
        <w:t xml:space="preserve">It is a claim about how this business should be measured, not a neutral technical choice. Defend it: for a vendor selling autonomous flight, an account that stopped flying has already left regardless of what the CSM logged.</w:t>
      </w:r>
    </w:p>
    <w:p>
      <w:pPr>
        <w:pStyle w:val="ListParagraph"/>
        <w:numPr>
          <w:ilvl w:val="0"/>
          <w:numId w:val="2"/>
        </w:numPr>
        <w:spacing w:after="70" w:line="288"/>
      </w:pPr>
      <w:r>
        <w:rPr>
          <w:b/>
          <w:bCs/>
          <w:sz w:val="21"/>
          <w:szCs w:val="21"/>
        </w:rPr>
        <w:t xml:space="preserve">Have a view on the CRM data quality itself. </w:t>
      </w:r>
      <w:r>
        <w:rPr>
          <w:sz w:val="21"/>
          <w:szCs w:val="21"/>
        </w:rPr>
        <w:t xml:space="preserve">Twelve of fourteen accounts labelled Healthy, one record simultaneously churned and healthy. The deeper recommendation is that the health field is not being maintained and should be derived from usage rather than typed by hand.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FlytBase GTM — Build Decisions &amp; Presentation Brief</dc:title>
  <dc:creator>Aswanth</dc:creator>
  <cp:lastModifiedBy>Un-named</cp:lastModifiedBy>
  <cp:revision>1</cp:revision>
  <dcterms:created xsi:type="dcterms:W3CDTF">2026-08-15T09:17:09.579Z</dcterms:created>
  <dcterms:modified xsi:type="dcterms:W3CDTF">2026-08-15T09:17:09.580Z</dcterms:modified>
</cp:coreProperties>
</file>

<file path=docProps/custom.xml><?xml version="1.0" encoding="utf-8"?>
<Properties xmlns="http://schemas.openxmlformats.org/officeDocument/2006/custom-properties" xmlns:vt="http://schemas.openxmlformats.org/officeDocument/2006/docPropsVTypes"/>
</file>