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00000" w:sz="8" w:space="6"/>
          <w:bottom w:val="single" w:color="C00000" w:sz="8" w:space="6"/>
        </w:pBdr>
        <w:shd w:fill="C00000" w:color="auto" w:val="clear"/>
        <w:spacing w:after="200" w:before="0"/>
        <w:jc w:val="center"/>
      </w:pPr>
      <w:r>
        <w:rPr>
          <w:rFonts w:ascii="Times New Roman" w:cs="Times New Roman" w:eastAsia="Times New Roman" w:hAnsi="Times New Roman"/>
          <w:b/>
          <w:bCs/>
          <w:color w:val="FFFFFF"/>
          <w:sz w:val="40"/>
          <w:szCs w:val="40"/>
        </w:rPr>
        <w:t xml:space="preserve">Suvidha Finance Ltd. — Loan Portfolio</w:t>
      </w:r>
    </w:p>
    <w:p>
      <w:pPr>
        <w:spacing w:after="2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Reporting period:</w:t>
      </w:r>
      <w:r>
        <w:rPr>
          <w:rFonts w:ascii="Calibri" w:cs="Calibri" w:eastAsia="Calibri" w:hAnsi="Calibri"/>
          <w:b w:val="false"/>
          <w:bCs w:val="false"/>
          <w:sz w:val="21"/>
          <w:szCs w:val="21"/>
        </w:rPr>
        <w:t xml:space="preserve"> Loans disbursed Jan–Jun 2024, status as of 31-Jul-2024</w:t>
      </w:r>
    </w:p>
    <w:p>
      <w:pPr>
        <w:spacing w:after="10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Portfolio covered:</w:t>
      </w:r>
      <w:r>
        <w:rPr>
          <w:rFonts w:ascii="Calibri" w:cs="Calibri" w:eastAsia="Calibri" w:hAnsi="Calibri"/>
          <w:b w:val="false"/>
          <w:bCs w:val="false"/>
          <w:sz w:val="21"/>
          <w:szCs w:val="21"/>
        </w:rPr>
        <w:t xml:space="preserve"> 200 loans across 8 branches, 4 regions, 5 loan products</w:t>
      </w:r>
    </w:p>
    <w:p>
      <w:pPr>
        <w:pBdr>
          <w:bottom w:val="single" w:color="A6A6A6" w:sz="6" w:space="1"/>
        </w:pBdr>
        <w:spacing w:after="100" w:before="100"/>
      </w:pPr>
    </w:p>
    <w:p>
      <w:pPr>
        <w:keepNext/>
        <w:spacing w:after="100" w:before="200"/>
      </w:pPr>
      <w:r>
        <w:rPr>
          <w:rFonts w:ascii="Calibri" w:cs="Calibri" w:eastAsia="Calibri" w:hAnsi="Calibri"/>
          <w:b/>
          <w:bCs/>
          <w:sz w:val="23"/>
          <w:szCs w:val="23"/>
        </w:rPr>
        <w:t xml:space="preserve">Executive Summary</w:t>
      </w:r>
    </w:p>
    <w:p>
      <w:pPr>
        <w:spacing w:after="100" w:line="276"/>
      </w:pPr>
      <w:r>
        <w:rPr>
          <w:rFonts w:ascii="Calibri" w:cs="Calibri" w:eastAsia="Calibri" w:hAnsi="Calibri"/>
          <w:b w:val="false"/>
          <w:bCs w:val="false"/>
          <w:sz w:val="21"/>
          <w:szCs w:val="21"/>
        </w:rPr>
        <w:t xml:space="preserve">In short: the portfolio is performing reasonably well, but risk is not spread evenly and a few areas need attention now. Of ₹10.94 crore lent to customers, ₹1.37 crore has been collected so far. 8% of loans (16 of 200) have turned into bad debt, and another 18.5% (37 loans) have missed a payment and could slide into bad debt if nothing is done. Because the problems sit in identifiable places (certain branches, one product, certain customer groups), targeted action can fix them without tightening lending across the whole company.</w:t>
      </w:r>
    </w:p>
    <w:p>
      <w:pPr>
        <w:pBdr>
          <w:bottom w:val="single" w:color="A6A6A6" w:sz="6" w:space="1"/>
        </w:pBdr>
        <w:spacing w:after="100" w:before="100"/>
      </w:pPr>
    </w:p>
    <w:p>
      <w:pPr>
        <w:keepNext/>
        <w:spacing w:after="100" w:before="200"/>
      </w:pPr>
      <w:r>
        <w:rPr>
          <w:rFonts w:ascii="Calibri" w:cs="Calibri" w:eastAsia="Calibri" w:hAnsi="Calibri"/>
          <w:b/>
          <w:bCs/>
          <w:sz w:val="23"/>
          <w:szCs w:val="23"/>
        </w:rPr>
        <w:t xml:space="preserve">What the Numbers Are Telling Us</w:t>
      </w:r>
    </w:p>
    <w:p>
      <w:pPr>
        <w:keepNext/>
        <w:spacing w:after="70" w:before="140"/>
      </w:pPr>
      <w:r>
        <w:rPr>
          <w:rFonts w:ascii="Calibri" w:cs="Calibri" w:eastAsia="Calibri" w:hAnsi="Calibri"/>
          <w:b/>
          <w:bCs/>
          <w:sz w:val="21"/>
          <w:szCs w:val="21"/>
        </w:rPr>
        <w:t xml:space="preserve">1. Overall loan book</w:t>
      </w:r>
    </w:p>
    <w:p>
      <w:pPr>
        <w:pStyle w:val="ListParagraph"/>
        <w:numPr>
          <w:ilvl w:val="0"/>
          <w:numId w:val="2"/>
        </w:numPr>
        <w:spacing w:after="70" w:line="276"/>
      </w:pPr>
      <w:r>
        <w:rPr>
          <w:rFonts w:ascii="Calibri" w:cs="Calibri" w:eastAsia="Calibri" w:hAnsi="Calibri"/>
          <w:b w:val="false"/>
          <w:bCs w:val="false"/>
          <w:sz w:val="21"/>
          <w:szCs w:val="21"/>
        </w:rPr>
        <w:t xml:space="preserve">Total loans: </w:t>
      </w:r>
      <w:r>
        <w:rPr>
          <w:rFonts w:ascii="Calibri" w:cs="Calibri" w:eastAsia="Calibri" w:hAnsi="Calibri"/>
          <w:b/>
          <w:bCs/>
          <w:sz w:val="21"/>
          <w:szCs w:val="21"/>
        </w:rPr>
        <w:t xml:space="preserve">200</w:t>
      </w:r>
      <w:r>
        <w:rPr>
          <w:rFonts w:ascii="Calibri" w:cs="Calibri" w:eastAsia="Calibri" w:hAnsi="Calibri"/>
          <w:b w:val="false"/>
          <w:bCs w:val="false"/>
          <w:sz w:val="21"/>
          <w:szCs w:val="21"/>
        </w:rPr>
        <w:t xml:space="preserve"/>
      </w:r>
    </w:p>
    <w:p>
      <w:pPr>
        <w:pStyle w:val="ListParagraph"/>
        <w:numPr>
          <w:ilvl w:val="0"/>
          <w:numId w:val="2"/>
        </w:numPr>
        <w:spacing w:after="70" w:line="276"/>
      </w:pPr>
      <w:r>
        <w:rPr>
          <w:rFonts w:ascii="Calibri" w:cs="Calibri" w:eastAsia="Calibri" w:hAnsi="Calibri"/>
          <w:b w:val="false"/>
          <w:bCs w:val="false"/>
          <w:sz w:val="21"/>
          <w:szCs w:val="21"/>
        </w:rPr>
        <w:t xml:space="preserve">Total amount lent to customers: </w:t>
      </w:r>
      <w:r>
        <w:rPr>
          <w:rFonts w:ascii="Calibri" w:cs="Calibri" w:eastAsia="Calibri" w:hAnsi="Calibri"/>
          <w:b/>
          <w:bCs/>
          <w:sz w:val="21"/>
          <w:szCs w:val="21"/>
        </w:rPr>
        <w:t xml:space="preserve">₹10.94 crore</w:t>
      </w:r>
      <w:r>
        <w:rPr>
          <w:rFonts w:ascii="Calibri" w:cs="Calibri" w:eastAsia="Calibri" w:hAnsi="Calibri"/>
          <w:b w:val="false"/>
          <w:bCs w:val="false"/>
          <w:sz w:val="21"/>
          <w:szCs w:val="21"/>
        </w:rPr>
        <w:t xml:space="preserve"/>
      </w:r>
    </w:p>
    <w:p>
      <w:pPr>
        <w:pStyle w:val="ListParagraph"/>
        <w:numPr>
          <w:ilvl w:val="0"/>
          <w:numId w:val="2"/>
        </w:numPr>
        <w:spacing w:after="70" w:line="276"/>
      </w:pPr>
      <w:r>
        <w:rPr>
          <w:rFonts w:ascii="Calibri" w:cs="Calibri" w:eastAsia="Calibri" w:hAnsi="Calibri"/>
          <w:b w:val="false"/>
          <w:bCs w:val="false"/>
          <w:sz w:val="21"/>
          <w:szCs w:val="21"/>
        </w:rPr>
        <w:t xml:space="preserve">Interest income earned so far: </w:t>
      </w:r>
      <w:r>
        <w:rPr>
          <w:rFonts w:ascii="Calibri" w:cs="Calibri" w:eastAsia="Calibri" w:hAnsi="Calibri"/>
          <w:b/>
          <w:bCs/>
          <w:sz w:val="21"/>
          <w:szCs w:val="21"/>
        </w:rPr>
        <w:t xml:space="preserve">₹36.3 lakh</w:t>
      </w:r>
      <w:r>
        <w:rPr>
          <w:rFonts w:ascii="Calibri" w:cs="Calibri" w:eastAsia="Calibri" w:hAnsi="Calibri"/>
          <w:b w:val="false"/>
          <w:bCs w:val="false"/>
          <w:sz w:val="21"/>
          <w:szCs w:val="21"/>
        </w:rPr>
        <w:t xml:space="preserve"/>
      </w:r>
    </w:p>
    <w:p>
      <w:pPr>
        <w:pStyle w:val="ListParagraph"/>
        <w:numPr>
          <w:ilvl w:val="0"/>
          <w:numId w:val="2"/>
        </w:numPr>
        <w:spacing w:after="70" w:line="276"/>
      </w:pPr>
      <w:r>
        <w:rPr>
          <w:rFonts w:ascii="Calibri" w:cs="Calibri" w:eastAsia="Calibri" w:hAnsi="Calibri"/>
          <w:b w:val="false"/>
          <w:bCs w:val="false"/>
          <w:sz w:val="21"/>
          <w:szCs w:val="21"/>
        </w:rPr>
        <w:t xml:space="preserve">Total amount still outstanding (principal plus interest, less collections): </w:t>
      </w:r>
      <w:r>
        <w:rPr>
          <w:rFonts w:ascii="Calibri" w:cs="Calibri" w:eastAsia="Calibri" w:hAnsi="Calibri"/>
          <w:b/>
          <w:bCs/>
          <w:sz w:val="21"/>
          <w:szCs w:val="21"/>
        </w:rPr>
        <w:t xml:space="preserve">₹9.93 crore</w:t>
      </w:r>
      <w:r>
        <w:rPr>
          <w:rFonts w:ascii="Calibri" w:cs="Calibri" w:eastAsia="Calibri" w:hAnsi="Calibri"/>
          <w:b w:val="false"/>
          <w:bCs w:val="false"/>
          <w:sz w:val="21"/>
          <w:szCs w:val="21"/>
        </w:rPr>
        <w:t xml:space="preserve"/>
      </w:r>
    </w:p>
    <w:p>
      <w:pPr>
        <w:keepNext/>
        <w:spacing w:after="70" w:before="140"/>
      </w:pPr>
      <w:r>
        <w:rPr>
          <w:rFonts w:ascii="Calibri" w:cs="Calibri" w:eastAsia="Calibri" w:hAnsi="Calibri"/>
          <w:b/>
          <w:bCs/>
          <w:sz w:val="21"/>
          <w:szCs w:val="21"/>
        </w:rPr>
        <w:t xml:space="preserve">2. How collections and lending have moved month by month</w:t>
      </w:r>
    </w:p>
    <w:p>
      <w:pPr>
        <w:spacing w:after="100" w:line="276"/>
      </w:pPr>
      <w:r>
        <w:rPr>
          <w:rFonts w:ascii="Calibri" w:cs="Calibri" w:eastAsia="Calibri" w:hAnsi="Calibri"/>
          <w:b w:val="false"/>
          <w:bCs w:val="false"/>
          <w:sz w:val="21"/>
          <w:szCs w:val="21"/>
        </w:rPr>
        <w:t xml:space="preserve">The table shows what was lent in each month and how much of it has been collected back so far.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2400"/>
        <w:gridCol w:w="2400"/>
        <w:gridCol w:w="2400"/>
      </w:tblGrid>
      <w:tr>
        <w:trPr>
          <w:tblHeader/>
        </w:trPr>
        <w:tc>
          <w:tcPr>
            <w:tcW w:type="dxa" w:w="1826"/>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Month</w:t>
            </w:r>
          </w:p>
        </w:tc>
        <w:tc>
          <w:tcPr>
            <w:tcW w:type="dxa" w:w="24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jc w:val="right"/>
            </w:pPr>
            <w:r>
              <w:rPr>
                <w:rFonts w:ascii="Calibri" w:cs="Calibri" w:eastAsia="Calibri" w:hAnsi="Calibri"/>
                <w:b/>
                <w:bCs/>
                <w:color w:val="FFFFFF"/>
                <w:sz w:val="20"/>
                <w:szCs w:val="20"/>
              </w:rPr>
              <w:t xml:space="preserve">Amount lent (₹)</w:t>
            </w:r>
          </w:p>
        </w:tc>
        <w:tc>
          <w:tcPr>
            <w:tcW w:type="dxa" w:w="24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jc w:val="right"/>
            </w:pPr>
            <w:r>
              <w:rPr>
                <w:rFonts w:ascii="Calibri" w:cs="Calibri" w:eastAsia="Calibri" w:hAnsi="Calibri"/>
                <w:b/>
                <w:bCs/>
                <w:color w:val="FFFFFF"/>
                <w:sz w:val="20"/>
                <w:szCs w:val="20"/>
              </w:rPr>
              <w:t xml:space="preserve">Collected so far (₹)</w:t>
            </w:r>
          </w:p>
        </w:tc>
        <w:tc>
          <w:tcPr>
            <w:tcW w:type="dxa" w:w="24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jc w:val="right"/>
            </w:pPr>
            <w:r>
              <w:rPr>
                <w:rFonts w:ascii="Calibri" w:cs="Calibri" w:eastAsia="Calibri" w:hAnsi="Calibri"/>
                <w:b/>
                <w:bCs/>
                <w:color w:val="FFFFFF"/>
                <w:sz w:val="20"/>
                <w:szCs w:val="20"/>
              </w:rPr>
              <w:t xml:space="preserve">Collected %</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Jan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2,07,34,000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43,87,565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21.2%</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Feb</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2,16,63,000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37,84,489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17.5%</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Mar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2,18,18,000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25,19,338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11.5%</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Apr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2,06,42,000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16,70,725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8.1%</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May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1,30,97,000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9,06,181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6.9%</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Jun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1,14,21,000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4,33,928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3.8%</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Total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10,93,75,000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1,37,02,226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12.5%</w:t>
            </w:r>
          </w:p>
        </w:tc>
      </w:tr>
    </w:tbl>
    <w:p>
      <w:pPr>
        <w:spacing w:after="80"/>
      </w:pPr>
    </w:p>
    <w:p>
      <w:pPr>
        <w:pStyle w:val="ListParagraph"/>
        <w:numPr>
          <w:ilvl w:val="0"/>
          <w:numId w:val="2"/>
        </w:numPr>
        <w:spacing w:after="70" w:line="276"/>
      </w:pPr>
      <w:r>
        <w:rPr>
          <w:rFonts w:ascii="Calibri" w:cs="Calibri" w:eastAsia="Calibri" w:hAnsi="Calibri"/>
          <w:b w:val="false"/>
          <w:bCs w:val="false"/>
          <w:sz w:val="21"/>
          <w:szCs w:val="21"/>
        </w:rPr>
        <w:t xml:space="preserve">Lending held steady at about ₹2.1–2.2 crore a month from January to April, then fell sharply to ₹1.31 crore in May and ₹1.14 crore in June, roughly half the Q1 level. The dashboard does not show why, so leadership should confirm whether this was a deliberate slowdown or lost business.</w:t>
      </w:r>
    </w:p>
    <w:p>
      <w:pPr>
        <w:pStyle w:val="ListParagraph"/>
        <w:numPr>
          <w:ilvl w:val="0"/>
          <w:numId w:val="2"/>
        </w:numPr>
        <w:spacing w:after="70" w:line="276"/>
      </w:pPr>
      <w:r>
        <w:rPr>
          <w:rFonts w:ascii="Calibri" w:cs="Calibri" w:eastAsia="Calibri" w:hAnsi="Calibri"/>
          <w:b w:val="false"/>
          <w:bCs w:val="false"/>
          <w:sz w:val="21"/>
          <w:szCs w:val="21"/>
        </w:rPr>
        <w:t xml:space="preserve">Older loans have been collected more than newer ones (21.2% for January loans against 3.8% for June loans). Some of this is natural, since newer loans have had less time to repay. It still means collections on the Mar–Apr batches deserve a closer look.</w:t>
      </w:r>
    </w:p>
    <w:p>
      <w:pPr>
        <w:keepNext/>
        <w:spacing w:after="70" w:before="140"/>
      </w:pPr>
      <w:r>
        <w:rPr>
          <w:rFonts w:ascii="Calibri" w:cs="Calibri" w:eastAsia="Calibri" w:hAnsi="Calibri"/>
          <w:b/>
          <w:bCs/>
          <w:sz w:val="21"/>
          <w:szCs w:val="21"/>
        </w:rPr>
        <w:t xml:space="preserve">3. How risky is the current book?</w:t>
      </w:r>
    </w:p>
    <w:p>
      <w:pPr>
        <w:pStyle w:val="ListParagraph"/>
        <w:numPr>
          <w:ilvl w:val="0"/>
          <w:numId w:val="2"/>
        </w:numPr>
        <w:spacing w:after="7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8%</w:t>
      </w:r>
      <w:r>
        <w:rPr>
          <w:rFonts w:ascii="Calibri" w:cs="Calibri" w:eastAsia="Calibri" w:hAnsi="Calibri"/>
          <w:b w:val="false"/>
          <w:bCs w:val="false"/>
          <w:sz w:val="21"/>
          <w:szCs w:val="21"/>
        </w:rPr>
        <w:t xml:space="preserve"> of all loans (16 loans) are classified as "bad debt" (customers who have stopped paying for more than 90 days, so the money may never fully come back).</w:t>
      </w:r>
    </w:p>
    <w:p>
      <w:pPr>
        <w:pStyle w:val="ListParagraph"/>
        <w:numPr>
          <w:ilvl w:val="0"/>
          <w:numId w:val="2"/>
        </w:numPr>
        <w:spacing w:after="70" w:line="276"/>
      </w:pPr>
      <w:r>
        <w:rPr>
          <w:rFonts w:ascii="Calibri" w:cs="Calibri" w:eastAsia="Calibri" w:hAnsi="Calibri"/>
          <w:b w:val="false"/>
          <w:bCs w:val="false"/>
          <w:sz w:val="21"/>
          <w:szCs w:val="21"/>
        </w:rPr>
        <w:t xml:space="preserve">Another </w:t>
      </w:r>
      <w:r>
        <w:rPr>
          <w:rFonts w:ascii="Calibri" w:cs="Calibri" w:eastAsia="Calibri" w:hAnsi="Calibri"/>
          <w:b/>
          <w:bCs/>
          <w:sz w:val="21"/>
          <w:szCs w:val="21"/>
        </w:rPr>
        <w:t xml:space="preserve">18.5%</w:t>
      </w:r>
      <w:r>
        <w:rPr>
          <w:rFonts w:ascii="Calibri" w:cs="Calibri" w:eastAsia="Calibri" w:hAnsi="Calibri"/>
          <w:b w:val="false"/>
          <w:bCs w:val="false"/>
          <w:sz w:val="21"/>
          <w:szCs w:val="21"/>
        </w:rPr>
        <w:t xml:space="preserve"> of loans (37 loans) are in an early-warning zone: these customers have missed a payment but haven't crossed 90 days yet. This is the pool of loans most likely to turn bad next, unless the company acts now.</w:t>
      </w:r>
    </w:p>
    <w:p>
      <w:pPr>
        <w:keepNext/>
        <w:spacing w:after="70" w:before="140"/>
      </w:pPr>
      <w:r>
        <w:rPr>
          <w:rFonts w:ascii="Calibri" w:cs="Calibri" w:eastAsia="Calibri" w:hAnsi="Calibri"/>
          <w:b/>
          <w:bCs/>
          <w:sz w:val="21"/>
          <w:szCs w:val="21"/>
        </w:rPr>
        <w:t xml:space="preserve">4. Where is the risk concentrated?</w:t>
      </w:r>
    </w:p>
    <w:p>
      <w:pPr>
        <w:pStyle w:val="ListParagraph"/>
        <w:numPr>
          <w:ilvl w:val="0"/>
          <w:numId w:val="2"/>
        </w:numPr>
        <w:spacing w:after="7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By branch:</w:t>
      </w:r>
      <w:r>
        <w:rPr>
          <w:rFonts w:ascii="Calibri" w:cs="Calibri" w:eastAsia="Calibri" w:hAnsi="Calibri"/>
          <w:b w:val="false"/>
          <w:bCs w:val="false"/>
          <w:sz w:val="21"/>
          <w:szCs w:val="21"/>
        </w:rPr>
        <w:t xml:space="preserve"> Chennai has the highest bad-loan rate (10.7%), followed by Pune (10.0%) and Bengaluru (9.5%). Bhubaneswar is the healthiest at 4.0%, less than half the rate of the riskiest branch. Mumbai (6.5%) and Kolkata (7.4%) are also below the company average.</w:t>
      </w:r>
    </w:p>
    <w:p>
      <w:pPr>
        <w:pStyle w:val="ListParagraph"/>
        <w:numPr>
          <w:ilvl w:val="0"/>
          <w:numId w:val="2"/>
        </w:numPr>
        <w:spacing w:after="7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By region:</w:t>
      </w:r>
      <w:r>
        <w:rPr>
          <w:rFonts w:ascii="Calibri" w:cs="Calibri" w:eastAsia="Calibri" w:hAnsi="Calibri"/>
          <w:b w:val="false"/>
          <w:bCs w:val="false"/>
          <w:sz w:val="21"/>
          <w:szCs w:val="21"/>
        </w:rPr>
        <w:t xml:space="preserve"> South is the highest at 10.2%, then North (8.3%) and West (7.8%). East is the safest at 5.8%.</w:t>
      </w:r>
    </w:p>
    <w:p>
      <w:pPr>
        <w:pStyle w:val="ListParagraph"/>
        <w:numPr>
          <w:ilvl w:val="0"/>
          <w:numId w:val="2"/>
        </w:numPr>
        <w:spacing w:after="7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By product:</w:t>
      </w:r>
      <w:r>
        <w:rPr>
          <w:rFonts w:ascii="Calibri" w:cs="Calibri" w:eastAsia="Calibri" w:hAnsi="Calibri"/>
          <w:b w:val="false"/>
          <w:bCs w:val="false"/>
          <w:sz w:val="21"/>
          <w:szCs w:val="21"/>
        </w:rPr>
        <w:t xml:space="preserve"> Personal Loans are the riskiest, with 13.6% turning bad, nearly double the overall average. Home Improvement Loans (8.8%) and Business Loans (8.3%) sit close to average, Vehicle Loans are lower at 6.5%, and Gold Loans are the safest at just 2.5%.</w:t>
      </w:r>
    </w:p>
    <w:p>
      <w:pPr>
        <w:keepNext/>
        <w:spacing w:after="70" w:before="140"/>
      </w:pPr>
      <w:r>
        <w:rPr>
          <w:rFonts w:ascii="Calibri" w:cs="Calibri" w:eastAsia="Calibri" w:hAnsi="Calibri"/>
          <w:b/>
          <w:bCs/>
          <w:sz w:val="21"/>
          <w:szCs w:val="21"/>
        </w:rPr>
        <w:t xml:space="preserve">5. Who is more likely to default?</w:t>
      </w:r>
    </w:p>
    <w:p>
      <w:pPr>
        <w:pStyle w:val="ListParagraph"/>
        <w:numPr>
          <w:ilvl w:val="0"/>
          <w:numId w:val="2"/>
        </w:numPr>
        <w:spacing w:after="7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By employment type:</w:t>
      </w:r>
      <w:r>
        <w:rPr>
          <w:rFonts w:ascii="Calibri" w:cs="Calibri" w:eastAsia="Calibri" w:hAnsi="Calibri"/>
          <w:b w:val="false"/>
          <w:bCs w:val="false"/>
          <w:sz w:val="21"/>
          <w:szCs w:val="21"/>
        </w:rPr>
        <w:t xml:space="preserve"> Business Owners have the highest default rate (10.3%), followed by Self-Employed customers (8.6%). Salaried customers are the safest by a clear margin (5.4%), at about half the risk of Business Owners.</w:t>
      </w:r>
    </w:p>
    <w:p>
      <w:pPr>
        <w:pStyle w:val="ListParagraph"/>
        <w:numPr>
          <w:ilvl w:val="0"/>
          <w:numId w:val="2"/>
        </w:numPr>
        <w:spacing w:after="7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By age:</w:t>
      </w:r>
      <w:r>
        <w:rPr>
          <w:rFonts w:ascii="Calibri" w:cs="Calibri" w:eastAsia="Calibri" w:hAnsi="Calibri"/>
          <w:b w:val="false"/>
          <w:bCs w:val="false"/>
          <w:sz w:val="21"/>
          <w:szCs w:val="21"/>
        </w:rPr>
        <w:t xml:space="preserve"> Risk peaks in the middle of the age range. Customers aged 30–40 default most (10.9%), followed by 40–50 (9.8%). Customers under 30 sit at 6.1%, and customers 50 and over are by far the safest at 3.9%.</w:t>
      </w:r>
    </w:p>
    <w:p>
      <w:pPr>
        <w:pStyle w:val="ListParagraph"/>
        <w:numPr>
          <w:ilvl w:val="0"/>
          <w:numId w:val="2"/>
        </w:numPr>
        <w:spacing w:after="70" w:line="276"/>
      </w:pPr>
      <w:r>
        <w:rPr>
          <w:rFonts w:ascii="Calibri" w:cs="Calibri" w:eastAsia="Calibri" w:hAnsi="Calibri"/>
          <w:b w:val="false"/>
          <w:bCs w:val="false"/>
          <w:sz w:val="21"/>
          <w:szCs w:val="21"/>
        </w:rPr>
        <w:t xml:space="preserve">Employment type and age are both meaningful early signals of risk that can be used when screening new applications.</w:t>
      </w:r>
    </w:p>
    <w:p>
      <w:pPr>
        <w:keepNext/>
        <w:spacing w:after="70" w:before="140"/>
      </w:pPr>
      <w:r>
        <w:rPr>
          <w:rFonts w:ascii="Calibri" w:cs="Calibri" w:eastAsia="Calibri" w:hAnsi="Calibri"/>
          <w:b/>
          <w:bCs/>
          <w:sz w:val="21"/>
          <w:szCs w:val="21"/>
        </w:rPr>
        <w:t xml:space="preserve">6. Where is the company actually making money?</w:t>
      </w:r>
    </w:p>
    <w:p>
      <w:pPr>
        <w:spacing w:after="100" w:line="276"/>
      </w:pPr>
      <w:r>
        <w:rPr>
          <w:rFonts w:ascii="Calibri" w:cs="Calibri" w:eastAsia="Calibri" w:hAnsi="Calibri"/>
          <w:b w:val="false"/>
          <w:bCs w:val="false"/>
          <w:sz w:val="21"/>
          <w:szCs w:val="21"/>
        </w:rPr>
        <w:t xml:space="preserve">Interest income varies widely between branches, and it does not line up neatly with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Branch</w:t>
            </w:r>
          </w:p>
        </w:tc>
        <w:tc>
          <w:tcPr>
            <w:tcW w:type="dxa" w:w="2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jc w:val="right"/>
            </w:pPr>
            <w:r>
              <w:rPr>
                <w:rFonts w:ascii="Calibri" w:cs="Calibri" w:eastAsia="Calibri" w:hAnsi="Calibri"/>
                <w:b/>
                <w:bCs/>
                <w:color w:val="FFFFFF"/>
                <w:sz w:val="20"/>
                <w:szCs w:val="20"/>
              </w:rPr>
              <w:t xml:space="preserve">Interest income (₹)</w:t>
            </w:r>
          </w:p>
        </w:tc>
        <w:tc>
          <w:tcPr>
            <w:tcW w:type="dxa" w:w="2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jc w:val="right"/>
            </w:pPr>
            <w:r>
              <w:rPr>
                <w:rFonts w:ascii="Calibri" w:cs="Calibri" w:eastAsia="Calibri" w:hAnsi="Calibri"/>
                <w:b/>
                <w:bCs/>
                <w:color w:val="FFFFFF"/>
                <w:sz w:val="20"/>
                <w:szCs w:val="20"/>
              </w:rPr>
              <w:t xml:space="preserve">Bad-loan rate</w:t>
            </w:r>
          </w:p>
        </w:tc>
        <w:tc>
          <w:tcPr>
            <w:tcW w:type="dxa" w:w="2200"/>
            <w:tcBorders>
              <w:top w:val="single" w:color="BFBFBF" w:sz="4"/>
              <w:left w:val="single" w:color="BFBFBF" w:sz="4"/>
              <w:bottom w:val="single" w:color="BFBFBF" w:sz="4"/>
              <w:right w:val="single" w:color="BFBFBF" w:sz="4"/>
            </w:tcBorders>
            <w:shd w:fill="C00000" w:color="auto" w:val="clear"/>
            <w:tcMar>
              <w:top w:type="dxa" w:w="60"/>
              <w:left w:type="dxa" w:w="100"/>
              <w:bottom w:type="dxa" w:w="60"/>
              <w:right w:type="dxa" w:w="100"/>
            </w:tcMar>
          </w:tcPr>
          <w:p>
            <w:pPr>
              <w:jc w:val="right"/>
            </w:pPr>
            <w:r>
              <w:rPr>
                <w:rFonts w:ascii="Calibri" w:cs="Calibri" w:eastAsia="Calibri" w:hAnsi="Calibri"/>
                <w:b/>
                <w:bCs/>
                <w:color w:val="FFFFFF"/>
                <w:sz w:val="20"/>
                <w:szCs w:val="20"/>
              </w:rPr>
              <w:t xml:space="preserve">Overdue loans</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Kolkata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5,70,012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7.4%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4</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Bhubaneswar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5,59,662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4.0%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6</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Mumbai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5,09,710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6.5%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5</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Bengaluru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4,37,013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9.5%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5</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Delhi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4,21,154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8.3%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Lucknow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3,85,297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8.3%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5</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Pune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3,81,305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4</w:t>
            </w:r>
          </w:p>
        </w:tc>
      </w:tr>
      <w:tr>
        <w:trPr>
          <w:cantSplit/>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Chennai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3,64,603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10.7%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5</w:t>
            </w:r>
          </w:p>
        </w:tc>
      </w:tr>
    </w:tbl>
    <w:p>
      <w:pPr>
        <w:spacing w:after="80"/>
      </w:pPr>
    </w:p>
    <w:p>
      <w:pPr>
        <w:pStyle w:val="ListParagraph"/>
        <w:numPr>
          <w:ilvl w:val="0"/>
          <w:numId w:val="2"/>
        </w:numPr>
        <w:spacing w:after="7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Kolkata</w:t>
      </w:r>
      <w:r>
        <w:rPr>
          <w:rFonts w:ascii="Calibri" w:cs="Calibri" w:eastAsia="Calibri" w:hAnsi="Calibri"/>
          <w:b w:val="false"/>
          <w:bCs w:val="false"/>
          <w:sz w:val="21"/>
          <w:szCs w:val="21"/>
        </w:rPr>
        <w:t xml:space="preserve"> earns the most interest income (₹5.70 lakh), with </w:t>
      </w:r>
      <w:r>
        <w:rPr>
          <w:rFonts w:ascii="Calibri" w:cs="Calibri" w:eastAsia="Calibri" w:hAnsi="Calibri"/>
          <w:b/>
          <w:bCs/>
          <w:sz w:val="21"/>
          <w:szCs w:val="21"/>
        </w:rPr>
        <w:t xml:space="preserve">Bhubaneswar</w:t>
      </w:r>
      <w:r>
        <w:rPr>
          <w:rFonts w:ascii="Calibri" w:cs="Calibri" w:eastAsia="Calibri" w:hAnsi="Calibri"/>
          <w:b w:val="false"/>
          <w:bCs w:val="false"/>
          <w:sz w:val="21"/>
          <w:szCs w:val="21"/>
        </w:rPr>
        <w:t xml:space="preserve"> (₹5.60 lakh) and </w:t>
      </w:r>
      <w:r>
        <w:rPr>
          <w:rFonts w:ascii="Calibri" w:cs="Calibri" w:eastAsia="Calibri" w:hAnsi="Calibri"/>
          <w:b/>
          <w:bCs/>
          <w:sz w:val="21"/>
          <w:szCs w:val="21"/>
        </w:rPr>
        <w:t xml:space="preserve">Mumbai</w:t>
      </w:r>
      <w:r>
        <w:rPr>
          <w:rFonts w:ascii="Calibri" w:cs="Calibri" w:eastAsia="Calibri" w:hAnsi="Calibri"/>
          <w:b w:val="false"/>
          <w:bCs w:val="false"/>
          <w:sz w:val="21"/>
          <w:szCs w:val="21"/>
        </w:rPr>
        <w:t xml:space="preserve"> (₹5.10 lakh) close behind.</w:t>
      </w:r>
    </w:p>
    <w:p>
      <w:pPr>
        <w:pStyle w:val="ListParagraph"/>
        <w:numPr>
          <w:ilvl w:val="0"/>
          <w:numId w:val="2"/>
        </w:numPr>
        <w:spacing w:after="7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Bhubaneswar</w:t>
      </w:r>
      <w:r>
        <w:rPr>
          <w:rFonts w:ascii="Calibri" w:cs="Calibri" w:eastAsia="Calibri" w:hAnsi="Calibri"/>
          <w:b w:val="false"/>
          <w:bCs w:val="false"/>
          <w:sz w:val="21"/>
          <w:szCs w:val="21"/>
        </w:rPr>
        <w:t xml:space="preserve"> pairs near-top income with the lowest bad-loan rate, making it the strongest branch overall.</w:t>
      </w:r>
    </w:p>
    <w:p>
      <w:pPr>
        <w:pStyle w:val="ListParagraph"/>
        <w:numPr>
          <w:ilvl w:val="0"/>
          <w:numId w:val="2"/>
        </w:numPr>
        <w:spacing w:after="7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Chennai</w:t>
      </w:r>
      <w:r>
        <w:rPr>
          <w:rFonts w:ascii="Calibri" w:cs="Calibri" w:eastAsia="Calibri" w:hAnsi="Calibri"/>
          <w:b w:val="false"/>
          <w:bCs w:val="false"/>
          <w:sz w:val="21"/>
          <w:szCs w:val="21"/>
        </w:rPr>
        <w:t xml:space="preserve"> is a double concern: the highest bad-loan rate and the lowest interest income (₹3.65 lakh). </w:t>
      </w:r>
      <w:r>
        <w:rPr>
          <w:rFonts w:ascii="Calibri" w:cs="Calibri" w:eastAsia="Calibri" w:hAnsi="Calibri"/>
          <w:b/>
          <w:bCs/>
          <w:sz w:val="21"/>
          <w:szCs w:val="21"/>
        </w:rPr>
        <w:t xml:space="preserve">Pune</w:t>
      </w:r>
      <w:r>
        <w:rPr>
          <w:rFonts w:ascii="Calibri" w:cs="Calibri" w:eastAsia="Calibri" w:hAnsi="Calibri"/>
          <w:b w:val="false"/>
          <w:bCs w:val="false"/>
          <w:sz w:val="21"/>
          <w:szCs w:val="21"/>
        </w:rPr>
        <w:t xml:space="preserve"> is similar, with the second-highest bad-loan rate and the second-lowest income.</w:t>
      </w:r>
    </w:p>
    <w:p>
      <w:pPr>
        <w:keepNext/>
        <w:spacing w:after="70" w:before="140"/>
      </w:pPr>
      <w:r>
        <w:rPr>
          <w:rFonts w:ascii="Calibri" w:cs="Calibri" w:eastAsia="Calibri" w:hAnsi="Calibri"/>
          <w:b/>
          <w:bCs/>
          <w:sz w:val="21"/>
          <w:szCs w:val="21"/>
        </w:rPr>
        <w:t xml:space="preserve">7. Early-warning loans by branch</w:t>
      </w:r>
    </w:p>
    <w:p>
      <w:pPr>
        <w:pStyle w:val="ListParagraph"/>
        <w:numPr>
          <w:ilvl w:val="0"/>
          <w:numId w:val="2"/>
        </w:numPr>
        <w:spacing w:after="70" w:line="276"/>
      </w:pPr>
      <w:r>
        <w:rPr>
          <w:rFonts w:ascii="Calibri" w:cs="Calibri" w:eastAsia="Calibri" w:hAnsi="Calibri"/>
          <w:b w:val="false"/>
          <w:bCs w:val="false"/>
          <w:sz w:val="21"/>
          <w:szCs w:val="21"/>
        </w:rPr>
        <w:t xml:space="preserve">The 37 overdue loans are fairly evenly spread: Bhubaneswar has the most (6), then Bengaluru, Chennai, Lucknow and Mumbai (5 each), Kolkata and Pune (4 each) and Delhi the fewest (3).</w:t>
      </w:r>
    </w:p>
    <w:p>
      <w:pPr>
        <w:pStyle w:val="ListParagraph"/>
        <w:numPr>
          <w:ilvl w:val="0"/>
          <w:numId w:val="2"/>
        </w:numPr>
        <w:spacing w:after="70" w:line="276"/>
      </w:pPr>
      <w:r>
        <w:rPr>
          <w:rFonts w:ascii="Calibri" w:cs="Calibri" w:eastAsia="Calibri" w:hAnsi="Calibri"/>
          <w:b w:val="false"/>
          <w:bCs w:val="false"/>
          <w:sz w:val="21"/>
          <w:szCs w:val="21"/>
        </w:rPr>
        <w:t xml:space="preserve">Bhubaneswar's bad-loan rate is the lowest, yet it has the most overdue accounts. Its good record should not hide the fact that these loans need follow-up.</w:t>
      </w:r>
    </w:p>
    <w:p>
      <w:pPr>
        <w:pBdr>
          <w:bottom w:val="single" w:color="A6A6A6" w:sz="6" w:space="1"/>
        </w:pBdr>
        <w:spacing w:after="100" w:before="100"/>
      </w:pPr>
    </w:p>
    <w:p>
      <w:pPr>
        <w:keepNext/>
        <w:spacing w:after="100" w:before="200"/>
      </w:pPr>
      <w:r>
        <w:rPr>
          <w:rFonts w:ascii="Calibri" w:cs="Calibri" w:eastAsia="Calibri" w:hAnsi="Calibri"/>
          <w:b/>
          <w:bCs/>
          <w:sz w:val="23"/>
          <w:szCs w:val="23"/>
        </w:rPr>
        <w:t xml:space="preserve">What the Risk Analysis Means for the Future</w:t>
      </w:r>
    </w:p>
    <w:p>
      <w:pPr>
        <w:pStyle w:val="ListParagraph"/>
        <w:numPr>
          <w:ilvl w:val="0"/>
          <w:numId w:val="3"/>
        </w:numPr>
        <w:spacing w:after="9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Targeted monitoring.</w:t>
      </w:r>
      <w:r>
        <w:rPr>
          <w:rFonts w:ascii="Calibri" w:cs="Calibri" w:eastAsia="Calibri" w:hAnsi="Calibri"/>
          <w:b w:val="false"/>
          <w:bCs w:val="false"/>
          <w:sz w:val="21"/>
          <w:szCs w:val="21"/>
        </w:rPr>
        <w:t xml:space="preserve"> Risk is concentrated in specific branches (Chennai, Pune, Bengaluru), one region (South) and one product (Personal Loans). The company can focus extra scrutiny there without slowing down healthy business elsewhere.</w:t>
      </w:r>
    </w:p>
    <w:p>
      <w:pPr>
        <w:pStyle w:val="ListParagraph"/>
        <w:numPr>
          <w:ilvl w:val="0"/>
          <w:numId w:val="3"/>
        </w:numPr>
        <w:spacing w:after="9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Catching problems earlier.</w:t>
      </w:r>
      <w:r>
        <w:rPr>
          <w:rFonts w:ascii="Calibri" w:cs="Calibri" w:eastAsia="Calibri" w:hAnsi="Calibri"/>
          <w:b w:val="false"/>
          <w:bCs w:val="false"/>
          <w:sz w:val="21"/>
          <w:szCs w:val="21"/>
        </w:rPr>
        <w:t xml:space="preserve"> The 37 loans in the early-warning zone are the most useful group for preventing future losses. A timely phone call or payment plan can still recover many of them before they become bad debt.</w:t>
      </w:r>
    </w:p>
    <w:p>
      <w:pPr>
        <w:pStyle w:val="ListParagraph"/>
        <w:numPr>
          <w:ilvl w:val="0"/>
          <w:numId w:val="3"/>
        </w:numPr>
        <w:spacing w:after="9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Smarter lending decisions.</w:t>
      </w:r>
      <w:r>
        <w:rPr>
          <w:rFonts w:ascii="Calibri" w:cs="Calibri" w:eastAsia="Calibri" w:hAnsi="Calibri"/>
          <w:b w:val="false"/>
          <w:bCs w:val="false"/>
          <w:sz w:val="21"/>
          <w:szCs w:val="21"/>
        </w:rPr>
        <w:t xml:space="preserve"> Business Owners default almost twice as often as Salaried customers, and the 30–50 age group carries the highest risk. Approvals for these groups could require extra documentation or a co-signer, rather than treating every applicant the same way.</w:t>
      </w:r>
    </w:p>
    <w:p>
      <w:pPr>
        <w:keepNext/>
        <w:spacing w:after="100" w:before="200"/>
      </w:pPr>
      <w:r>
        <w:rPr>
          <w:rFonts w:ascii="Calibri" w:cs="Calibri" w:eastAsia="Calibri" w:hAnsi="Calibri"/>
          <w:b/>
          <w:bCs/>
          <w:sz w:val="23"/>
          <w:szCs w:val="23"/>
        </w:rPr>
        <w:t xml:space="preserve">What the Profitability Analysis Means for the Future</w:t>
      </w:r>
    </w:p>
    <w:p>
      <w:pPr>
        <w:pStyle w:val="ListParagraph"/>
        <w:numPr>
          <w:ilvl w:val="0"/>
          <w:numId w:val="4"/>
        </w:numPr>
        <w:spacing w:after="9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Judge branches on profit and recovery, not volume.</w:t>
      </w:r>
      <w:r>
        <w:rPr>
          <w:rFonts w:ascii="Calibri" w:cs="Calibri" w:eastAsia="Calibri" w:hAnsi="Calibri"/>
          <w:b w:val="false"/>
          <w:bCs w:val="false"/>
          <w:sz w:val="21"/>
          <w:szCs w:val="21"/>
        </w:rPr>
        <w:t xml:space="preserve"> Kolkata and Bhubaneswar earn the most interest while Chennai and Pune earn the least, so branch performance should be measured by profitable recovery rather than how much was lent.</w:t>
      </w:r>
    </w:p>
    <w:p>
      <w:pPr>
        <w:pStyle w:val="ListParagraph"/>
        <w:numPr>
          <w:ilvl w:val="0"/>
          <w:numId w:val="4"/>
        </w:numPr>
        <w:spacing w:after="9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Weigh risk against reward deliberately.</w:t>
      </w:r>
      <w:r>
        <w:rPr>
          <w:rFonts w:ascii="Calibri" w:cs="Calibri" w:eastAsia="Calibri" w:hAnsi="Calibri"/>
          <w:b w:val="false"/>
          <w:bCs w:val="false"/>
          <w:sz w:val="21"/>
          <w:szCs w:val="21"/>
        </w:rPr>
        <w:t xml:space="preserve"> Personal Loans carry by far the highest default rate, while Gold Loans are the safest. Leadership should decide consciously how much of each product it wants in the mix, rather than letting it drift.</w:t>
      </w:r>
    </w:p>
    <w:p>
      <w:pPr>
        <w:pStyle w:val="ListParagraph"/>
        <w:numPr>
          <w:ilvl w:val="0"/>
          <w:numId w:val="4"/>
        </w:numPr>
        <w:spacing w:after="90" w:line="276"/>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Use strong branches as benchmarks.</w:t>
      </w:r>
      <w:r>
        <w:rPr>
          <w:rFonts w:ascii="Calibri" w:cs="Calibri" w:eastAsia="Calibri" w:hAnsi="Calibri"/>
          <w:b w:val="false"/>
          <w:bCs w:val="false"/>
          <w:sz w:val="21"/>
          <w:szCs w:val="21"/>
        </w:rPr>
        <w:t xml:space="preserve"> Bhubaneswar (low risk, high income) and Kolkata (highest income) show what good looks like, and their practices can be shared across the network.</w:t>
      </w:r>
    </w:p>
    <w:p>
      <w:pPr>
        <w:pBdr>
          <w:bottom w:val="single" w:color="A6A6A6" w:sz="6" w:space="1"/>
        </w:pBdr>
        <w:spacing w:after="100" w:before="100"/>
      </w:pPr>
    </w:p>
    <w:p>
      <w:pPr>
        <w:keepNext/>
        <w:spacing w:after="100" w:before="200"/>
      </w:pPr>
      <w:r>
        <w:rPr>
          <w:rFonts w:ascii="Calibri" w:cs="Calibri" w:eastAsia="Calibri" w:hAnsi="Calibri"/>
          <w:b/>
          <w:bCs/>
          <w:sz w:val="23"/>
          <w:szCs w:val="23"/>
        </w:rPr>
        <w:t xml:space="preserve">Recommendations</w:t>
      </w:r>
    </w:p>
    <w:p>
      <w:pPr>
        <w:pStyle w:val="ListParagraph"/>
        <w:numPr>
          <w:ilvl w:val="0"/>
          <w:numId w:val="2"/>
        </w:numPr>
        <w:spacing w:after="70" w:line="276"/>
      </w:pPr>
      <w:r>
        <w:rPr>
          <w:rFonts w:ascii="Calibri" w:cs="Calibri" w:eastAsia="Calibri" w:hAnsi="Calibri"/>
          <w:b w:val="false"/>
          <w:bCs w:val="false"/>
          <w:sz w:val="21"/>
          <w:szCs w:val="21"/>
        </w:rPr>
        <w:t xml:space="preserve">Launch a focused collections effort on the </w:t>
      </w:r>
      <w:r>
        <w:rPr>
          <w:rFonts w:ascii="Calibri" w:cs="Calibri" w:eastAsia="Calibri" w:hAnsi="Calibri"/>
          <w:b/>
          <w:bCs/>
          <w:sz w:val="21"/>
          <w:szCs w:val="21"/>
        </w:rPr>
        <w:t xml:space="preserve">37 early-warning loans</w:t>
      </w:r>
      <w:r>
        <w:rPr>
          <w:rFonts w:ascii="Calibri" w:cs="Calibri" w:eastAsia="Calibri" w:hAnsi="Calibri"/>
          <w:b w:val="false"/>
          <w:bCs w:val="false"/>
          <w:sz w:val="21"/>
          <w:szCs w:val="21"/>
        </w:rPr>
        <w:t xml:space="preserve">, starting with Chennai, Bengaluru and Bhubaneswar, which together hold 16 of them.</w:t>
      </w:r>
    </w:p>
    <w:p>
      <w:pPr>
        <w:pStyle w:val="ListParagraph"/>
        <w:numPr>
          <w:ilvl w:val="0"/>
          <w:numId w:val="2"/>
        </w:numPr>
        <w:spacing w:after="70" w:line="276"/>
      </w:pPr>
      <w:r>
        <w:rPr>
          <w:rFonts w:ascii="Calibri" w:cs="Calibri" w:eastAsia="Calibri" w:hAnsi="Calibri"/>
          <w:b w:val="false"/>
          <w:bCs w:val="false"/>
          <w:sz w:val="21"/>
          <w:szCs w:val="21"/>
        </w:rPr>
        <w:t xml:space="preserve">Review </w:t>
      </w:r>
      <w:r>
        <w:rPr>
          <w:rFonts w:ascii="Calibri" w:cs="Calibri" w:eastAsia="Calibri" w:hAnsi="Calibri"/>
          <w:b/>
          <w:bCs/>
          <w:sz w:val="21"/>
          <w:szCs w:val="21"/>
        </w:rPr>
        <w:t xml:space="preserve">Personal Loan</w:t>
      </w:r>
      <w:r>
        <w:rPr>
          <w:rFonts w:ascii="Calibri" w:cs="Calibri" w:eastAsia="Calibri" w:hAnsi="Calibri"/>
          <w:b w:val="false"/>
          <w:bCs w:val="false"/>
          <w:sz w:val="21"/>
          <w:szCs w:val="21"/>
        </w:rPr>
        <w:t xml:space="preserve"> approval criteria, particularly for Business Owner applicants and customers aged 30–50, the combination with the highest observed risk.</w:t>
      </w:r>
    </w:p>
    <w:p>
      <w:pPr>
        <w:pStyle w:val="ListParagraph"/>
        <w:numPr>
          <w:ilvl w:val="0"/>
          <w:numId w:val="2"/>
        </w:numPr>
        <w:spacing w:after="70" w:line="276"/>
      </w:pPr>
      <w:r>
        <w:rPr>
          <w:rFonts w:ascii="Calibri" w:cs="Calibri" w:eastAsia="Calibri" w:hAnsi="Calibri"/>
          <w:b w:val="false"/>
          <w:bCs w:val="false"/>
          <w:sz w:val="21"/>
          <w:szCs w:val="21"/>
        </w:rPr>
        <w:t xml:space="preserve">Investigate the </w:t>
      </w:r>
      <w:r>
        <w:rPr>
          <w:rFonts w:ascii="Calibri" w:cs="Calibri" w:eastAsia="Calibri" w:hAnsi="Calibri"/>
          <w:b/>
          <w:bCs/>
          <w:sz w:val="21"/>
          <w:szCs w:val="21"/>
        </w:rPr>
        <w:t xml:space="preserve">sharp drop in lending in May and June</w:t>
      </w:r>
      <w:r>
        <w:rPr>
          <w:rFonts w:ascii="Calibri" w:cs="Calibri" w:eastAsia="Calibri" w:hAnsi="Calibri"/>
          <w:b w:val="false"/>
          <w:bCs w:val="false"/>
          <w:sz w:val="21"/>
          <w:szCs w:val="21"/>
        </w:rPr>
        <w:t xml:space="preserve"> and confirm whether it was intentional.</w:t>
      </w:r>
    </w:p>
    <w:p>
      <w:pPr>
        <w:pStyle w:val="ListParagraph"/>
        <w:numPr>
          <w:ilvl w:val="0"/>
          <w:numId w:val="2"/>
        </w:numPr>
        <w:spacing w:after="70" w:line="276"/>
      </w:pPr>
      <w:r>
        <w:rPr>
          <w:rFonts w:ascii="Calibri" w:cs="Calibri" w:eastAsia="Calibri" w:hAnsi="Calibri"/>
          <w:b w:val="false"/>
          <w:bCs w:val="false"/>
          <w:sz w:val="21"/>
          <w:szCs w:val="21"/>
        </w:rPr>
        <w:t xml:space="preserve">Study what </w:t>
      </w:r>
      <w:r>
        <w:rPr>
          <w:rFonts w:ascii="Calibri" w:cs="Calibri" w:eastAsia="Calibri" w:hAnsi="Calibri"/>
          <w:b/>
          <w:bCs/>
          <w:sz w:val="21"/>
          <w:szCs w:val="21"/>
        </w:rPr>
        <w:t xml:space="preserve">Bhubaneswar</w:t>
      </w:r>
      <w:r>
        <w:rPr>
          <w:rFonts w:ascii="Calibri" w:cs="Calibri" w:eastAsia="Calibri" w:hAnsi="Calibri"/>
          <w:b w:val="false"/>
          <w:bCs w:val="false"/>
          <w:sz w:val="21"/>
          <w:szCs w:val="21"/>
        </w:rPr>
        <w:t xml:space="preserve"> and </w:t>
      </w:r>
      <w:r>
        <w:rPr>
          <w:rFonts w:ascii="Calibri" w:cs="Calibri" w:eastAsia="Calibri" w:hAnsi="Calibri"/>
          <w:b/>
          <w:bCs/>
          <w:sz w:val="21"/>
          <w:szCs w:val="21"/>
        </w:rPr>
        <w:t xml:space="preserve">Kolkata</w:t>
      </w:r>
      <w:r>
        <w:rPr>
          <w:rFonts w:ascii="Calibri" w:cs="Calibri" w:eastAsia="Calibri" w:hAnsi="Calibri"/>
          <w:b w:val="false"/>
          <w:bCs w:val="false"/>
          <w:sz w:val="21"/>
          <w:szCs w:val="21"/>
        </w:rPr>
        <w:t xml:space="preserve"> are doing differently and use them as internal benchmarks; run a risk review at </w:t>
      </w:r>
      <w:r>
        <w:rPr>
          <w:rFonts w:ascii="Calibri" w:cs="Calibri" w:eastAsia="Calibri" w:hAnsi="Calibri"/>
          <w:b/>
          <w:bCs/>
          <w:sz w:val="21"/>
          <w:szCs w:val="21"/>
        </w:rPr>
        <w:t xml:space="preserve">Chennai</w:t>
      </w:r>
      <w:r>
        <w:rPr>
          <w:rFonts w:ascii="Calibri" w:cs="Calibri" w:eastAsia="Calibri" w:hAnsi="Calibri"/>
          <w:b w:val="false"/>
          <w:bCs w:val="false"/>
          <w:sz w:val="21"/>
          <w:szCs w:val="21"/>
        </w:rPr>
        <w:t xml:space="preserve"> and </w:t>
      </w:r>
      <w:r>
        <w:rPr>
          <w:rFonts w:ascii="Calibri" w:cs="Calibri" w:eastAsia="Calibri" w:hAnsi="Calibri"/>
          <w:b/>
          <w:bCs/>
          <w:sz w:val="21"/>
          <w:szCs w:val="21"/>
        </w:rPr>
        <w:t xml:space="preserve">Pune</w:t>
      </w:r>
      <w:r>
        <w:rPr>
          <w:rFonts w:ascii="Calibri" w:cs="Calibri" w:eastAsia="Calibri" w:hAnsi="Calibri"/>
          <w:b w:val="false"/>
          <w:bCs w:val="false"/>
          <w:sz w:val="21"/>
          <w:szCs w:val="21"/>
        </w:rPr>
        <w:t xml:space="preserve">.</w:t>
      </w:r>
    </w:p>
    <w:p>
      <w:pPr>
        <w:pStyle w:val="ListParagraph"/>
        <w:numPr>
          <w:ilvl w:val="0"/>
          <w:numId w:val="2"/>
        </w:numPr>
        <w:spacing w:after="70" w:line="276"/>
      </w:pPr>
      <w:r>
        <w:rPr>
          <w:rFonts w:ascii="Calibri" w:cs="Calibri" w:eastAsia="Calibri" w:hAnsi="Calibri"/>
          <w:b w:val="false"/>
          <w:bCs w:val="false"/>
          <w:sz w:val="21"/>
          <w:szCs w:val="21"/>
        </w:rPr>
        <w:t xml:space="preserve">Shift branch performance reviews from "how much was lent" to "how much was profitably recovered."</w:t>
      </w:r>
    </w:p>
    <w:p>
      <w:pPr>
        <w:pBdr>
          <w:bottom w:val="single" w:color="A6A6A6" w:sz="6" w:space="1"/>
        </w:pBdr>
        <w:spacing w:after="100" w:before="100"/>
      </w:pPr>
    </w:p>
    <w:p>
      <w:pPr>
        <w:keepNext/>
        <w:spacing w:after="100" w:before="200"/>
      </w:pPr>
      <w:r>
        <w:rPr>
          <w:rFonts w:ascii="Calibri" w:cs="Calibri" w:eastAsia="Calibri" w:hAnsi="Calibri"/>
          <w:b/>
          <w:bCs/>
          <w:sz w:val="23"/>
          <w:szCs w:val="23"/>
        </w:rPr>
        <w:t xml:space="preserve">Notes on the Data</w:t>
      </w:r>
    </w:p>
    <w:p>
      <w:pPr>
        <w:pStyle w:val="ListParagraph"/>
        <w:numPr>
          <w:ilvl w:val="0"/>
          <w:numId w:val="2"/>
        </w:numPr>
        <w:spacing w:after="70" w:line="276"/>
      </w:pPr>
      <w:r>
        <w:rPr>
          <w:rFonts w:ascii="Calibri" w:cs="Calibri" w:eastAsia="Calibri" w:hAnsi="Calibri"/>
          <w:b w:val="false"/>
          <w:bCs w:val="false"/>
          <w:sz w:val="21"/>
          <w:szCs w:val="21"/>
        </w:rPr>
        <w:t xml:space="preserve">With only 200 loans across 8 branches, each branch holds roughly 25 loans, so one or two loans can move a branch's bad-loan rate by several percentage points. Treat branch rankings as pointers for investigation rather than final verdicts.</w:t>
      </w:r>
    </w:p>
    <w:p>
      <w:pPr>
        <w:pStyle w:val="ListParagraph"/>
        <w:numPr>
          <w:ilvl w:val="0"/>
          <w:numId w:val="2"/>
        </w:numPr>
        <w:spacing w:after="70" w:line="276"/>
      </w:pPr>
      <w:r>
        <w:rPr>
          <w:rFonts w:ascii="Calibri" w:cs="Calibri" w:eastAsia="Calibri" w:hAnsi="Calibri"/>
          <w:b w:val="false"/>
          <w:bCs w:val="false"/>
          <w:sz w:val="21"/>
          <w:szCs w:val="21"/>
        </w:rPr>
        <w:t xml:space="preserve">The 8% and 18.5% figures are shares of the number of loans, not of the rupee value outstanding.</w:t>
      </w:r>
    </w:p>
    <w:p>
      <w:pPr>
        <w:pStyle w:val="ListParagraph"/>
        <w:numPr>
          <w:ilvl w:val="0"/>
          <w:numId w:val="2"/>
        </w:numPr>
        <w:spacing w:after="70" w:line="276"/>
      </w:pPr>
      <w:r>
        <w:rPr>
          <w:rFonts w:ascii="Calibri" w:cs="Calibri" w:eastAsia="Calibri" w:hAnsi="Calibri"/>
          <w:b w:val="false"/>
          <w:bCs w:val="false"/>
          <w:sz w:val="21"/>
          <w:szCs w:val="21"/>
        </w:rPr>
        <w:t xml:space="preserve">All figures come from the Suvidha Finance NBFC Loan Portfolio dashboard.</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2026-10-09T04:54:26.960Z</dcterms:created>
  <dcterms:modified xsi:type="dcterms:W3CDTF">2026-10-09T04:54:26.960Z</dcterms:modified>
</cp:coreProperties>
</file>

<file path=docProps/custom.xml><?xml version="1.0" encoding="utf-8"?>
<Properties xmlns="http://schemas.openxmlformats.org/officeDocument/2006/custom-properties" xmlns:vt="http://schemas.openxmlformats.org/officeDocument/2006/docPropsVTypes"/>
</file>