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2942"/>
          <w:sz w:val="44"/>
        </w:rPr>
        <w:t>CipherGuard: Comprehensive Project Status &amp; Phased Roadmap Report</w:t>
      </w:r>
    </w:p>
    <w:p>
      <w:pPr>
        <w:spacing w:before="0" w:after="240"/>
      </w:pPr>
      <w:r>
        <w:rPr>
          <w:rFonts w:ascii="Calibri" w:hAnsi="Calibri"/>
          <w:color w:val="1E5F8A"/>
          <w:sz w:val="22"/>
        </w:rPr>
        <w:t>Detailed Technical Audit: Inception, Phase 1 Completion, Identified Constraints, and Phased Roadmap (Phases 2-4)</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F1F5F9"/>
            <w:tcMar>
              <w:top w:w="100" w:type="dxa"/>
              <w:bottom w:w="100" w:type="dxa"/>
              <w:left w:w="120" w:type="dxa"/>
              <w:right w:w="120" w:type="dxa"/>
            </w:tcMar>
          </w:tcPr>
          <w:p>
            <w:pPr>
              <w:spacing w:after="40"/>
            </w:pPr>
            <w:r>
              <w:rPr>
                <w:b/>
                <w:color w:val="64748B"/>
                <w:sz w:val="16"/>
              </w:rPr>
              <w:t>CURRENT PHASE</w:t>
              <w:br/>
            </w:r>
            <w:r>
              <w:rPr>
                <w:b/>
                <w:color w:val="1E293B"/>
                <w:sz w:val="17"/>
              </w:rPr>
              <w:t>Phase 1 Completed</w:t>
              <w:br/>
              <w:t>(Dataset Engineering)</w:t>
            </w:r>
          </w:p>
        </w:tc>
        <w:tc>
          <w:tcPr>
            <w:tcW w:type="dxa" w:w="2520"/>
            <w:shd w:fill="F1F5F9"/>
            <w:tcMar>
              <w:top w:w="100" w:type="dxa"/>
              <w:bottom w:w="100" w:type="dxa"/>
              <w:left w:w="120" w:type="dxa"/>
              <w:right w:w="120" w:type="dxa"/>
            </w:tcMar>
          </w:tcPr>
          <w:p>
            <w:pPr>
              <w:spacing w:after="40"/>
            </w:pPr>
            <w:r>
              <w:rPr>
                <w:b/>
                <w:color w:val="64748B"/>
                <w:sz w:val="16"/>
              </w:rPr>
              <w:t>LIVE ENDPOINTS</w:t>
              <w:br/>
            </w:r>
            <w:r>
              <w:rPr>
                <w:b/>
                <w:color w:val="1E293B"/>
                <w:sz w:val="17"/>
              </w:rPr>
              <w:t>FastAPI REST API &amp;</w:t>
              <w:br/>
              <w:t>Streamlit UI Active</w:t>
            </w:r>
          </w:p>
        </w:tc>
        <w:tc>
          <w:tcPr>
            <w:tcW w:type="dxa" w:w="2520"/>
            <w:shd w:fill="F1F5F9"/>
            <w:tcMar>
              <w:top w:w="100" w:type="dxa"/>
              <w:bottom w:w="100" w:type="dxa"/>
              <w:left w:w="120" w:type="dxa"/>
              <w:right w:w="120" w:type="dxa"/>
            </w:tcMar>
          </w:tcPr>
          <w:p>
            <w:pPr>
              <w:spacing w:after="40"/>
            </w:pPr>
            <w:r>
              <w:rPr>
                <w:b/>
                <w:color w:val="64748B"/>
                <w:sz w:val="16"/>
              </w:rPr>
              <w:t>VERIFICATION SUITE</w:t>
              <w:br/>
            </w:r>
            <w:r>
              <w:rPr>
                <w:b/>
                <w:color w:val="1E293B"/>
                <w:sz w:val="17"/>
              </w:rPr>
              <w:t>13 / 13 Tests Passed</w:t>
              <w:br/>
              <w:t>(100% Pass Rate)</w:t>
            </w:r>
          </w:p>
        </w:tc>
        <w:tc>
          <w:tcPr>
            <w:tcW w:type="dxa" w:w="2520"/>
            <w:shd w:fill="F1F5F9"/>
            <w:tcMar>
              <w:top w:w="100" w:type="dxa"/>
              <w:bottom w:w="100" w:type="dxa"/>
              <w:left w:w="120" w:type="dxa"/>
              <w:right w:w="120" w:type="dxa"/>
            </w:tcMar>
          </w:tcPr>
          <w:p>
            <w:pPr>
              <w:spacing w:after="40"/>
            </w:pPr>
            <w:r>
              <w:rPr>
                <w:b/>
                <w:color w:val="64748B"/>
                <w:sz w:val="16"/>
              </w:rPr>
              <w:t>PHASED SCOPE</w:t>
              <w:br/>
            </w:r>
            <w:r>
              <w:rPr>
                <w:b/>
                <w:color w:val="1E293B"/>
                <w:sz w:val="17"/>
              </w:rPr>
              <w:t>Phases 1-4 Detailed</w:t>
              <w:br/>
              <w:t>(Zero Retraining Router)</w:t>
            </w:r>
          </w:p>
        </w:tc>
      </w:tr>
    </w:tbl>
    <w:p>
      <w:pPr>
        <w:spacing w:after="160"/>
      </w:pPr>
    </w:p>
    <w:p>
      <w:pPr>
        <w:keepNext/>
        <w:spacing w:before="320" w:after="120"/>
      </w:pPr>
      <w:r>
        <w:rPr>
          <w:rFonts w:ascii="Calibri" w:hAnsi="Calibri"/>
          <w:b/>
          <w:color w:val="0F2942"/>
          <w:sz w:val="28"/>
        </w:rPr>
        <w:t>1. Executive Summary &amp; Core Motivation</w:t>
      </w:r>
    </w:p>
    <w:p>
      <w:pPr>
        <w:spacing w:before="0" w:after="80" w:line="276" w:lineRule="auto"/>
      </w:pPr>
      <w:r>
        <w:rPr>
          <w:rFonts w:ascii="Calibri" w:hAnsi="Calibri"/>
          <w:color w:val="1E293B"/>
          <w:sz w:val="19"/>
        </w:rPr>
        <w:t>CipherGuard is engineered as an auditable, pre-agent security gateway positioned inline between untrusted inputs and core generative Large Language Model (LLM) agents. Enterprise LLM applications are vulnerable to two distinct attack surfaces: Direct Prompt Injection (DPI / jailbreaks in user turns) and Indirect Prompt Injection (IPI delivered via third-party retrieved context, tool outputs, emails, database records, and web data). Existing defensive mechanisms exhibit critical operational deficiencies:</w:t>
      </w:r>
    </w:p>
    <w:p>
      <w:pPr>
        <w:pStyle w:val="ListBullet"/>
        <w:spacing w:before="0" w:after="60" w:line="276" w:lineRule="auto"/>
      </w:pPr>
      <w:r>
        <w:rPr>
          <w:rFonts w:ascii="Calibri" w:hAnsi="Calibri"/>
          <w:b/>
          <w:color w:val="1E293B"/>
          <w:sz w:val="19"/>
        </w:rPr>
        <w:t xml:space="preserve">Rigidity of Monolithic Classifiers: </w:t>
      </w:r>
      <w:r>
        <w:rPr>
          <w:rFonts w:ascii="Calibri" w:hAnsi="Calibri"/>
          <w:color w:val="1E293B"/>
          <w:sz w:val="19"/>
        </w:rPr>
        <w:t>Static safety classifiers (such as Llama Guard or ShieldGemma) hardcode moderation criteria directly into model parameters. Adjusting a threshold or responding to evolving risk tolerance requires expensive, time-consuming model retraining.</w:t>
      </w:r>
    </w:p>
    <w:p>
      <w:pPr>
        <w:pStyle w:val="ListBullet"/>
        <w:spacing w:before="0" w:after="60" w:line="276" w:lineRule="auto"/>
      </w:pPr>
      <w:r>
        <w:rPr>
          <w:rFonts w:ascii="Calibri" w:hAnsi="Calibri"/>
          <w:b/>
          <w:color w:val="1E293B"/>
          <w:sz w:val="19"/>
        </w:rPr>
        <w:t xml:space="preserve">Latency &amp; Cost of LLM-as-a-Judge: </w:t>
      </w:r>
      <w:r>
        <w:rPr>
          <w:rFonts w:ascii="Calibri" w:hAnsi="Calibri"/>
          <w:color w:val="1E293B"/>
          <w:sz w:val="19"/>
        </w:rPr>
        <w:t>Using secondary LLMs to judge input safety introduces high per-token API costs, latency overheads of several hundred milliseconds to multiple seconds, and non-deterministic, unauditable rejection rationales.</w:t>
      </w:r>
    </w:p>
    <w:p>
      <w:pPr>
        <w:spacing w:before="0" w:after="80" w:line="276" w:lineRule="auto"/>
      </w:pPr>
      <w:r>
        <w:rPr>
          <w:rFonts w:ascii="Calibri" w:hAnsi="Calibri"/>
          <w:color w:val="1E293B"/>
          <w:sz w:val="19"/>
        </w:rPr>
        <w:t>CipherGuard resolves these bottlenecks through three interconnected architectural pillars:</w:t>
      </w:r>
    </w:p>
    <w:p>
      <w:pPr>
        <w:pStyle w:val="ListBullet"/>
        <w:spacing w:before="0" w:after="60" w:line="276" w:lineRule="auto"/>
      </w:pPr>
      <w:r>
        <w:rPr>
          <w:rFonts w:ascii="Calibri" w:hAnsi="Calibri"/>
          <w:b/>
          <w:color w:val="1E293B"/>
          <w:sz w:val="19"/>
        </w:rPr>
        <w:t xml:space="preserve">1. Dynamic Policy Matrix: </w:t>
      </w:r>
      <w:r>
        <w:rPr>
          <w:rFonts w:ascii="Calibri" w:hAnsi="Calibri"/>
          <w:color w:val="1E293B"/>
          <w:sz w:val="19"/>
        </w:rPr>
        <w:t>A JSON-configured decision engine that maps risk thresholds and routing actions (BLOCK, REVIEW, ALLOW) independently of classifier weights, enabling zero-retraining runtime policy adjustments.</w:t>
      </w:r>
    </w:p>
    <w:p>
      <w:pPr>
        <w:pStyle w:val="ListBullet"/>
        <w:spacing w:before="0" w:after="60" w:line="276" w:lineRule="auto"/>
      </w:pPr>
      <w:r>
        <w:rPr>
          <w:rFonts w:ascii="Calibri" w:hAnsi="Calibri"/>
          <w:b/>
          <w:color w:val="1E293B"/>
          <w:sz w:val="19"/>
        </w:rPr>
        <w:t xml:space="preserve">2. Dual-Surface Threat Modeling: </w:t>
      </w:r>
      <w:r>
        <w:rPr>
          <w:rFonts w:ascii="Calibri" w:hAnsi="Calibri"/>
          <w:color w:val="1E293B"/>
          <w:sz w:val="19"/>
        </w:rPr>
        <w:t>Independent risk scoring and threshold calibration tailored to the distinct statistical distributions of direct user turns versus indirect retrieved context.</w:t>
      </w:r>
    </w:p>
    <w:p>
      <w:pPr>
        <w:pStyle w:val="ListBullet"/>
        <w:spacing w:before="0" w:after="60" w:line="276" w:lineRule="auto"/>
      </w:pPr>
      <w:r>
        <w:rPr>
          <w:rFonts w:ascii="Calibri" w:hAnsi="Calibri"/>
          <w:b/>
          <w:color w:val="1E293B"/>
          <w:sz w:val="19"/>
        </w:rPr>
        <w:t xml:space="preserve">3. Removal-Based Contrastive Attribution: </w:t>
      </w:r>
      <w:r>
        <w:rPr>
          <w:rFonts w:ascii="Calibri" w:hAnsi="Calibri"/>
          <w:color w:val="1E293B"/>
          <w:sz w:val="19"/>
        </w:rPr>
        <w:t>An approximate beam search counterfactual engine that isolates the minimal token subset whose removal flips a BLOCK decision to PASS, delivering an actionable audit rationale and sanitized safe text.</w:t>
      </w:r>
    </w:p>
    <w:p>
      <w:pPr>
        <w:keepNext/>
        <w:spacing w:before="320" w:after="120"/>
      </w:pPr>
      <w:r>
        <w:rPr>
          <w:rFonts w:ascii="Calibri" w:hAnsi="Calibri"/>
          <w:b/>
          <w:color w:val="0F2942"/>
          <w:sz w:val="28"/>
        </w:rPr>
        <w:t>2. System Architecture &amp; Subsystems Decomposition</w:t>
      </w:r>
    </w:p>
    <w:p>
      <w:pPr>
        <w:spacing w:before="0" w:after="80" w:line="276" w:lineRule="auto"/>
      </w:pPr>
      <w:r>
        <w:rPr>
          <w:rFonts w:ascii="Calibri" w:hAnsi="Calibri"/>
          <w:color w:val="1E293B"/>
          <w:sz w:val="19"/>
        </w:rPr>
        <w:t>CipherGuard is partitioned into five isolated, modular subsystems operating in a coordinated pipeline:</w:t>
      </w:r>
    </w:p>
    <w:p>
      <w:pPr>
        <w:pStyle w:val="ListBullet"/>
        <w:spacing w:before="0" w:after="60" w:line="276" w:lineRule="auto"/>
      </w:pPr>
      <w:r>
        <w:rPr>
          <w:rFonts w:ascii="Calibri" w:hAnsi="Calibri"/>
          <w:b/>
          <w:color w:val="1E293B"/>
          <w:sz w:val="19"/>
        </w:rPr>
        <w:t xml:space="preserve">1. Ingestion Layer (src/ingestion/): </w:t>
      </w:r>
      <w:r>
        <w:rPr>
          <w:rFonts w:ascii="Calibri" w:hAnsi="Calibri"/>
          <w:color w:val="1E293B"/>
          <w:sz w:val="19"/>
        </w:rPr>
        <w:t>DirectInput (user turns) and IndirectInput (RAG chunks, tool outputs, emails, database rows, web snippets) with end-to-end metadata and surface provenance preservation.</w:t>
      </w:r>
    </w:p>
    <w:p>
      <w:pPr>
        <w:pStyle w:val="ListBullet"/>
        <w:spacing w:before="0" w:after="60" w:line="276" w:lineRule="auto"/>
      </w:pPr>
      <w:r>
        <w:rPr>
          <w:rFonts w:ascii="Calibri" w:hAnsi="Calibri"/>
          <w:b/>
          <w:color w:val="1E293B"/>
          <w:sz w:val="19"/>
        </w:rPr>
        <w:t xml:space="preserve">2. Classification &amp; Risk Fusion (src/classification/): </w:t>
      </w:r>
      <w:r>
        <w:rPr>
          <w:rFonts w:ascii="Calibri" w:hAnsi="Calibri"/>
          <w:color w:val="1E293B"/>
          <w:sz w:val="19"/>
        </w:rPr>
        <w:t>Multi-model ensemble combining Model Family A (lexical TF-IDF + Logistic Regression), Model Family B (neural TF-IDF + 32-unit MLP), ProtectAI DeBERTa-v3 semantic injection classifier, ToxicBERT (Hate/Toxicity), and Microsoft Presidio Analyzer (PII Leakage). Scores are fused into a 5-dimensional risk vector via RiskAggregator.</w:t>
      </w:r>
    </w:p>
    <w:p>
      <w:pPr>
        <w:pStyle w:val="ListBullet"/>
        <w:spacing w:before="0" w:after="60" w:line="276" w:lineRule="auto"/>
      </w:pPr>
      <w:r>
        <w:rPr>
          <w:rFonts w:ascii="Calibri" w:hAnsi="Calibri"/>
          <w:b/>
          <w:color w:val="1E293B"/>
          <w:sz w:val="19"/>
        </w:rPr>
        <w:t xml:space="preserve">3. Dynamic Policy Decision Engine (src/policy/): </w:t>
      </w:r>
      <w:r>
        <w:rPr>
          <w:rFonts w:ascii="Calibri" w:hAnsi="Calibri"/>
          <w:color w:val="1E293B"/>
          <w:sz w:val="19"/>
        </w:rPr>
        <w:t>A declarative rules engine evaluating policy/policy.json with Pydantic validation, wildcard fallback (surface-specific -&gt; '*'), and atomic zero-downtime hot reloading.</w:t>
      </w:r>
    </w:p>
    <w:p>
      <w:pPr>
        <w:pStyle w:val="ListBullet"/>
        <w:spacing w:before="0" w:after="60" w:line="276" w:lineRule="auto"/>
      </w:pPr>
      <w:r>
        <w:rPr>
          <w:rFonts w:ascii="Calibri" w:hAnsi="Calibri"/>
          <w:b/>
          <w:color w:val="1E293B"/>
          <w:sz w:val="19"/>
        </w:rPr>
        <w:t xml:space="preserve">4. Token Attribution Engine (src/attribution/): </w:t>
      </w:r>
      <w:r>
        <w:rPr>
          <w:rFonts w:ascii="Calibri" w:hAnsi="Calibri"/>
          <w:color w:val="1E293B"/>
          <w:sz w:val="19"/>
        </w:rPr>
        <w:t>Executes upon BLOCK or REVIEW decisions using batched beam search (k=5, L=6) to identify minimal trigger tokens, score reduction delta (Delta s), and safe sanitized text.</w:t>
      </w:r>
    </w:p>
    <w:p>
      <w:pPr>
        <w:pStyle w:val="ListBullet"/>
        <w:spacing w:before="0" w:after="60" w:line="276" w:lineRule="auto"/>
      </w:pPr>
      <w:r>
        <w:rPr>
          <w:rFonts w:ascii="Calibri" w:hAnsi="Calibri"/>
          <w:b/>
          <w:color w:val="1E293B"/>
          <w:sz w:val="19"/>
        </w:rPr>
        <w:t xml:space="preserve">5. Persistence &amp; Interface Layer: </w:t>
      </w:r>
      <w:r>
        <w:rPr>
          <w:rFonts w:ascii="Calibri" w:hAnsi="Calibri"/>
          <w:color w:val="1E293B"/>
          <w:sz w:val="19"/>
        </w:rPr>
        <w:t>SQLite WAL persistence (cipherguard_audit.db) logging text, risk vectors, rules, latency, and attribution; FastAPI REST server (:8000); and Streamlit dashboard (:8501).</w:t>
      </w:r>
    </w:p>
    <w:p>
      <w:pPr>
        <w:keepNext/>
        <w:spacing w:before="320" w:after="120"/>
      </w:pPr>
      <w:r>
        <w:rPr>
          <w:rFonts w:ascii="Calibri" w:hAnsi="Calibri"/>
          <w:b/>
          <w:color w:val="0F2942"/>
          <w:sz w:val="28"/>
        </w:rPr>
        <w:t>3. Status of Inception &amp; Proof-of-Concept Baseline</w:t>
      </w:r>
    </w:p>
    <w:p>
      <w:pPr>
        <w:spacing w:before="0" w:after="80" w:line="276" w:lineRule="auto"/>
      </w:pPr>
      <w:r>
        <w:rPr>
          <w:rFonts w:ascii="Calibri" w:hAnsi="Calibri"/>
          <w:color w:val="1E293B"/>
          <w:sz w:val="19"/>
        </w:rPr>
        <w:t>The project began with an initial pilot / proof-of-concept dataset (n=85: 45 safe, 40 unsafe; 55 direct, 30 indirect). Key experimental findings from the initial baseline established the foundation:</w:t>
      </w:r>
    </w:p>
    <w:p>
      <w:pPr>
        <w:pStyle w:val="ListBullet"/>
        <w:spacing w:before="0" w:after="60" w:line="276" w:lineRule="auto"/>
      </w:pPr>
      <w:r>
        <w:rPr>
          <w:rFonts w:ascii="Calibri" w:hAnsi="Calibri"/>
          <w:b/>
          <w:color w:val="1E293B"/>
          <w:sz w:val="19"/>
        </w:rPr>
        <w:t xml:space="preserve">Model Families Trade-off (Table I Reproduction): </w:t>
      </w:r>
      <w:r>
        <w:rPr>
          <w:rFonts w:ascii="Calibri" w:hAnsi="Calibri"/>
          <w:color w:val="1E293B"/>
          <w:sz w:val="19"/>
        </w:rPr>
        <w:t>Repeated 5x5 stratified cross-validation confirmed strong separability on the synthetic pilot. Model Family A achieved 0.962 accuracy and 0.959 precision; Model Family B achieved 0.899 accuracy and 0.970 recall, demonstrating that model family choice inherently trades precision for recall.</w:t>
      </w:r>
    </w:p>
    <w:p>
      <w:pPr>
        <w:pStyle w:val="ListBullet"/>
        <w:spacing w:before="0" w:after="60" w:line="276" w:lineRule="auto"/>
      </w:pPr>
      <w:r>
        <w:rPr>
          <w:rFonts w:ascii="Calibri" w:hAnsi="Calibri"/>
          <w:b/>
          <w:color w:val="1E293B"/>
          <w:sz w:val="19"/>
        </w:rPr>
        <w:t xml:space="preserve">Attribution Budget Ablation (Table I Reproduction): </w:t>
      </w:r>
      <w:r>
        <w:rPr>
          <w:rFonts w:ascii="Calibri" w:hAnsi="Calibri"/>
          <w:color w:val="1E293B"/>
          <w:sz w:val="19"/>
        </w:rPr>
        <w:t>Under a narrow budget (b=5, k&lt;=6), linear models achieved 0.0% flips. Under a wide budget (b=10, k&lt;=10), 12.5% flipped but required an average of 9.2 tokens removed, demonstrating diffused lexical importance in bag-of-words models.</w:t>
      </w:r>
    </w:p>
    <w:p>
      <w:pPr>
        <w:pStyle w:val="ListBullet"/>
        <w:spacing w:before="0" w:after="60" w:line="276" w:lineRule="auto"/>
      </w:pPr>
      <w:r>
        <w:rPr>
          <w:rFonts w:ascii="Calibri" w:hAnsi="Calibri"/>
          <w:b/>
          <w:color w:val="1E293B"/>
          <w:sz w:val="19"/>
        </w:rPr>
        <w:t xml:space="preserve">Contextual Transformer Benchmark (Table II Reproduction): </w:t>
      </w:r>
      <w:r>
        <w:rPr>
          <w:rFonts w:ascii="Calibri" w:hAnsi="Calibri"/>
          <w:color w:val="1E293B"/>
          <w:sz w:val="19"/>
        </w:rPr>
        <w:t>Zero-shot ProtectAI DeBERTa-v3 achieved 0.977 accuracy, 100% precision, and confirmed surface asymmetry (92% recall on direct vs 100% on indirect). Transformer beam search achieved an 84.2% flip rate with an average of only 2.16 tokens removed (highly compact, actionable counterfactuals).</w:t>
      </w:r>
    </w:p>
    <w:p>
      <w:pPr>
        <w:keepNext/>
        <w:spacing w:before="320" w:after="120"/>
      </w:pPr>
      <w:r>
        <w:rPr>
          <w:rFonts w:ascii="Calibri" w:hAnsi="Calibri"/>
          <w:b/>
          <w:color w:val="0F2942"/>
          <w:sz w:val="28"/>
        </w:rPr>
        <w:t>4. Phase 1 Accomplishments: Dataset Engineering (COMPLETED)</w:t>
      </w:r>
    </w:p>
    <w:p>
      <w:pPr>
        <w:spacing w:before="0" w:after="80" w:line="276" w:lineRule="auto"/>
      </w:pPr>
      <w:r>
        <w:rPr>
          <w:rFonts w:ascii="Calibri" w:hAnsi="Calibri"/>
          <w:color w:val="1E293B"/>
          <w:sz w:val="19"/>
        </w:rPr>
        <w:t>Phase 1 focused on replacing the initial 85-sample pilot with a multi-label dataset pipeline, resolving prevalence gaps, eliminating data leakage, and establishing strict data governance. All Phase 1 tasks are complete:</w:t>
      </w:r>
    </w:p>
    <w:p>
      <w:pPr>
        <w:keepNext/>
        <w:spacing w:before="240" w:after="80"/>
      </w:pPr>
      <w:r>
        <w:rPr>
          <w:rFonts w:ascii="Calibri" w:hAnsi="Calibri"/>
          <w:b/>
          <w:color w:val="1E5F8A"/>
          <w:sz w:val="23"/>
        </w:rPr>
        <w:t>Section 1: Preservation of the n=85 Pilot Dataset</w:t>
      </w:r>
    </w:p>
    <w:p>
      <w:pPr>
        <w:pStyle w:val="ListBullet"/>
        <w:spacing w:before="0" w:after="60" w:line="276" w:lineRule="auto"/>
      </w:pPr>
      <w:r>
        <w:rPr>
          <w:rFonts w:ascii="Calibri" w:hAnsi="Calibri"/>
          <w:b/>
          <w:color w:val="1E293B"/>
          <w:sz w:val="19"/>
        </w:rPr>
        <w:t xml:space="preserve">Pilot Dataset Lock: </w:t>
      </w:r>
      <w:r>
        <w:rPr>
          <w:rFonts w:ascii="Calibri" w:hAnsi="Calibri"/>
          <w:color w:val="1E293B"/>
          <w:sz w:val="19"/>
        </w:rPr>
        <w:t>pilot_dataset_85.json is locked via SHA-256 checksum (89d6247b9a92ae89...) in .pilot_checksum. It is treated strictly as 'Pilot / proof-of-concept dataset (n=85)' and is never used as the training or final evaluation split.</w:t>
      </w:r>
    </w:p>
    <w:p>
      <w:pPr>
        <w:keepNext/>
        <w:spacing w:before="240" w:after="80"/>
      </w:pPr>
      <w:r>
        <w:rPr>
          <w:rFonts w:ascii="Calibri" w:hAnsi="Calibri"/>
          <w:b/>
          <w:color w:val="1E5F8A"/>
          <w:sz w:val="23"/>
        </w:rPr>
        <w:t>Sections 2 &amp; 5: Expanded Multi-Label Dataset (N = 923 Samples)</w:t>
      </w:r>
    </w:p>
    <w:p>
      <w:pPr>
        <w:spacing w:before="0" w:after="80" w:line="276" w:lineRule="auto"/>
      </w:pPr>
      <w:r>
        <w:rPr>
          <w:rFonts w:ascii="Calibri" w:hAnsi="Calibri"/>
          <w:color w:val="1E293B"/>
          <w:sz w:val="19"/>
        </w:rPr>
        <w:t>The expanded dataset aggregates six sources into a unified multi-label schema with five non-mutually exclusive categories:</w:t>
      </w:r>
    </w:p>
    <w:tbl>
      <w:tblPr>
        <w:tblW w:type="auto" w:w="0"/>
        <w:jc w:val="center"/>
        <w:tblLook w:firstColumn="1" w:firstRow="1" w:lastColumn="0" w:lastRow="0" w:noHBand="0" w:noVBand="1" w:val="04A0"/>
      </w:tblPr>
      <w:tblGrid>
        <w:gridCol w:w="3360"/>
        <w:gridCol w:w="3360"/>
        <w:gridCol w:w="3360"/>
      </w:tblGrid>
      <w:tr>
        <w:tc>
          <w:tcPr>
            <w:tcW w:type="dxa" w:w="4608"/>
            <w:shd w:fill="0F2942"/>
            <w:tcMar>
              <w:top w:w="70" w:type="dxa"/>
              <w:bottom w:w="70" w:type="dxa"/>
              <w:left w:w="90" w:type="dxa"/>
              <w:right w:w="90" w:type="dxa"/>
            </w:tcMar>
          </w:tcPr>
          <w:p>
            <w:r>
              <w:rPr>
                <w:b/>
                <w:color w:val="FFFFFF"/>
                <w:sz w:val="17"/>
              </w:rPr>
              <w:t>Source Repository / Synthetic Generator</w:t>
            </w:r>
          </w:p>
        </w:tc>
        <w:tc>
          <w:tcPr>
            <w:tcW w:type="dxa" w:w="1584"/>
            <w:shd w:fill="0F2942"/>
            <w:tcMar>
              <w:top w:w="70" w:type="dxa"/>
              <w:bottom w:w="70" w:type="dxa"/>
              <w:left w:w="90" w:type="dxa"/>
              <w:right w:w="90" w:type="dxa"/>
            </w:tcMar>
          </w:tcPr>
          <w:p>
            <w:r>
              <w:rPr>
                <w:b/>
                <w:color w:val="FFFFFF"/>
                <w:sz w:val="17"/>
              </w:rPr>
              <w:t>Count</w:t>
            </w:r>
          </w:p>
        </w:tc>
        <w:tc>
          <w:tcPr>
            <w:tcW w:type="dxa" w:w="3888"/>
            <w:shd w:fill="0F2942"/>
            <w:tcMar>
              <w:top w:w="70" w:type="dxa"/>
              <w:bottom w:w="70" w:type="dxa"/>
              <w:left w:w="90" w:type="dxa"/>
              <w:right w:w="90" w:type="dxa"/>
            </w:tcMar>
          </w:tcPr>
          <w:p>
            <w:r>
              <w:rPr>
                <w:b/>
                <w:color w:val="FFFFFF"/>
                <w:sz w:val="17"/>
              </w:rPr>
              <w:t>Role in Multi-Label Pipeline</w:t>
            </w:r>
          </w:p>
        </w:tc>
      </w:tr>
      <w:tr>
        <w:tc>
          <w:tcPr>
            <w:tcW w:type="dxa" w:w="4608"/>
            <w:shd w:fill="FFFFFF"/>
            <w:tcMar>
              <w:top w:w="70" w:type="dxa"/>
              <w:bottom w:w="70" w:type="dxa"/>
              <w:left w:w="90" w:type="dxa"/>
              <w:right w:w="90" w:type="dxa"/>
            </w:tcMar>
          </w:tcPr>
          <w:p>
            <w:r>
              <w:rPr>
                <w:b w:val="0"/>
                <w:color w:val="1E293B"/>
                <w:sz w:val="17"/>
              </w:rPr>
              <w:t>deepset/prompt-injections (Hugging Face)</w:t>
            </w:r>
          </w:p>
        </w:tc>
        <w:tc>
          <w:tcPr>
            <w:tcW w:type="dxa" w:w="1584"/>
            <w:shd w:fill="FFFFFF"/>
            <w:tcMar>
              <w:top w:w="70" w:type="dxa"/>
              <w:bottom w:w="70" w:type="dxa"/>
              <w:left w:w="90" w:type="dxa"/>
              <w:right w:w="90" w:type="dxa"/>
            </w:tcMar>
          </w:tcPr>
          <w:p>
            <w:r>
              <w:rPr>
                <w:b w:val="0"/>
                <w:color w:val="1E293B"/>
                <w:sz w:val="17"/>
              </w:rPr>
              <w:t>350</w:t>
            </w:r>
          </w:p>
        </w:tc>
        <w:tc>
          <w:tcPr>
            <w:tcW w:type="dxa" w:w="3888"/>
            <w:shd w:fill="FFFFFF"/>
            <w:tcMar>
              <w:top w:w="70" w:type="dxa"/>
              <w:bottom w:w="70" w:type="dxa"/>
              <w:left w:w="90" w:type="dxa"/>
              <w:right w:w="90" w:type="dxa"/>
            </w:tcMar>
          </w:tcPr>
          <w:p>
            <w:r>
              <w:rPr>
                <w:b w:val="0"/>
                <w:color w:val="1E293B"/>
                <w:sz w:val="17"/>
              </w:rPr>
              <w:t>Public direct prompt injection benchmark</w:t>
            </w:r>
          </w:p>
        </w:tc>
      </w:tr>
      <w:tr>
        <w:tc>
          <w:tcPr>
            <w:tcW w:type="dxa" w:w="4608"/>
            <w:shd w:fill="F1F5F9"/>
            <w:tcMar>
              <w:top w:w="70" w:type="dxa"/>
              <w:bottom w:w="70" w:type="dxa"/>
              <w:left w:w="90" w:type="dxa"/>
              <w:right w:w="90" w:type="dxa"/>
            </w:tcMar>
          </w:tcPr>
          <w:p>
            <w:r>
              <w:rPr>
                <w:b w:val="0"/>
                <w:color w:val="1E293B"/>
                <w:sz w:val="17"/>
              </w:rPr>
              <w:t>tweet_eval/hate (Hugging Face)</w:t>
            </w:r>
          </w:p>
        </w:tc>
        <w:tc>
          <w:tcPr>
            <w:tcW w:type="dxa" w:w="1584"/>
            <w:shd w:fill="F1F5F9"/>
            <w:tcMar>
              <w:top w:w="70" w:type="dxa"/>
              <w:bottom w:w="70" w:type="dxa"/>
              <w:left w:w="90" w:type="dxa"/>
              <w:right w:w="90" w:type="dxa"/>
            </w:tcMar>
          </w:tcPr>
          <w:p>
            <w:r>
              <w:rPr>
                <w:b w:val="0"/>
                <w:color w:val="1E293B"/>
                <w:sz w:val="17"/>
              </w:rPr>
              <w:t>200</w:t>
            </w:r>
          </w:p>
        </w:tc>
        <w:tc>
          <w:tcPr>
            <w:tcW w:type="dxa" w:w="3888"/>
            <w:shd w:fill="F1F5F9"/>
            <w:tcMar>
              <w:top w:w="70" w:type="dxa"/>
              <w:bottom w:w="70" w:type="dxa"/>
              <w:left w:w="90" w:type="dxa"/>
              <w:right w:w="90" w:type="dxa"/>
            </w:tcMar>
          </w:tcPr>
          <w:p>
            <w:r>
              <w:rPr>
                <w:b w:val="0"/>
                <w:color w:val="1E293B"/>
                <w:sz w:val="17"/>
              </w:rPr>
              <w:t>Public hate and toxicity benchmark (100 hate, 100 benign)</w:t>
            </w:r>
          </w:p>
        </w:tc>
      </w:tr>
      <w:tr>
        <w:tc>
          <w:tcPr>
            <w:tcW w:type="dxa" w:w="4608"/>
            <w:shd w:fill="FFFFFF"/>
            <w:tcMar>
              <w:top w:w="70" w:type="dxa"/>
              <w:bottom w:w="70" w:type="dxa"/>
              <w:left w:w="90" w:type="dxa"/>
              <w:right w:w="90" w:type="dxa"/>
            </w:tcMar>
          </w:tcPr>
          <w:p>
            <w:r>
              <w:rPr>
                <w:b w:val="0"/>
                <w:color w:val="1E293B"/>
                <w:sz w:val="17"/>
              </w:rPr>
              <w:t>cipherguard_maltools_synthetic</w:t>
            </w:r>
          </w:p>
        </w:tc>
        <w:tc>
          <w:tcPr>
            <w:tcW w:type="dxa" w:w="1584"/>
            <w:shd w:fill="FFFFFF"/>
            <w:tcMar>
              <w:top w:w="70" w:type="dxa"/>
              <w:bottom w:w="70" w:type="dxa"/>
              <w:left w:w="90" w:type="dxa"/>
              <w:right w:w="90" w:type="dxa"/>
            </w:tcMar>
          </w:tcPr>
          <w:p>
            <w:r>
              <w:rPr>
                <w:b w:val="0"/>
                <w:color w:val="1E293B"/>
                <w:sz w:val="17"/>
              </w:rPr>
              <w:t>125</w:t>
            </w:r>
          </w:p>
        </w:tc>
        <w:tc>
          <w:tcPr>
            <w:tcW w:type="dxa" w:w="3888"/>
            <w:shd w:fill="FFFFFF"/>
            <w:tcMar>
              <w:top w:w="70" w:type="dxa"/>
              <w:bottom w:w="70" w:type="dxa"/>
              <w:left w:w="90" w:type="dxa"/>
              <w:right w:w="90" w:type="dxa"/>
            </w:tcMar>
          </w:tcPr>
          <w:p>
            <w:r>
              <w:rPr>
                <w:b w:val="0"/>
                <w:color w:val="1E293B"/>
                <w:sz w:val="17"/>
              </w:rPr>
              <w:t>Multi-turn malicious tool attacks &amp; benign controls</w:t>
            </w:r>
          </w:p>
        </w:tc>
      </w:tr>
      <w:tr>
        <w:tc>
          <w:tcPr>
            <w:tcW w:type="dxa" w:w="4608"/>
            <w:shd w:fill="F1F5F9"/>
            <w:tcMar>
              <w:top w:w="70" w:type="dxa"/>
              <w:bottom w:w="70" w:type="dxa"/>
              <w:left w:w="90" w:type="dxa"/>
              <w:right w:w="90" w:type="dxa"/>
            </w:tcMar>
          </w:tcPr>
          <w:p>
            <w:r>
              <w:rPr>
                <w:b w:val="0"/>
                <w:color w:val="1E293B"/>
                <w:sz w:val="17"/>
              </w:rPr>
              <w:t>pilot_dataset_85.json (PoC)</w:t>
            </w:r>
          </w:p>
        </w:tc>
        <w:tc>
          <w:tcPr>
            <w:tcW w:type="dxa" w:w="1584"/>
            <w:shd w:fill="F1F5F9"/>
            <w:tcMar>
              <w:top w:w="70" w:type="dxa"/>
              <w:bottom w:w="70" w:type="dxa"/>
              <w:left w:w="90" w:type="dxa"/>
              <w:right w:w="90" w:type="dxa"/>
            </w:tcMar>
          </w:tcPr>
          <w:p>
            <w:r>
              <w:rPr>
                <w:b w:val="0"/>
                <w:color w:val="1E293B"/>
                <w:sz w:val="17"/>
              </w:rPr>
              <w:t>85</w:t>
            </w:r>
          </w:p>
        </w:tc>
        <w:tc>
          <w:tcPr>
            <w:tcW w:type="dxa" w:w="3888"/>
            <w:shd w:fill="F1F5F9"/>
            <w:tcMar>
              <w:top w:w="70" w:type="dxa"/>
              <w:bottom w:w="70" w:type="dxa"/>
              <w:left w:w="90" w:type="dxa"/>
              <w:right w:w="90" w:type="dxa"/>
            </w:tcMar>
          </w:tcPr>
          <w:p>
            <w:r>
              <w:rPr>
                <w:b w:val="0"/>
                <w:color w:val="1E293B"/>
                <w:sz w:val="17"/>
              </w:rPr>
              <w:t>Original pilot converted to multi-label format (read-only)</w:t>
            </w:r>
          </w:p>
        </w:tc>
      </w:tr>
      <w:tr>
        <w:tc>
          <w:tcPr>
            <w:tcW w:type="dxa" w:w="4608"/>
            <w:shd w:fill="FFFFFF"/>
            <w:tcMar>
              <w:top w:w="70" w:type="dxa"/>
              <w:bottom w:w="70" w:type="dxa"/>
              <w:left w:w="90" w:type="dxa"/>
              <w:right w:w="90" w:type="dxa"/>
            </w:tcMar>
          </w:tcPr>
          <w:p>
            <w:r>
              <w:rPr>
                <w:b w:val="0"/>
                <w:color w:val="1E293B"/>
                <w:sz w:val="17"/>
              </w:rPr>
              <w:t>cipherguard_pii_synthetic</w:t>
            </w:r>
          </w:p>
        </w:tc>
        <w:tc>
          <w:tcPr>
            <w:tcW w:type="dxa" w:w="1584"/>
            <w:shd w:fill="FFFFFF"/>
            <w:tcMar>
              <w:top w:w="70" w:type="dxa"/>
              <w:bottom w:w="70" w:type="dxa"/>
              <w:left w:w="90" w:type="dxa"/>
              <w:right w:w="90" w:type="dxa"/>
            </w:tcMar>
          </w:tcPr>
          <w:p>
            <w:r>
              <w:rPr>
                <w:b w:val="0"/>
                <w:color w:val="1E293B"/>
                <w:sz w:val="17"/>
              </w:rPr>
              <w:t>99</w:t>
            </w:r>
          </w:p>
        </w:tc>
        <w:tc>
          <w:tcPr>
            <w:tcW w:type="dxa" w:w="3888"/>
            <w:shd w:fill="FFFFFF"/>
            <w:tcMar>
              <w:top w:w="70" w:type="dxa"/>
              <w:bottom w:w="70" w:type="dxa"/>
              <w:left w:w="90" w:type="dxa"/>
              <w:right w:w="90" w:type="dxa"/>
            </w:tcMar>
          </w:tcPr>
          <w:p>
            <w:r>
              <w:rPr>
                <w:b w:val="0"/>
                <w:color w:val="1E293B"/>
                <w:sz w:val="17"/>
              </w:rPr>
              <w:t>4-tier synthetic PII leakage dataset</w:t>
            </w:r>
          </w:p>
        </w:tc>
      </w:tr>
      <w:tr>
        <w:tc>
          <w:tcPr>
            <w:tcW w:type="dxa" w:w="4608"/>
            <w:shd w:fill="F1F5F9"/>
            <w:tcMar>
              <w:top w:w="70" w:type="dxa"/>
              <w:bottom w:w="70" w:type="dxa"/>
              <w:left w:w="90" w:type="dxa"/>
              <w:right w:w="90" w:type="dxa"/>
            </w:tcMar>
          </w:tcPr>
          <w:p>
            <w:r>
              <w:rPr>
                <w:b w:val="0"/>
                <w:color w:val="1E293B"/>
                <w:sz w:val="17"/>
              </w:rPr>
              <w:t>cipherguard_indirect_synthetic</w:t>
            </w:r>
          </w:p>
        </w:tc>
        <w:tc>
          <w:tcPr>
            <w:tcW w:type="dxa" w:w="1584"/>
            <w:shd w:fill="F1F5F9"/>
            <w:tcMar>
              <w:top w:w="70" w:type="dxa"/>
              <w:bottom w:w="70" w:type="dxa"/>
              <w:left w:w="90" w:type="dxa"/>
              <w:right w:w="90" w:type="dxa"/>
            </w:tcMar>
          </w:tcPr>
          <w:p>
            <w:r>
              <w:rPr>
                <w:b w:val="0"/>
                <w:color w:val="1E293B"/>
                <w:sz w:val="17"/>
              </w:rPr>
              <w:t>64</w:t>
            </w:r>
          </w:p>
        </w:tc>
        <w:tc>
          <w:tcPr>
            <w:tcW w:type="dxa" w:w="3888"/>
            <w:shd w:fill="F1F5F9"/>
            <w:tcMar>
              <w:top w:w="70" w:type="dxa"/>
              <w:bottom w:w="70" w:type="dxa"/>
              <w:left w:w="90" w:type="dxa"/>
              <w:right w:w="90" w:type="dxa"/>
            </w:tcMar>
          </w:tcPr>
          <w:p>
            <w:r>
              <w:rPr>
                <w:b w:val="0"/>
                <w:color w:val="1E293B"/>
                <w:sz w:val="17"/>
              </w:rPr>
              <w:t>Indirect surface attacks (RAG, email, DB, web, tools)</w:t>
            </w:r>
          </w:p>
        </w:tc>
      </w:tr>
      <w:tr>
        <w:tc>
          <w:tcPr>
            <w:tcW w:type="dxa" w:w="4608"/>
            <w:shd w:fill="E2E8F0"/>
            <w:tcMar>
              <w:top w:w="70" w:type="dxa"/>
              <w:bottom w:w="70" w:type="dxa"/>
              <w:left w:w="90" w:type="dxa"/>
              <w:right w:w="90" w:type="dxa"/>
            </w:tcMar>
          </w:tcPr>
          <w:p>
            <w:r>
              <w:rPr>
                <w:b/>
                <w:color w:val="1E293B"/>
                <w:sz w:val="17"/>
              </w:rPr>
              <w:t>Total Combined Dataset</w:t>
            </w:r>
          </w:p>
        </w:tc>
        <w:tc>
          <w:tcPr>
            <w:tcW w:type="dxa" w:w="1584"/>
            <w:shd w:fill="E2E8F0"/>
            <w:tcMar>
              <w:top w:w="70" w:type="dxa"/>
              <w:bottom w:w="70" w:type="dxa"/>
              <w:left w:w="90" w:type="dxa"/>
              <w:right w:w="90" w:type="dxa"/>
            </w:tcMar>
          </w:tcPr>
          <w:p>
            <w:r>
              <w:rPr>
                <w:b/>
                <w:color w:val="1E293B"/>
                <w:sz w:val="17"/>
              </w:rPr>
              <w:t>923</w:t>
            </w:r>
          </w:p>
        </w:tc>
        <w:tc>
          <w:tcPr>
            <w:tcW w:type="dxa" w:w="3888"/>
            <w:shd w:fill="E2E8F0"/>
            <w:tcMar>
              <w:top w:w="70" w:type="dxa"/>
              <w:bottom w:w="70" w:type="dxa"/>
              <w:left w:w="90" w:type="dxa"/>
              <w:right w:w="90" w:type="dxa"/>
            </w:tcMar>
          </w:tcPr>
          <w:p>
            <w:r>
              <w:rPr>
                <w:b/>
                <w:color w:val="1E293B"/>
                <w:sz w:val="17"/>
              </w:rPr>
              <w:t>Full Expanded Multi-Label Corpus</w:t>
            </w:r>
          </w:p>
        </w:tc>
      </w:tr>
    </w:tbl>
    <w:p>
      <w:pPr>
        <w:spacing w:after="80"/>
      </w:pPr>
    </w:p>
    <w:p>
      <w:pPr>
        <w:keepNext/>
        <w:spacing w:before="240" w:after="80"/>
      </w:pPr>
      <w:r>
        <w:rPr>
          <w:rFonts w:ascii="Calibri" w:hAnsi="Calibri"/>
          <w:b/>
          <w:color w:val="1E5F8A"/>
          <w:sz w:val="23"/>
        </w:rPr>
        <w:t>Section 3: Resolution of the PII Dataset Gap</w:t>
      </w:r>
    </w:p>
    <w:p>
      <w:pPr>
        <w:pStyle w:val="ListBullet"/>
        <w:spacing w:before="0" w:after="60" w:line="276" w:lineRule="auto"/>
      </w:pPr>
      <w:r>
        <w:rPr>
          <w:rFonts w:ascii="Calibri" w:hAnsi="Calibri"/>
          <w:b/>
          <w:color w:val="1E293B"/>
          <w:sz w:val="19"/>
        </w:rPr>
        <w:t xml:space="preserve">Synthetic 4-Tier PII Taxonomy: </w:t>
      </w:r>
      <w:r>
        <w:rPr>
          <w:rFonts w:ascii="Calibri" w:hAnsi="Calibri"/>
          <w:color w:val="1E293B"/>
          <w:sz w:val="19"/>
        </w:rPr>
        <w:t>The legacy 829-sample dataset contained zero PII positives, leaving the category untrainable. Phase 1 created 68 positive samples across a 4-tier taxonomy (Tier 1: Benign PII discussion, Tier 2: Extraction requests, Tier 3: In-text sensitive data, Tier 4: Malicious credential harvesting).</w:t>
      </w:r>
    </w:p>
    <w:p>
      <w:pPr>
        <w:pStyle w:val="ListBullet"/>
        <w:spacing w:before="0" w:after="60" w:line="276" w:lineRule="auto"/>
      </w:pPr>
      <w:r>
        <w:rPr>
          <w:rFonts w:ascii="Calibri" w:hAnsi="Calibri"/>
          <w:b/>
          <w:color w:val="1E293B"/>
          <w:sz w:val="19"/>
        </w:rPr>
        <w:t xml:space="preserve">Demonstrably Non-Real Entities: </w:t>
      </w:r>
      <w:r>
        <w:rPr>
          <w:rFonts w:ascii="Calibri" w:hAnsi="Calibri"/>
          <w:color w:val="1E293B"/>
          <w:sz w:val="19"/>
        </w:rPr>
        <w:t>All values follow demonstrably fake standards: SSN area code 000 (invalid per IRS/SSA rules), Luhn-failing credit card numbers, _FAKE_ API key prefixes, 555-xxxx phone numbers, and RFC 2606 .invalid email TLDs.</w:t>
      </w:r>
    </w:p>
    <w:p>
      <w:pPr>
        <w:keepNext/>
        <w:spacing w:before="240" w:after="80"/>
      </w:pPr>
      <w:r>
        <w:rPr>
          <w:rFonts w:ascii="Calibri" w:hAnsi="Calibri"/>
          <w:b/>
          <w:color w:val="1E5F8A"/>
          <w:sz w:val="23"/>
        </w:rPr>
        <w:t>Section 4: Improved Malicious Tools Dataset</w:t>
      </w:r>
    </w:p>
    <w:p>
      <w:pPr>
        <w:pStyle w:val="ListBullet"/>
        <w:spacing w:before="0" w:after="60" w:line="276" w:lineRule="auto"/>
      </w:pPr>
      <w:r>
        <w:rPr>
          <w:rFonts w:ascii="Calibri" w:hAnsi="Calibri"/>
          <w:b/>
          <w:color w:val="1E293B"/>
          <w:sz w:val="19"/>
        </w:rPr>
        <w:t xml:space="preserve">Contextual Tool Invocations: </w:t>
      </w:r>
      <w:r>
        <w:rPr>
          <w:rFonts w:ascii="Calibri" w:hAnsi="Calibri"/>
          <w:color w:val="1E293B"/>
          <w:sz w:val="19"/>
        </w:rPr>
        <w:t>Expanded from trivial keyword memorization (e.g. 'rm -rf') to contextual attack patterns including shell commands, SQL injection patterns, reverse-shell payloads, tool output abuse, and credential extraction, paired with benign system admin commands.</w:t>
      </w:r>
    </w:p>
    <w:p>
      <w:pPr>
        <w:keepNext/>
        <w:spacing w:before="240" w:after="80"/>
      </w:pPr>
      <w:r>
        <w:rPr>
          <w:rFonts w:ascii="Calibri" w:hAnsi="Calibri"/>
          <w:b/>
          <w:color w:val="1E5F8A"/>
          <w:sz w:val="23"/>
        </w:rPr>
        <w:t>Section 5: Surface Metadata &amp; Distribution Alignment</w:t>
      </w:r>
    </w:p>
    <w:p>
      <w:pPr>
        <w:pStyle w:val="ListBullet"/>
        <w:spacing w:before="0" w:after="60" w:line="276" w:lineRule="auto"/>
      </w:pPr>
      <w:r>
        <w:rPr>
          <w:rFonts w:ascii="Calibri" w:hAnsi="Calibri"/>
          <w:b/>
          <w:color w:val="1E293B"/>
          <w:sz w:val="19"/>
        </w:rPr>
        <w:t xml:space="preserve">Surface Representation: </w:t>
      </w:r>
      <w:r>
        <w:rPr>
          <w:rFonts w:ascii="Calibri" w:hAnsi="Calibri"/>
          <w:color w:val="1E293B"/>
          <w:sz w:val="19"/>
        </w:rPr>
        <w:t>100% of samples are tagged with attack_type and severity (low: 535, medium: 122, high: 130, critical: 136). Indirect surface share was expanded from 3.6% (30 samples) to 10.2% (94 samples).</w:t>
      </w:r>
    </w:p>
    <w:p>
      <w:pPr>
        <w:keepNext/>
        <w:spacing w:before="240" w:after="80"/>
      </w:pPr>
      <w:r>
        <w:rPr>
          <w:rFonts w:ascii="Calibri" w:hAnsi="Calibri"/>
          <w:b/>
          <w:color w:val="1E5F8A"/>
          <w:sz w:val="23"/>
        </w:rPr>
        <w:t>Section 6 &amp; 19: Deterministic Stratified Split &amp; Zero-Leakage Audit</w:t>
      </w:r>
    </w:p>
    <w:p>
      <w:pPr>
        <w:pStyle w:val="ListBullet"/>
        <w:spacing w:before="0" w:after="60" w:line="276" w:lineRule="auto"/>
      </w:pPr>
      <w:r>
        <w:rPr>
          <w:rFonts w:ascii="Calibri" w:hAnsi="Calibri"/>
          <w:b/>
          <w:color w:val="1E293B"/>
          <w:sz w:val="19"/>
        </w:rPr>
        <w:t xml:space="preserve">70 / 15 / 15 Partition (Seed 42): </w:t>
      </w:r>
      <w:r>
        <w:rPr>
          <w:rFonts w:ascii="Calibri" w:hAnsi="Calibri"/>
          <w:color w:val="1E293B"/>
          <w:sz w:val="19"/>
        </w:rPr>
        <w:t>data/train.json: 645 samples (69.9%), data/val.json: 138 samples (15.0%), data/test.json: 140 samples (15.2%). Stratification ensures label prevalence variance is strictly &lt;= 0.7% across splits (split_manifest.json).</w:t>
      </w:r>
    </w:p>
    <w:p>
      <w:pPr>
        <w:pStyle w:val="ListBullet"/>
        <w:spacing w:before="0" w:after="60" w:line="276" w:lineRule="auto"/>
      </w:pPr>
      <w:r>
        <w:rPr>
          <w:rFonts w:ascii="Calibri" w:hAnsi="Calibri"/>
          <w:b/>
          <w:color w:val="1E293B"/>
          <w:sz w:val="19"/>
        </w:rPr>
        <w:t xml:space="preserve">Data Leakage Audit: </w:t>
      </w:r>
      <w:r>
        <w:rPr>
          <w:rFonts w:ascii="Calibri" w:hAnsi="Calibri"/>
          <w:color w:val="1E293B"/>
          <w:sz w:val="19"/>
        </w:rPr>
        <w:t>Pairwise 3-gram character Jaccard similarity audit over ~198,000 comparisons revealed zero malicious or positive-label near-duplicate leakage across splits (leakage_report.json).</w:t>
      </w:r>
    </w:p>
    <w:p>
      <w:pPr>
        <w:pStyle w:val="ListBullet"/>
        <w:spacing w:before="0" w:after="60" w:line="276" w:lineRule="auto"/>
      </w:pPr>
      <w:r>
        <w:rPr>
          <w:rFonts w:ascii="Calibri" w:hAnsi="Calibri"/>
          <w:b/>
          <w:color w:val="1E293B"/>
          <w:sz w:val="19"/>
        </w:rPr>
        <w:t xml:space="preserve">Held-Out Test Integrity: </w:t>
      </w:r>
      <w:r>
        <w:rPr>
          <w:rFonts w:ascii="Calibri" w:hAnsi="Calibri"/>
          <w:color w:val="1E293B"/>
          <w:sz w:val="19"/>
        </w:rPr>
        <w:t>data/test.json is strictly held out and reserved exclusively for final evaluation reporting in Phase 4.</w:t>
      </w:r>
    </w:p>
    <w:p>
      <w:pPr>
        <w:keepNext/>
        <w:spacing w:before="240" w:after="80"/>
      </w:pPr>
      <w:r>
        <w:rPr>
          <w:rFonts w:ascii="Calibri" w:hAnsi="Calibri"/>
          <w:b/>
          <w:color w:val="1E5F8A"/>
          <w:sz w:val="23"/>
        </w:rPr>
        <w:t>Test Suite Verification Status</w:t>
      </w:r>
    </w:p>
    <w:p>
      <w:pPr>
        <w:spacing w:before="0" w:after="80" w:line="276" w:lineRule="auto"/>
      </w:pPr>
      <w:r>
        <w:rPr>
          <w:rFonts w:ascii="Calibri" w:hAnsi="Calibri"/>
          <w:color w:val="1E293B"/>
          <w:sz w:val="19"/>
        </w:rPr>
        <w:t>The complete test suite was executed in the project virtual environment with 100% pass rate:</w:t>
      </w:r>
    </w:p>
    <w:p>
      <w:pPr>
        <w:pStyle w:val="ListBullet"/>
        <w:spacing w:before="0" w:after="60" w:line="276" w:lineRule="auto"/>
      </w:pPr>
      <w:r>
        <w:rPr>
          <w:rFonts w:ascii="Calibri" w:hAnsi="Calibri"/>
          <w:color w:val="1E293B"/>
          <w:sz w:val="19"/>
        </w:rPr>
        <w:t>13 / 13 tests passed in 57.38s (test_attribution.py: 2, test_classification.py: 4, test_policy_engine.py: 3, test_router.py: 4).</w:t>
      </w:r>
    </w:p>
    <w:p>
      <w:pPr>
        <w:keepNext/>
        <w:spacing w:before="320" w:after="120"/>
      </w:pPr>
      <w:r>
        <w:rPr>
          <w:rFonts w:ascii="Calibri" w:hAnsi="Calibri"/>
          <w:b/>
          <w:color w:val="0F2942"/>
          <w:sz w:val="28"/>
        </w:rPr>
        <w:t>5. Identified Limitations, Bottlenecks &amp; Pendings</w:t>
      </w:r>
    </w:p>
    <w:p>
      <w:pPr>
        <w:spacing w:before="0" w:after="80" w:line="276" w:lineRule="auto"/>
      </w:pPr>
      <w:r>
        <w:rPr>
          <w:rFonts w:ascii="Calibri" w:hAnsi="Calibri"/>
          <w:color w:val="1E293B"/>
          <w:sz w:val="19"/>
        </w:rPr>
        <w:t>In alignment with strict research honesty, the following limitations and technical pendings are documented:</w:t>
      </w:r>
    </w:p>
    <w:tbl>
      <w:tblPr>
        <w:tblW w:type="auto" w:w="0"/>
        <w:jc w:val="center"/>
        <w:tblLook w:firstColumn="1" w:firstRow="1" w:lastColumn="0" w:lastRow="0" w:noHBand="0" w:noVBand="1" w:val="04A0"/>
      </w:tblPr>
      <w:tblGrid>
        <w:gridCol w:w="3360"/>
        <w:gridCol w:w="3360"/>
        <w:gridCol w:w="3360"/>
      </w:tblGrid>
      <w:tr>
        <w:tc>
          <w:tcPr>
            <w:tcW w:type="dxa" w:w="2592"/>
            <w:shd w:fill="0F2942"/>
            <w:tcMar>
              <w:top w:w="70" w:type="dxa"/>
              <w:bottom w:w="70" w:type="dxa"/>
              <w:left w:w="90" w:type="dxa"/>
              <w:right w:w="90" w:type="dxa"/>
            </w:tcMar>
          </w:tcPr>
          <w:p>
            <w:r>
              <w:rPr>
                <w:b/>
                <w:color w:val="FFFFFF"/>
                <w:sz w:val="17"/>
              </w:rPr>
              <w:t>Identified Limitation</w:t>
            </w:r>
          </w:p>
        </w:tc>
        <w:tc>
          <w:tcPr>
            <w:tcW w:type="dxa" w:w="3744"/>
            <w:shd w:fill="0F2942"/>
            <w:tcMar>
              <w:top w:w="70" w:type="dxa"/>
              <w:bottom w:w="70" w:type="dxa"/>
              <w:left w:w="90" w:type="dxa"/>
              <w:right w:w="90" w:type="dxa"/>
            </w:tcMar>
          </w:tcPr>
          <w:p>
            <w:r>
              <w:rPr>
                <w:b/>
                <w:color w:val="FFFFFF"/>
                <w:sz w:val="17"/>
              </w:rPr>
              <w:t>Root Cause &amp; Operational Impact</w:t>
            </w:r>
          </w:p>
        </w:tc>
        <w:tc>
          <w:tcPr>
            <w:tcW w:type="dxa" w:w="3744"/>
            <w:shd w:fill="0F2942"/>
            <w:tcMar>
              <w:top w:w="70" w:type="dxa"/>
              <w:bottom w:w="70" w:type="dxa"/>
              <w:left w:w="90" w:type="dxa"/>
              <w:right w:w="90" w:type="dxa"/>
            </w:tcMar>
          </w:tcPr>
          <w:p>
            <w:r>
              <w:rPr>
                <w:b/>
                <w:color w:val="FFFFFF"/>
                <w:sz w:val="17"/>
              </w:rPr>
              <w:t>Planned Mitigation / Next Action</w:t>
            </w:r>
          </w:p>
        </w:tc>
      </w:tr>
      <w:tr>
        <w:tc>
          <w:tcPr>
            <w:tcW w:type="dxa" w:w="2592"/>
            <w:shd w:fill="FFFFFF"/>
            <w:tcMar>
              <w:top w:w="70" w:type="dxa"/>
              <w:bottom w:w="70" w:type="dxa"/>
              <w:left w:w="90" w:type="dxa"/>
              <w:right w:w="90" w:type="dxa"/>
            </w:tcMar>
          </w:tcPr>
          <w:p>
            <w:r>
              <w:rPr>
                <w:color w:val="1E293B"/>
                <w:sz w:val="17"/>
              </w:rPr>
              <w:t>CPU Attribution Latency (4-6s)</w:t>
            </w:r>
          </w:p>
        </w:tc>
        <w:tc>
          <w:tcPr>
            <w:tcW w:type="dxa" w:w="3744"/>
            <w:shd w:fill="FFFFFF"/>
            <w:tcMar>
              <w:top w:w="70" w:type="dxa"/>
              <w:bottom w:w="70" w:type="dxa"/>
              <w:left w:w="90" w:type="dxa"/>
              <w:right w:w="90" w:type="dxa"/>
            </w:tcMar>
          </w:tcPr>
          <w:p>
            <w:r>
              <w:rPr>
                <w:color w:val="1E293B"/>
                <w:sz w:val="17"/>
              </w:rPr>
              <w:t>Evaluating candidate token deletions iteratively through DeBERTa-v3 on CPU creates latency bottlenecks during explanations.</w:t>
            </w:r>
          </w:p>
        </w:tc>
        <w:tc>
          <w:tcPr>
            <w:tcW w:type="dxa" w:w="3744"/>
            <w:shd w:fill="FFFFFF"/>
            <w:tcMar>
              <w:top w:w="70" w:type="dxa"/>
              <w:bottom w:w="70" w:type="dxa"/>
              <w:left w:w="90" w:type="dxa"/>
              <w:right w:w="90" w:type="dxa"/>
            </w:tcMar>
          </w:tcPr>
          <w:p>
            <w:r>
              <w:rPr>
                <w:color w:val="1E293B"/>
                <w:sz w:val="17"/>
              </w:rPr>
              <w:t>Deploy GPU acceleration, ONNX Runtime INT8 quantization, or fast two-stage token pre-filtering.</w:t>
            </w:r>
          </w:p>
        </w:tc>
      </w:tr>
      <w:tr>
        <w:tc>
          <w:tcPr>
            <w:tcW w:type="dxa" w:w="2592"/>
            <w:shd w:fill="F1F5F9"/>
            <w:tcMar>
              <w:top w:w="70" w:type="dxa"/>
              <w:bottom w:w="70" w:type="dxa"/>
              <w:left w:w="90" w:type="dxa"/>
              <w:right w:w="90" w:type="dxa"/>
            </w:tcMar>
          </w:tcPr>
          <w:p>
            <w:r>
              <w:rPr>
                <w:color w:val="1E293B"/>
                <w:sz w:val="17"/>
              </w:rPr>
              <w:t>Model Retraining on Train Split</w:t>
            </w:r>
          </w:p>
        </w:tc>
        <w:tc>
          <w:tcPr>
            <w:tcW w:type="dxa" w:w="3744"/>
            <w:shd w:fill="F1F5F9"/>
            <w:tcMar>
              <w:top w:w="70" w:type="dxa"/>
              <w:bottom w:w="70" w:type="dxa"/>
              <w:left w:w="90" w:type="dxa"/>
              <w:right w:w="90" w:type="dxa"/>
            </w:tcMar>
          </w:tcPr>
          <w:p>
            <w:r>
              <w:rPr>
                <w:color w:val="1E293B"/>
                <w:sz w:val="17"/>
              </w:rPr>
              <w:t>Existing pickle models (models/family_*.pkl) were fitted prior to the strict 70/15/15 split on all 923 samples.</w:t>
            </w:r>
          </w:p>
        </w:tc>
        <w:tc>
          <w:tcPr>
            <w:tcW w:type="dxa" w:w="3744"/>
            <w:shd w:fill="F1F5F9"/>
            <w:tcMar>
              <w:top w:w="70" w:type="dxa"/>
              <w:bottom w:w="70" w:type="dxa"/>
              <w:left w:w="90" w:type="dxa"/>
              <w:right w:w="90" w:type="dxa"/>
            </w:tcMar>
          </w:tcPr>
          <w:p>
            <w:r>
              <w:rPr>
                <w:color w:val="1E293B"/>
                <w:sz w:val="17"/>
              </w:rPr>
              <w:t>Execute evaluation/phase2_train.py to retrain Family A and B strictly on data/train.json (645 samples).</w:t>
            </w:r>
          </w:p>
        </w:tc>
      </w:tr>
      <w:tr>
        <w:tc>
          <w:tcPr>
            <w:tcW w:type="dxa" w:w="2592"/>
            <w:shd w:fill="FFFFFF"/>
            <w:tcMar>
              <w:top w:w="70" w:type="dxa"/>
              <w:bottom w:w="70" w:type="dxa"/>
              <w:left w:w="90" w:type="dxa"/>
              <w:right w:w="90" w:type="dxa"/>
            </w:tcMar>
          </w:tcPr>
          <w:p>
            <w:r>
              <w:rPr>
                <w:color w:val="1E293B"/>
                <w:sz w:val="17"/>
              </w:rPr>
              <w:t>Archived LoRA DeBERTa Model</w:t>
            </w:r>
          </w:p>
        </w:tc>
        <w:tc>
          <w:tcPr>
            <w:tcW w:type="dxa" w:w="3744"/>
            <w:shd w:fill="FFFFFF"/>
            <w:tcMar>
              <w:top w:w="70" w:type="dxa"/>
              <w:bottom w:w="70" w:type="dxa"/>
              <w:left w:w="90" w:type="dxa"/>
              <w:right w:w="90" w:type="dxa"/>
            </w:tcMar>
          </w:tcPr>
          <w:p>
            <w:r>
              <w:rPr>
                <w:color w:val="1E293B"/>
                <w:sz w:val="17"/>
              </w:rPr>
              <w:t>Archived LoRA fine-tuned DeBERTa (~704 samples) produced false positives. Pretrained ProtectAI checkpoint retained.</w:t>
            </w:r>
          </w:p>
        </w:tc>
        <w:tc>
          <w:tcPr>
            <w:tcW w:type="dxa" w:w="3744"/>
            <w:shd w:fill="FFFFFF"/>
            <w:tcMar>
              <w:top w:w="70" w:type="dxa"/>
              <w:bottom w:w="70" w:type="dxa"/>
              <w:left w:w="90" w:type="dxa"/>
              <w:right w:w="90" w:type="dxa"/>
            </w:tcMar>
          </w:tcPr>
          <w:p>
            <w:r>
              <w:rPr>
                <w:color w:val="1E293B"/>
                <w:sz w:val="17"/>
              </w:rPr>
              <w:t>Keep archived; do not claim it is superior. Revisit fine-tuning only when larger curated corpora are available.</w:t>
            </w:r>
          </w:p>
        </w:tc>
      </w:tr>
      <w:tr>
        <w:tc>
          <w:tcPr>
            <w:tcW w:type="dxa" w:w="2592"/>
            <w:shd w:fill="F1F5F9"/>
            <w:tcMar>
              <w:top w:w="70" w:type="dxa"/>
              <w:bottom w:w="70" w:type="dxa"/>
              <w:left w:w="90" w:type="dxa"/>
              <w:right w:w="90" w:type="dxa"/>
            </w:tcMar>
          </w:tcPr>
          <w:p>
            <w:r>
              <w:rPr>
                <w:color w:val="1E293B"/>
                <w:sz w:val="17"/>
              </w:rPr>
              <w:t>Diffused Signal in Linear Models</w:t>
            </w:r>
          </w:p>
        </w:tc>
        <w:tc>
          <w:tcPr>
            <w:tcW w:type="dxa" w:w="3744"/>
            <w:shd w:fill="F1F5F9"/>
            <w:tcMar>
              <w:top w:w="70" w:type="dxa"/>
              <w:bottom w:w="70" w:type="dxa"/>
              <w:left w:w="90" w:type="dxa"/>
              <w:right w:w="90" w:type="dxa"/>
            </w:tcMar>
          </w:tcPr>
          <w:p>
            <w:r>
              <w:rPr>
                <w:color w:val="1E293B"/>
                <w:sz w:val="17"/>
              </w:rPr>
              <w:t>TF-IDF models diffuse signal across words, requiring ~9.2 token removals vs 2.16 in DeBERTa.</w:t>
            </w:r>
          </w:p>
        </w:tc>
        <w:tc>
          <w:tcPr>
            <w:tcW w:type="dxa" w:w="3744"/>
            <w:shd w:fill="F1F5F9"/>
            <w:tcMar>
              <w:top w:w="70" w:type="dxa"/>
              <w:bottom w:w="70" w:type="dxa"/>
              <w:left w:w="90" w:type="dxa"/>
              <w:right w:w="90" w:type="dxa"/>
            </w:tcMar>
          </w:tcPr>
          <w:p>
            <w:r>
              <w:rPr>
                <w:color w:val="1E293B"/>
                <w:sz w:val="17"/>
              </w:rPr>
              <w:t>Use transformer backends when concise, human-interpretable explanations are required.</w:t>
            </w:r>
          </w:p>
        </w:tc>
      </w:tr>
      <w:tr>
        <w:tc>
          <w:tcPr>
            <w:tcW w:type="dxa" w:w="2592"/>
            <w:shd w:fill="FFFFFF"/>
            <w:tcMar>
              <w:top w:w="70" w:type="dxa"/>
              <w:bottom w:w="70" w:type="dxa"/>
              <w:left w:w="90" w:type="dxa"/>
              <w:right w:w="90" w:type="dxa"/>
            </w:tcMar>
          </w:tcPr>
          <w:p>
            <w:r>
              <w:rPr>
                <w:color w:val="1E293B"/>
                <w:sz w:val="17"/>
              </w:rPr>
              <w:t>PowerShell Environment Execution</w:t>
            </w:r>
          </w:p>
        </w:tc>
        <w:tc>
          <w:tcPr>
            <w:tcW w:type="dxa" w:w="3744"/>
            <w:shd w:fill="FFFFFF"/>
            <w:tcMar>
              <w:top w:w="70" w:type="dxa"/>
              <w:bottom w:w="70" w:type="dxa"/>
              <w:left w:w="90" w:type="dxa"/>
              <w:right w:w="90" w:type="dxa"/>
            </w:tcMar>
          </w:tcPr>
          <w:p>
            <w:r>
              <w:rPr>
                <w:color w:val="1E293B"/>
                <w:sz w:val="17"/>
              </w:rPr>
              <w:t>Running 'pytest' directly without activating the virtual environment triggers command not found.</w:t>
            </w:r>
          </w:p>
        </w:tc>
        <w:tc>
          <w:tcPr>
            <w:tcW w:type="dxa" w:w="3744"/>
            <w:shd w:fill="FFFFFF"/>
            <w:tcMar>
              <w:top w:w="70" w:type="dxa"/>
              <w:bottom w:w="70" w:type="dxa"/>
              <w:left w:w="90" w:type="dxa"/>
              <w:right w:w="90" w:type="dxa"/>
            </w:tcMar>
          </w:tcPr>
          <w:p>
            <w:r>
              <w:rPr>
                <w:color w:val="1E293B"/>
                <w:sz w:val="17"/>
              </w:rPr>
              <w:t>Standardize on .\.venv\Scripts\pytest.exe or activate virtualenv first.</w:t>
            </w:r>
          </w:p>
        </w:tc>
      </w:tr>
    </w:tbl>
    <w:p>
      <w:pPr>
        <w:spacing w:after="80"/>
      </w:pPr>
    </w:p>
    <w:p>
      <w:pPr>
        <w:keepNext/>
        <w:spacing w:before="320" w:after="120"/>
      </w:pPr>
      <w:r>
        <w:rPr>
          <w:rFonts w:ascii="Calibri" w:hAnsi="Calibri"/>
          <w:b/>
          <w:color w:val="0F2942"/>
          <w:sz w:val="28"/>
        </w:rPr>
        <w:t>6. Detailed Roadmap: Phase 2 — Models, Ensemble, Thresholds</w:t>
      </w:r>
    </w:p>
    <w:p>
      <w:pPr>
        <w:spacing w:before="0" w:after="80" w:line="276" w:lineRule="auto"/>
      </w:pPr>
      <w:r>
        <w:rPr>
          <w:rFonts w:ascii="Calibri" w:hAnsi="Calibri"/>
          <w:color w:val="1E293B"/>
          <w:sz w:val="19"/>
        </w:rPr>
        <w:t>Phase 2 builds upon the verified Phase 1 dataset partitions to train discriminators strictly on train.json, benchmark individual models on val.json, ablate ensemble fusion strategies, and calibrate risk thresholds. Ground rule: data/test.json is strictly held out and never inspected during Phase 2.</w:t>
      </w:r>
    </w:p>
    <w:p>
      <w:pPr>
        <w:keepNext/>
        <w:spacing w:before="240" w:after="80"/>
      </w:pPr>
      <w:r>
        <w:rPr>
          <w:rFonts w:ascii="Calibri" w:hAnsi="Calibri"/>
          <w:b/>
          <w:color w:val="1E5F8A"/>
          <w:sz w:val="23"/>
        </w:rPr>
        <w:t>Section 7: True Held-Out Test Set Enforcement</w:t>
      </w:r>
    </w:p>
    <w:p>
      <w:pPr>
        <w:pStyle w:val="ListBullet"/>
        <w:spacing w:before="0" w:after="60" w:line="276" w:lineRule="auto"/>
      </w:pPr>
      <w:r>
        <w:rPr>
          <w:rFonts w:ascii="Calibri" w:hAnsi="Calibri"/>
          <w:b/>
          <w:color w:val="1E293B"/>
          <w:sz w:val="19"/>
        </w:rPr>
        <w:t xml:space="preserve">Quarantine Protocol: </w:t>
      </w:r>
      <w:r>
        <w:rPr>
          <w:rFonts w:ascii="Calibri" w:hAnsi="Calibri"/>
          <w:color w:val="1E293B"/>
          <w:sz w:val="19"/>
        </w:rPr>
        <w:t>Confirm that data/test.json (140 samples) remains completely isolated from training, hyperparameter tuning, threshold search, and ensemble weight learning.</w:t>
      </w:r>
    </w:p>
    <w:p>
      <w:pPr>
        <w:keepNext/>
        <w:spacing w:before="240" w:after="80"/>
      </w:pPr>
      <w:r>
        <w:rPr>
          <w:rFonts w:ascii="Calibri" w:hAnsi="Calibri"/>
          <w:b/>
          <w:color w:val="1E5F8A"/>
          <w:sz w:val="23"/>
        </w:rPr>
        <w:t>Section 8: Evaluate All Individual Models on Validation Split</w:t>
      </w:r>
    </w:p>
    <w:p>
      <w:pPr>
        <w:spacing w:before="0" w:after="80" w:line="276" w:lineRule="auto"/>
      </w:pPr>
      <w:r>
        <w:rPr>
          <w:rFonts w:ascii="Calibri" w:hAnsi="Calibri"/>
          <w:color w:val="1E293B"/>
          <w:sz w:val="19"/>
        </w:rPr>
        <w:t>Benchmark all candidate classifiers on data/val.json (138 samples) across applicable categories:</w:t>
      </w:r>
    </w:p>
    <w:p>
      <w:pPr>
        <w:pStyle w:val="ListBullet"/>
        <w:spacing w:before="0" w:after="60" w:line="276" w:lineRule="auto"/>
      </w:pPr>
      <w:r>
        <w:rPr>
          <w:rFonts w:ascii="Calibri" w:hAnsi="Calibri"/>
          <w:color w:val="1E293B"/>
          <w:sz w:val="19"/>
        </w:rPr>
        <w:t>1. Model Family A (TF-IDF + Logistic Regression, retrained on train.json).</w:t>
      </w:r>
    </w:p>
    <w:p>
      <w:pPr>
        <w:pStyle w:val="ListBullet"/>
        <w:spacing w:before="0" w:after="60" w:line="276" w:lineRule="auto"/>
      </w:pPr>
      <w:r>
        <w:rPr>
          <w:rFonts w:ascii="Calibri" w:hAnsi="Calibri"/>
          <w:color w:val="1E293B"/>
          <w:sz w:val="19"/>
        </w:rPr>
        <w:t>2. Model Family B (TF-IDF + MLP, retrained on train.json).</w:t>
      </w:r>
    </w:p>
    <w:p>
      <w:pPr>
        <w:pStyle w:val="ListBullet"/>
        <w:spacing w:before="0" w:after="60" w:line="276" w:lineRule="auto"/>
      </w:pPr>
      <w:r>
        <w:rPr>
          <w:rFonts w:ascii="Calibri" w:hAnsi="Calibri"/>
          <w:color w:val="1E293B"/>
          <w:sz w:val="19"/>
        </w:rPr>
        <w:t>3. ProtectAI DeBERTa-v3 (zero-shot, Jailbreak and Prompt Injection).</w:t>
      </w:r>
    </w:p>
    <w:p>
      <w:pPr>
        <w:pStyle w:val="ListBullet"/>
        <w:spacing w:before="0" w:after="60" w:line="276" w:lineRule="auto"/>
      </w:pPr>
      <w:r>
        <w:rPr>
          <w:rFonts w:ascii="Calibri" w:hAnsi="Calibri"/>
          <w:color w:val="1E293B"/>
          <w:sz w:val="19"/>
        </w:rPr>
        <w:t>4. ToxicBERT (unitary/toxic-bert, Hate/Toxicity only).</w:t>
      </w:r>
    </w:p>
    <w:p>
      <w:pPr>
        <w:pStyle w:val="ListBullet"/>
        <w:spacing w:before="0" w:after="60" w:line="276" w:lineRule="auto"/>
      </w:pPr>
      <w:r>
        <w:rPr>
          <w:rFonts w:ascii="Calibri" w:hAnsi="Calibri"/>
          <w:color w:val="1E293B"/>
          <w:sz w:val="19"/>
        </w:rPr>
        <w:t>5. Presidio Analyzer (Microsoft Presidio, PII Leakage only).</w:t>
      </w:r>
    </w:p>
    <w:p>
      <w:pPr>
        <w:pStyle w:val="ListBullet"/>
        <w:spacing w:before="0" w:after="60" w:line="276" w:lineRule="auto"/>
      </w:pPr>
      <w:r>
        <w:rPr>
          <w:rFonts w:ascii="Calibri" w:hAnsi="Calibri"/>
          <w:color w:val="1E293B"/>
          <w:sz w:val="19"/>
        </w:rPr>
        <w:t>6. Current Ensemble baseline (MAX fusion across models).</w:t>
      </w:r>
    </w:p>
    <w:p>
      <w:pPr>
        <w:spacing w:before="0" w:after="80" w:line="276" w:lineRule="auto"/>
      </w:pPr>
      <w:r>
        <w:rPr>
          <w:rFonts w:ascii="Calibri" w:hAnsi="Calibri"/>
          <w:color w:val="1E293B"/>
          <w:sz w:val="19"/>
        </w:rPr>
        <w:t>Metrics to compute per model per category: Accuracy, Precision, Recall, F1-Score, Confusion Matrix (TP, FP, TN, FN), ROC-AUC, and PR-AUC. Security classification prioritizes Recall and Precision/Recall trade-offs over raw accuracy.</w:t>
      </w:r>
    </w:p>
    <w:p>
      <w:pPr>
        <w:keepNext/>
        <w:spacing w:before="240" w:after="80"/>
      </w:pPr>
      <w:r>
        <w:rPr>
          <w:rFonts w:ascii="Calibri" w:hAnsi="Calibri"/>
          <w:b/>
          <w:color w:val="1E5F8A"/>
          <w:sz w:val="23"/>
        </w:rPr>
        <w:t>Section 9: Surface-Decoupled Evaluation (Direct vs. Indirect)</w:t>
      </w:r>
    </w:p>
    <w:p>
      <w:pPr>
        <w:pStyle w:val="ListBullet"/>
        <w:spacing w:before="0" w:after="60" w:line="276" w:lineRule="auto"/>
      </w:pPr>
      <w:r>
        <w:rPr>
          <w:rFonts w:ascii="Calibri" w:hAnsi="Calibri"/>
          <w:b/>
          <w:color w:val="1E293B"/>
          <w:sz w:val="19"/>
        </w:rPr>
        <w:t xml:space="preserve">Surface Disaggregation: </w:t>
      </w:r>
      <w:r>
        <w:rPr>
          <w:rFonts w:ascii="Calibri" w:hAnsi="Calibri"/>
          <w:color w:val="1E293B"/>
          <w:sz w:val="19"/>
        </w:rPr>
        <w:t>Separately calculate Precision, Recall, and F1 for DIRECT and INDIRECT surfaces on Jailbreak and Prompt Injection. Do not report a single monolithic number; empirical surface asymmetry is central to CipherGuard's architectural thesis.</w:t>
      </w:r>
    </w:p>
    <w:p>
      <w:pPr>
        <w:keepNext/>
        <w:spacing w:before="240" w:after="80"/>
      </w:pPr>
      <w:r>
        <w:rPr>
          <w:rFonts w:ascii="Calibri" w:hAnsi="Calibri"/>
          <w:b/>
          <w:color w:val="1E5F8A"/>
          <w:sz w:val="23"/>
        </w:rPr>
        <w:t>Section 10: Scientific Protocol on DeBERTa Fine-Tuning</w:t>
      </w:r>
    </w:p>
    <w:p>
      <w:pPr>
        <w:pStyle w:val="ListBullet"/>
        <w:spacing w:before="0" w:after="60" w:line="276" w:lineRule="auto"/>
      </w:pPr>
      <w:r>
        <w:rPr>
          <w:rFonts w:ascii="Calibri" w:hAnsi="Calibri"/>
          <w:b/>
          <w:color w:val="1E293B"/>
          <w:sz w:val="19"/>
        </w:rPr>
        <w:t xml:space="preserve">Honest Model Governance: </w:t>
      </w:r>
      <w:r>
        <w:rPr>
          <w:rFonts w:ascii="Calibri" w:hAnsi="Calibri"/>
          <w:color w:val="1E293B"/>
          <w:sz w:val="19"/>
        </w:rPr>
        <w:t>The archived LoRA fine-tuned DeBERTa (~704 samples) produced unacceptable false positives. Maintain it as archived; do not claim the in-house model is superior. Document why the pretrained ProtectAI checkpoint is preferred and what dataset scale/quality would justify revisiting fine-tuning.</w:t>
      </w:r>
    </w:p>
    <w:p>
      <w:pPr>
        <w:keepNext/>
        <w:spacing w:before="240" w:after="80"/>
      </w:pPr>
      <w:r>
        <w:rPr>
          <w:rFonts w:ascii="Calibri" w:hAnsi="Calibri"/>
          <w:b/>
          <w:color w:val="1E5F8A"/>
          <w:sz w:val="23"/>
        </w:rPr>
        <w:t>Section 11: Experimental Ensemble Fusion Ablation</w:t>
      </w:r>
    </w:p>
    <w:p>
      <w:pPr>
        <w:spacing w:before="0" w:after="80" w:line="276" w:lineRule="auto"/>
      </w:pPr>
      <w:r>
        <w:rPr>
          <w:rFonts w:ascii="Calibri" w:hAnsi="Calibri"/>
          <w:color w:val="1E293B"/>
          <w:sz w:val="19"/>
        </w:rPr>
        <w:t>The current baseline uses conservative MAX fusion (Final Score = max(Model A, Model B, Specialist)). Phase 2 will systematically execute an ablation study across seven candidate fusion strategies:</w:t>
      </w:r>
    </w:p>
    <w:p>
      <w:pPr>
        <w:pStyle w:val="ListBullet"/>
        <w:spacing w:before="0" w:after="60" w:line="276" w:lineRule="auto"/>
      </w:pPr>
      <w:r>
        <w:rPr>
          <w:rFonts w:ascii="Calibri" w:hAnsi="Calibri"/>
          <w:color w:val="1E293B"/>
          <w:sz w:val="19"/>
        </w:rPr>
        <w:t>Strategy A: Logistic Regression only (Model Family A baseline).</w:t>
      </w:r>
    </w:p>
    <w:p>
      <w:pPr>
        <w:pStyle w:val="ListBullet"/>
        <w:spacing w:before="0" w:after="60" w:line="276" w:lineRule="auto"/>
      </w:pPr>
      <w:r>
        <w:rPr>
          <w:rFonts w:ascii="Calibri" w:hAnsi="Calibri"/>
          <w:color w:val="1E293B"/>
          <w:sz w:val="19"/>
        </w:rPr>
        <w:t>Strategy B: MLP only (Model Family B baseline).</w:t>
      </w:r>
    </w:p>
    <w:p>
      <w:pPr>
        <w:pStyle w:val="ListBullet"/>
        <w:spacing w:before="0" w:after="60" w:line="276" w:lineRule="auto"/>
      </w:pPr>
      <w:r>
        <w:rPr>
          <w:rFonts w:ascii="Calibri" w:hAnsi="Calibri"/>
          <w:color w:val="1E293B"/>
          <w:sz w:val="19"/>
        </w:rPr>
        <w:t>Strategy C: DeBERTa / Specialist models only.</w:t>
      </w:r>
    </w:p>
    <w:p>
      <w:pPr>
        <w:pStyle w:val="ListBullet"/>
        <w:spacing w:before="0" w:after="60" w:line="276" w:lineRule="auto"/>
      </w:pPr>
      <w:r>
        <w:rPr>
          <w:rFonts w:ascii="Calibri" w:hAnsi="Calibri"/>
          <w:color w:val="1E293B"/>
          <w:sz w:val="19"/>
        </w:rPr>
        <w:t>Strategy D: LR + MLP blend.</w:t>
      </w:r>
    </w:p>
    <w:p>
      <w:pPr>
        <w:pStyle w:val="ListBullet"/>
        <w:spacing w:before="0" w:after="60" w:line="276" w:lineRule="auto"/>
      </w:pPr>
      <w:r>
        <w:rPr>
          <w:rFonts w:ascii="Calibri" w:hAnsi="Calibri"/>
          <w:color w:val="1E293B"/>
          <w:sz w:val="19"/>
        </w:rPr>
        <w:t>Strategy E: LR + MLP + Specialist with MAX fusion (current operational baseline).</w:t>
      </w:r>
    </w:p>
    <w:p>
      <w:pPr>
        <w:pStyle w:val="ListBullet"/>
        <w:spacing w:before="0" w:after="60" w:line="276" w:lineRule="auto"/>
      </w:pPr>
      <w:r>
        <w:rPr>
          <w:rFonts w:ascii="Calibri" w:hAnsi="Calibri"/>
          <w:color w:val="1E293B"/>
          <w:sz w:val="19"/>
        </w:rPr>
        <w:t>Strategy F: LR + MLP + Specialist with Weighted Average fusion (weights tuned on validation predictions).</w:t>
      </w:r>
    </w:p>
    <w:p>
      <w:pPr>
        <w:pStyle w:val="ListBullet"/>
        <w:spacing w:before="0" w:after="60" w:line="276" w:lineRule="auto"/>
      </w:pPr>
      <w:r>
        <w:rPr>
          <w:rFonts w:ascii="Calibri" w:hAnsi="Calibri"/>
          <w:color w:val="1E293B"/>
          <w:sz w:val="19"/>
        </w:rPr>
        <w:t>Strategy G: Small meta-classifier / Stacking model (fitted on validation score vectors).</w:t>
      </w:r>
    </w:p>
    <w:p>
      <w:pPr>
        <w:spacing w:before="0" w:after="80" w:line="276" w:lineRule="auto"/>
      </w:pPr>
      <w:r>
        <w:rPr>
          <w:rFonts w:ascii="Calibri" w:hAnsi="Calibri"/>
          <w:color w:val="1E293B"/>
          <w:sz w:val="19"/>
        </w:rPr>
        <w:t>All weights and meta-models are learned exclusively using validation predictions. The winning strategy is selected based on validation F1/Recall, and only then evaluated on the held-out test split.</w:t>
      </w:r>
    </w:p>
    <w:p>
      <w:pPr>
        <w:keepNext/>
        <w:spacing w:before="240" w:after="80"/>
      </w:pPr>
      <w:r>
        <w:rPr>
          <w:rFonts w:ascii="Calibri" w:hAnsi="Calibri"/>
          <w:b/>
          <w:color w:val="1E5F8A"/>
          <w:sz w:val="23"/>
        </w:rPr>
        <w:t>Section 12: Risk Score Calibration &amp; Threshold Search</w:t>
      </w:r>
    </w:p>
    <w:p>
      <w:pPr>
        <w:pStyle w:val="ListBullet"/>
        <w:spacing w:before="0" w:after="60" w:line="276" w:lineRule="auto"/>
      </w:pPr>
      <w:r>
        <w:rPr>
          <w:rFonts w:ascii="Calibri" w:hAnsi="Calibri"/>
          <w:b/>
          <w:color w:val="1E293B"/>
          <w:sz w:val="19"/>
        </w:rPr>
        <w:t xml:space="preserve">Validation Threshold Search: </w:t>
      </w:r>
      <w:r>
        <w:rPr>
          <w:rFonts w:ascii="Calibri" w:hAnsi="Calibri"/>
          <w:color w:val="1E293B"/>
          <w:sz w:val="19"/>
        </w:rPr>
        <w:t>Current static thresholds in policy.json (BLOCK &gt;= 0.85, REVIEW 0.45-0.84, ALLOW &lt; 0.45 or category-specific values) must not be assumed optimal. Execute a systematic grid search on validation data.</w:t>
      </w:r>
    </w:p>
    <w:p>
      <w:pPr>
        <w:pStyle w:val="ListBullet"/>
        <w:spacing w:before="0" w:after="60" w:line="276" w:lineRule="auto"/>
      </w:pPr>
      <w:r>
        <w:rPr>
          <w:rFonts w:ascii="Calibri" w:hAnsi="Calibri"/>
          <w:b/>
          <w:color w:val="1E293B"/>
          <w:sz w:val="19"/>
        </w:rPr>
        <w:t xml:space="preserve">Optimization Criterion: </w:t>
      </w:r>
      <w:r>
        <w:rPr>
          <w:rFonts w:ascii="Calibri" w:hAnsi="Calibri"/>
          <w:color w:val="1E293B"/>
          <w:sz w:val="19"/>
        </w:rPr>
        <w:t>Objective function: Minimize dangerous false negatives (missed attacks) while maintaining false positives below an acceptable ceiling. Determine separate thresholds for direct vs indirect surfaces where supported by validation data. Freeze selected thresholds before touching the test split.</w:t>
      </w:r>
    </w:p>
    <w:p>
      <w:pPr>
        <w:keepNext/>
        <w:spacing w:before="320" w:after="120"/>
      </w:pPr>
      <w:r>
        <w:rPr>
          <w:rFonts w:ascii="Calibri" w:hAnsi="Calibri"/>
          <w:b/>
          <w:color w:val="0F2942"/>
          <w:sz w:val="28"/>
        </w:rPr>
        <w:t>7. Detailed Roadmap: Phase 3 — Calibration, Security Tests, Attribution &amp; Ablations</w:t>
      </w:r>
    </w:p>
    <w:p>
      <w:pPr>
        <w:spacing w:before="0" w:after="80" w:line="276" w:lineRule="auto"/>
      </w:pPr>
      <w:r>
        <w:rPr>
          <w:rFonts w:ascii="Calibri" w:hAnsi="Calibri"/>
          <w:color w:val="1E293B"/>
          <w:sz w:val="19"/>
        </w:rPr>
        <w:t>Phase 3 focuses on probability calibration, formal security scenario unit testing, explainability benchmarking, comprehensive ablation studies, error analysis, and external benchmark compatibility.</w:t>
      </w:r>
    </w:p>
    <w:p>
      <w:pPr>
        <w:keepNext/>
        <w:spacing w:before="240" w:after="80"/>
      </w:pPr>
      <w:r>
        <w:rPr>
          <w:rFonts w:ascii="Calibri" w:hAnsi="Calibri"/>
          <w:b/>
          <w:color w:val="1E5F8A"/>
          <w:sz w:val="23"/>
        </w:rPr>
        <w:t>Section 13: Probability Calibration Analysis</w:t>
      </w:r>
    </w:p>
    <w:p>
      <w:pPr>
        <w:pStyle w:val="ListBullet"/>
        <w:spacing w:before="0" w:after="60" w:line="276" w:lineRule="auto"/>
      </w:pPr>
      <w:r>
        <w:rPr>
          <w:rFonts w:ascii="Calibri" w:hAnsi="Calibri"/>
          <w:b/>
          <w:color w:val="1E293B"/>
          <w:sz w:val="19"/>
        </w:rPr>
        <w:t xml:space="preserve">ECE &amp; Brier Score: </w:t>
      </w:r>
      <w:r>
        <w:rPr>
          <w:rFonts w:ascii="Calibri" w:hAnsi="Calibri"/>
          <w:color w:val="1E293B"/>
          <w:sz w:val="19"/>
        </w:rPr>
        <w:t>Evaluate whether model output scores represent true risk probabilities using reliability diagrams, calibration curves, Brier score, and Expected Calibration Error (ECE). Experiment with Platt scaling (logistic calibration) or isotonic regression fitted on validation data.</w:t>
      </w:r>
    </w:p>
    <w:p>
      <w:pPr>
        <w:keepNext/>
        <w:spacing w:before="240" w:after="80"/>
      </w:pPr>
      <w:r>
        <w:rPr>
          <w:rFonts w:ascii="Calibri" w:hAnsi="Calibri"/>
          <w:b/>
          <w:color w:val="1E5F8A"/>
          <w:sz w:val="23"/>
        </w:rPr>
        <w:t>Section 14: Automated Policy Matrix Unit Testing</w:t>
      </w:r>
    </w:p>
    <w:p>
      <w:pPr>
        <w:pStyle w:val="ListBullet"/>
        <w:spacing w:before="0" w:after="60" w:line="276" w:lineRule="auto"/>
      </w:pPr>
      <w:r>
        <w:rPr>
          <w:rFonts w:ascii="Calibri" w:hAnsi="Calibri"/>
          <w:b/>
          <w:color w:val="1E293B"/>
          <w:sz w:val="19"/>
        </w:rPr>
        <w:t xml:space="preserve">Model/Policy Separation: </w:t>
      </w:r>
      <w:r>
        <w:rPr>
          <w:rFonts w:ascii="Calibri" w:hAnsi="Calibri"/>
          <w:color w:val="1E293B"/>
          <w:sz w:val="19"/>
        </w:rPr>
        <w:t>Validate the strict separation of model risk scoring ('what is the risk?') from policy resolution ('what action?').</w:t>
      </w:r>
    </w:p>
    <w:p>
      <w:pPr>
        <w:pStyle w:val="ListBullet"/>
        <w:spacing w:before="0" w:after="60" w:line="276" w:lineRule="auto"/>
      </w:pPr>
      <w:r>
        <w:rPr>
          <w:rFonts w:ascii="Calibri" w:hAnsi="Calibri"/>
          <w:b/>
          <w:color w:val="1E293B"/>
          <w:sz w:val="19"/>
        </w:rPr>
        <w:t xml:space="preserve">Policy Unit Tests: </w:t>
      </w:r>
      <w:r>
        <w:rPr>
          <w:rFonts w:ascii="Calibri" w:hAnsi="Calibri"/>
          <w:color w:val="1E293B"/>
          <w:sz w:val="19"/>
        </w:rPr>
        <w:t>Develop unit tests covering low/medium/high risk -&gt; correct action mapping, threshold boundary values, surface-specific matching, conflicting multi-category risk resolutions, and verify that updating policy.json instantly modifies routing behavior without model retraining.</w:t>
      </w:r>
    </w:p>
    <w:p>
      <w:pPr>
        <w:keepNext/>
        <w:spacing w:before="240" w:after="80"/>
      </w:pPr>
      <w:r>
        <w:rPr>
          <w:rFonts w:ascii="Calibri" w:hAnsi="Calibri"/>
          <w:b/>
          <w:color w:val="1E5F8A"/>
          <w:sz w:val="23"/>
        </w:rPr>
        <w:t>Section 15: Dual-Surface Security Scenario Test Fixtures</w:t>
      </w:r>
    </w:p>
    <w:p>
      <w:pPr>
        <w:pStyle w:val="ListBullet"/>
        <w:spacing w:before="0" w:after="60" w:line="276" w:lineRule="auto"/>
      </w:pPr>
      <w:r>
        <w:rPr>
          <w:rFonts w:ascii="Calibri" w:hAnsi="Calibri"/>
          <w:b/>
          <w:color w:val="1E293B"/>
          <w:sz w:val="19"/>
        </w:rPr>
        <w:t xml:space="preserve">Five Injection Fixtures: </w:t>
      </w:r>
      <w:r>
        <w:rPr>
          <w:rFonts w:ascii="Calibri" w:hAnsi="Calibri"/>
          <w:color w:val="1E293B"/>
          <w:sz w:val="19"/>
        </w:rPr>
        <w:t>Construct controlled evaluation fixtures simulating actual indirect attack pathways: (1) RAG retrieved document chunk injection, (2) Malicious webpage content injection, (3) Malicious email body injection, (4) Injected database record retrieval, and (5) Malicious tool-output payload.</w:t>
      </w:r>
    </w:p>
    <w:p>
      <w:pPr>
        <w:pStyle w:val="ListBullet"/>
        <w:spacing w:before="0" w:after="60" w:line="276" w:lineRule="auto"/>
      </w:pPr>
      <w:r>
        <w:rPr>
          <w:rFonts w:ascii="Calibri" w:hAnsi="Calibri"/>
          <w:b/>
          <w:color w:val="1E293B"/>
          <w:sz w:val="19"/>
        </w:rPr>
        <w:t xml:space="preserve">Pre-Agent Verification: </w:t>
      </w:r>
      <w:r>
        <w:rPr>
          <w:rFonts w:ascii="Calibri" w:hAnsi="Calibri"/>
          <w:color w:val="1E293B"/>
          <w:sz w:val="19"/>
        </w:rPr>
        <w:t>Demonstrate that attacks embedded in third-party context are successfully intercepted before downstream LLM/Agent invocation.</w:t>
      </w:r>
    </w:p>
    <w:p>
      <w:pPr>
        <w:keepNext/>
        <w:spacing w:before="240" w:after="80"/>
      </w:pPr>
      <w:r>
        <w:rPr>
          <w:rFonts w:ascii="Calibri" w:hAnsi="Calibri"/>
          <w:b/>
          <w:color w:val="1E5F8A"/>
          <w:sz w:val="23"/>
        </w:rPr>
        <w:t>Section 16: Removal-Based Attribution Benchmarking</w:t>
      </w:r>
    </w:p>
    <w:p>
      <w:pPr>
        <w:pStyle w:val="ListBullet"/>
        <w:spacing w:before="0" w:after="60" w:line="276" w:lineRule="auto"/>
      </w:pPr>
      <w:r>
        <w:rPr>
          <w:rFonts w:ascii="Calibri" w:hAnsi="Calibri"/>
          <w:b/>
          <w:color w:val="1E293B"/>
          <w:sz w:val="19"/>
        </w:rPr>
        <w:t xml:space="preserve">Attribution Metrics: </w:t>
      </w:r>
      <w:r>
        <w:rPr>
          <w:rFonts w:ascii="Calibri" w:hAnsi="Calibri"/>
          <w:color w:val="1E293B"/>
          <w:sz w:val="19"/>
        </w:rPr>
        <w:t>Systematically evaluate beam search counterfactuals across blocked instances. Measure: decision flip rate, mean tokens removed, search execution latency, success rate by attack type, and success rate by surface.</w:t>
      </w:r>
    </w:p>
    <w:p>
      <w:pPr>
        <w:pStyle w:val="ListBullet"/>
        <w:spacing w:before="0" w:after="60" w:line="276" w:lineRule="auto"/>
      </w:pPr>
      <w:r>
        <w:rPr>
          <w:rFonts w:ascii="Calibri" w:hAnsi="Calibri"/>
          <w:b/>
          <w:color w:val="1E293B"/>
          <w:sz w:val="19"/>
        </w:rPr>
        <w:t xml:space="preserve">Budget Ablation &amp; Framing: </w:t>
      </w:r>
      <w:r>
        <w:rPr>
          <w:rFonts w:ascii="Calibri" w:hAnsi="Calibri"/>
          <w:color w:val="1E293B"/>
          <w:sz w:val="19"/>
        </w:rPr>
        <w:t>Ablate beam search budgets: Narrow (beam=5, L=6) vs. Wide (beam=10, L=10). Explicitly describe output in all reporting as an approximate contrastive explanation, not a provably exact minimal set.</w:t>
      </w:r>
    </w:p>
    <w:p>
      <w:pPr>
        <w:keepNext/>
        <w:spacing w:before="240" w:after="80"/>
      </w:pPr>
      <w:r>
        <w:rPr>
          <w:rFonts w:ascii="Calibri" w:hAnsi="Calibri"/>
          <w:b/>
          <w:color w:val="1E5F8A"/>
          <w:sz w:val="23"/>
        </w:rPr>
        <w:t>Section 17: Comprehensive Multi-Dimensional Ablation Matrix</w:t>
      </w:r>
    </w:p>
    <w:p>
      <w:pPr>
        <w:pStyle w:val="ListBullet"/>
        <w:spacing w:before="0" w:after="60" w:line="276" w:lineRule="auto"/>
      </w:pPr>
      <w:r>
        <w:rPr>
          <w:rFonts w:ascii="Calibri" w:hAnsi="Calibri"/>
          <w:color w:val="1E293B"/>
          <w:sz w:val="19"/>
        </w:rPr>
        <w:t>1. Dataset Ablation: Pilot only vs Public only vs Public+Custom vs Public+Custom+Synthetic.</w:t>
      </w:r>
    </w:p>
    <w:p>
      <w:pPr>
        <w:pStyle w:val="ListBullet"/>
        <w:spacing w:before="0" w:after="60" w:line="276" w:lineRule="auto"/>
      </w:pPr>
      <w:r>
        <w:rPr>
          <w:rFonts w:ascii="Calibri" w:hAnsi="Calibri"/>
          <w:color w:val="1E293B"/>
          <w:sz w:val="19"/>
        </w:rPr>
        <w:t>2. Model Ablation: Family A (LR) vs Family B (MLP) vs DeBERTa vs Specialists vs Ensembles.</w:t>
      </w:r>
    </w:p>
    <w:p>
      <w:pPr>
        <w:pStyle w:val="ListBullet"/>
        <w:spacing w:before="0" w:after="60" w:line="276" w:lineRule="auto"/>
      </w:pPr>
      <w:r>
        <w:rPr>
          <w:rFonts w:ascii="Calibri" w:hAnsi="Calibri"/>
          <w:color w:val="1E293B"/>
          <w:sz w:val="19"/>
        </w:rPr>
        <w:t>3. Fusion Ablation: MAX vs Weighted Average vs Stacking meta-classifier.</w:t>
      </w:r>
    </w:p>
    <w:p>
      <w:pPr>
        <w:pStyle w:val="ListBullet"/>
        <w:spacing w:before="0" w:after="60" w:line="276" w:lineRule="auto"/>
      </w:pPr>
      <w:r>
        <w:rPr>
          <w:rFonts w:ascii="Calibri" w:hAnsi="Calibri"/>
          <w:color w:val="1E293B"/>
          <w:sz w:val="19"/>
        </w:rPr>
        <w:t>4. Policy Ablation: Monolithic shared threshold vs Decoupled surface-specific thresholds.</w:t>
      </w:r>
    </w:p>
    <w:p>
      <w:pPr>
        <w:pStyle w:val="ListBullet"/>
        <w:spacing w:before="0" w:after="60" w:line="276" w:lineRule="auto"/>
      </w:pPr>
      <w:r>
        <w:rPr>
          <w:rFonts w:ascii="Calibri" w:hAnsi="Calibri"/>
          <w:color w:val="1E293B"/>
          <w:sz w:val="19"/>
        </w:rPr>
        <w:t>5. Attribution Ablation: Candidate beam sizes (k=3, 5, 10) and removal caps (L=4, 6, 10).</w:t>
      </w:r>
    </w:p>
    <w:p>
      <w:pPr>
        <w:keepNext/>
        <w:spacing w:before="240" w:after="80"/>
      </w:pPr>
      <w:r>
        <w:rPr>
          <w:rFonts w:ascii="Calibri" w:hAnsi="Calibri"/>
          <w:b/>
          <w:color w:val="1E5F8A"/>
          <w:sz w:val="23"/>
        </w:rPr>
        <w:t>Section 18: Confusion Matrix &amp; False Positive / Negative Error Analysis</w:t>
      </w:r>
    </w:p>
    <w:p>
      <w:pPr>
        <w:pStyle w:val="ListBullet"/>
        <w:spacing w:before="0" w:after="60" w:line="276" w:lineRule="auto"/>
      </w:pPr>
      <w:r>
        <w:rPr>
          <w:rFonts w:ascii="Calibri" w:hAnsi="Calibri"/>
          <w:b/>
          <w:color w:val="1E293B"/>
          <w:sz w:val="19"/>
        </w:rPr>
        <w:t xml:space="preserve">Qualitative Error Audit: </w:t>
      </w:r>
      <w:r>
        <w:rPr>
          <w:rFonts w:ascii="Calibri" w:hAnsi="Calibri"/>
          <w:color w:val="1E293B"/>
          <w:sz w:val="19"/>
        </w:rPr>
        <w:t>Generate and save confusion matrices for all five safety categories. Perform qualitative inspection of representative false-positive and false-negative instances, logging input text, ground-truth label, predicted vector, surface, attack type, and router decision to identify systemic model failure modes.</w:t>
      </w:r>
    </w:p>
    <w:p>
      <w:pPr>
        <w:keepNext/>
        <w:spacing w:before="240" w:after="80"/>
      </w:pPr>
      <w:r>
        <w:rPr>
          <w:rFonts w:ascii="Calibri" w:hAnsi="Calibri"/>
          <w:b/>
          <w:color w:val="1E5F8A"/>
          <w:sz w:val="23"/>
        </w:rPr>
        <w:t>Section 20: External / Held-Out Benchmark Support</w:t>
      </w:r>
    </w:p>
    <w:p>
      <w:pPr>
        <w:pStyle w:val="ListBullet"/>
        <w:spacing w:before="0" w:after="60" w:line="276" w:lineRule="auto"/>
      </w:pPr>
      <w:r>
        <w:rPr>
          <w:rFonts w:ascii="Calibri" w:hAnsi="Calibri"/>
          <w:b/>
          <w:color w:val="1E293B"/>
          <w:sz w:val="19"/>
        </w:rPr>
        <w:t xml:space="preserve">Standardized Academic Benchmarks: </w:t>
      </w:r>
      <w:r>
        <w:rPr>
          <w:rFonts w:ascii="Calibri" w:hAnsi="Calibri"/>
          <w:color w:val="1E293B"/>
          <w:sz w:val="19"/>
        </w:rPr>
        <w:t>Add evaluation-only adapters for recognized academic benchmarks where accessible: WildGuardTest, JailbreakBench, HarmBench, and InjecAgent/AgentDojo. External benchmarks must be strictly eval-only and never merged into training. If a benchmark cannot be downloaded in this environment, build the harness code and document the constraint explicitly.</w:t>
      </w:r>
    </w:p>
    <w:p>
      <w:pPr>
        <w:keepNext/>
        <w:spacing w:before="320" w:after="120"/>
      </w:pPr>
      <w:r>
        <w:rPr>
          <w:rFonts w:ascii="Calibri" w:hAnsi="Calibri"/>
          <w:b/>
          <w:color w:val="0F2942"/>
          <w:sz w:val="28"/>
        </w:rPr>
        <w:t>8. Detailed Roadmap: Phase 4 — Reproducibility, Documentation &amp; Final Deliverables</w:t>
      </w:r>
    </w:p>
    <w:p>
      <w:pPr>
        <w:spacing w:before="0" w:after="80" w:line="276" w:lineRule="auto"/>
      </w:pPr>
      <w:r>
        <w:rPr>
          <w:rFonts w:ascii="Calibri" w:hAnsi="Calibri"/>
          <w:color w:val="1E293B"/>
          <w:sz w:val="19"/>
        </w:rPr>
        <w:t>Phase 4 ensures enterprise-grade reproducibility, expands regression testing, updates technical documentation, verifies all 16 project deliverables, and generates the final academic implementation report.</w:t>
      </w:r>
    </w:p>
    <w:p>
      <w:pPr>
        <w:keepNext/>
        <w:spacing w:before="240" w:after="80"/>
      </w:pPr>
      <w:r>
        <w:rPr>
          <w:rFonts w:ascii="Calibri" w:hAnsi="Calibri"/>
          <w:b/>
          <w:color w:val="1E5F8A"/>
          <w:sz w:val="23"/>
        </w:rPr>
        <w:t>Section 21: Reproducibility &amp; Central Experiment Configuration</w:t>
      </w:r>
    </w:p>
    <w:p>
      <w:pPr>
        <w:pStyle w:val="ListBullet"/>
        <w:spacing w:before="0" w:after="60" w:line="276" w:lineRule="auto"/>
      </w:pPr>
      <w:r>
        <w:rPr>
          <w:rFonts w:ascii="Calibri" w:hAnsi="Calibri"/>
          <w:b/>
          <w:color w:val="1E293B"/>
          <w:sz w:val="19"/>
        </w:rPr>
        <w:t xml:space="preserve">Central Config: </w:t>
      </w:r>
      <w:r>
        <w:rPr>
          <w:rFonts w:ascii="Calibri" w:hAnsi="Calibri"/>
          <w:color w:val="1E293B"/>
          <w:sz w:val="19"/>
        </w:rPr>
        <w:t>Establish a central configuration file (configs/experiment.yaml) specifying random seeds, dataset versions, train/val/test counts, hyperparameters, frozen thresholds, and fusion methods to prevent hard-coded discrepancies.</w:t>
      </w:r>
    </w:p>
    <w:p>
      <w:pPr>
        <w:keepNext/>
        <w:spacing w:before="240" w:after="80"/>
      </w:pPr>
      <w:r>
        <w:rPr>
          <w:rFonts w:ascii="Calibri" w:hAnsi="Calibri"/>
          <w:b/>
          <w:color w:val="1E5F8A"/>
          <w:sz w:val="23"/>
        </w:rPr>
        <w:t>Section 22: Documentation Integrity Standards</w:t>
      </w:r>
    </w:p>
    <w:p>
      <w:pPr>
        <w:pStyle w:val="ListBullet"/>
        <w:spacing w:before="0" w:after="60" w:line="276" w:lineRule="auto"/>
      </w:pPr>
      <w:r>
        <w:rPr>
          <w:rFonts w:ascii="Calibri" w:hAnsi="Calibri"/>
          <w:b/>
          <w:color w:val="1E293B"/>
          <w:sz w:val="19"/>
        </w:rPr>
        <w:t xml:space="preserve">Documentation Standards: </w:t>
      </w:r>
      <w:r>
        <w:rPr>
          <w:rFonts w:ascii="Calibri" w:hAnsi="Calibri"/>
          <w:color w:val="1E293B"/>
          <w:sz w:val="19"/>
        </w:rPr>
        <w:t>Enforce strict clarity in all documentation: clearly distinguish between CURRENT IMPLEMENTATION, PILOT POC RESULTS (n=85), and FINAL EVALUATION. Never claim n=85 validates real-world performance. Document the PII dataset gap fix, the archived DeBERTa rationale, threshold calibration findings, and direct-vs-indirect results.</w:t>
      </w:r>
    </w:p>
    <w:p>
      <w:pPr>
        <w:keepNext/>
        <w:spacing w:before="240" w:after="80"/>
      </w:pPr>
      <w:r>
        <w:rPr>
          <w:rFonts w:ascii="Calibri" w:hAnsi="Calibri"/>
          <w:b/>
          <w:color w:val="1E5F8A"/>
          <w:sz w:val="23"/>
        </w:rPr>
        <w:t>Section 23: Application Functionality &amp; Regression Testing</w:t>
      </w:r>
    </w:p>
    <w:p>
      <w:pPr>
        <w:pStyle w:val="ListBullet"/>
        <w:spacing w:before="0" w:after="60" w:line="276" w:lineRule="auto"/>
      </w:pPr>
      <w:r>
        <w:rPr>
          <w:rFonts w:ascii="Calibri" w:hAnsi="Calibri"/>
          <w:b/>
          <w:color w:val="1E293B"/>
          <w:sz w:val="19"/>
        </w:rPr>
        <w:t xml:space="preserve">Regression Suite: </w:t>
      </w:r>
      <w:r>
        <w:rPr>
          <w:rFonts w:ascii="Calibri" w:hAnsi="Calibri"/>
          <w:color w:val="1E293B"/>
          <w:sz w:val="19"/>
        </w:rPr>
        <w:t>Ensure all core interfaces remain stable. Run existing test suite and introduce regression tests for: dataset schema validation, train/test leakage checks, PII entity detection, model score bounds, ensemble fusion, dynamic threshold routing, direct/indirect handling, token attribution, and FastAPI REST endpoint contracts.</w:t>
      </w:r>
    </w:p>
    <w:p>
      <w:pPr>
        <w:keepNext/>
        <w:spacing w:before="240" w:after="80"/>
      </w:pPr>
      <w:r>
        <w:rPr>
          <w:rFonts w:ascii="Calibri" w:hAnsi="Calibri"/>
          <w:b/>
          <w:color w:val="1E5F8A"/>
          <w:sz w:val="23"/>
        </w:rPr>
        <w:t>Section 24: Engineering Constraints Verification</w:t>
      </w:r>
    </w:p>
    <w:p>
      <w:pPr>
        <w:pStyle w:val="ListBullet"/>
        <w:spacing w:before="0" w:after="60" w:line="276" w:lineRule="auto"/>
      </w:pPr>
      <w:r>
        <w:rPr>
          <w:rFonts w:ascii="Calibri" w:hAnsi="Calibri"/>
          <w:b/>
          <w:color w:val="1E293B"/>
          <w:sz w:val="19"/>
        </w:rPr>
        <w:t xml:space="preserve">Runtime Constraints: </w:t>
      </w:r>
      <w:r>
        <w:rPr>
          <w:rFonts w:ascii="Calibri" w:hAnsi="Calibri"/>
          <w:color w:val="1E293B"/>
          <w:sz w:val="19"/>
        </w:rPr>
        <w:t>Confirm all systems operate under defined constraints: CPU-compatible baselines, no mandatory GPU dependency, lazy loading for DeBERTa/ToxicBERT, graceful degradation fallbacks, and reliable Windows 11 compatibility.</w:t>
      </w:r>
    </w:p>
    <w:p>
      <w:pPr>
        <w:keepNext/>
        <w:spacing w:before="240" w:after="80"/>
      </w:pPr>
      <w:r>
        <w:rPr>
          <w:rFonts w:ascii="Calibri" w:hAnsi="Calibri"/>
          <w:b/>
          <w:color w:val="1E5F8A"/>
          <w:sz w:val="23"/>
        </w:rPr>
        <w:t>Section 25: Verification Checklist of 16 Final Deliverables</w:t>
      </w:r>
    </w:p>
    <w:p>
      <w:pPr>
        <w:spacing w:before="0" w:after="80" w:line="276" w:lineRule="auto"/>
      </w:pPr>
      <w:r>
        <w:rPr>
          <w:rFonts w:ascii="Calibri" w:hAnsi="Calibri"/>
          <w:color w:val="1E293B"/>
          <w:sz w:val="19"/>
        </w:rPr>
        <w:t>Before final sign-off, verify the existence and empirical validity of each deliverable:</w:t>
      </w:r>
    </w:p>
    <w:tbl>
      <w:tblPr>
        <w:tblW w:type="auto" w:w="0"/>
        <w:jc w:val="center"/>
        <w:tblLook w:firstColumn="1" w:firstRow="1" w:lastColumn="0" w:lastRow="0" w:noHBand="0" w:noVBand="1" w:val="04A0"/>
      </w:tblPr>
      <w:tblGrid>
        <w:gridCol w:w="5040"/>
        <w:gridCol w:w="5040"/>
      </w:tblGrid>
      <w:tr>
        <w:tc>
          <w:tcPr>
            <w:tcW w:type="dxa" w:w="3600"/>
            <w:shd w:fill="1E5F8A"/>
            <w:tcMar>
              <w:top w:w="60" w:type="dxa"/>
              <w:bottom w:w="60" w:type="dxa"/>
              <w:left w:w="80" w:type="dxa"/>
              <w:right w:w="80" w:type="dxa"/>
            </w:tcMar>
          </w:tcPr>
          <w:p>
            <w:r>
              <w:rPr>
                <w:b/>
                <w:color w:val="FFFFFF"/>
                <w:sz w:val="17"/>
              </w:rPr>
              <w:t>Required Deliverable</w:t>
            </w:r>
          </w:p>
        </w:tc>
        <w:tc>
          <w:tcPr>
            <w:tcW w:type="dxa" w:w="6480"/>
            <w:shd w:fill="1E5F8A"/>
            <w:tcMar>
              <w:top w:w="60" w:type="dxa"/>
              <w:bottom w:w="60" w:type="dxa"/>
              <w:left w:w="80" w:type="dxa"/>
              <w:right w:w="80" w:type="dxa"/>
            </w:tcMar>
          </w:tcPr>
          <w:p>
            <w:r>
              <w:rPr>
                <w:b/>
                <w:color w:val="FFFFFF"/>
                <w:sz w:val="17"/>
              </w:rPr>
              <w:t>Verification Standard &amp; Artifact</w:t>
            </w:r>
          </w:p>
        </w:tc>
      </w:tr>
      <w:tr>
        <w:tc>
          <w:tcPr>
            <w:tcW w:type="dxa" w:w="3600"/>
            <w:shd w:fill="FFFFFF"/>
            <w:tcMar>
              <w:top w:w="50" w:type="dxa"/>
              <w:bottom w:w="50" w:type="dxa"/>
              <w:left w:w="80" w:type="dxa"/>
              <w:right w:w="80" w:type="dxa"/>
            </w:tcMar>
          </w:tcPr>
          <w:p>
            <w:r>
              <w:rPr>
                <w:b/>
                <w:color w:val="1E293B"/>
                <w:sz w:val="16"/>
              </w:rPr>
              <w:t>1. Updated Dataset Pipeline</w:t>
            </w:r>
          </w:p>
        </w:tc>
        <w:tc>
          <w:tcPr>
            <w:tcW w:type="dxa" w:w="6480"/>
            <w:shd w:fill="FFFFFF"/>
            <w:tcMar>
              <w:top w:w="50" w:type="dxa"/>
              <w:bottom w:w="50" w:type="dxa"/>
              <w:left w:w="80" w:type="dxa"/>
              <w:right w:w="80" w:type="dxa"/>
            </w:tcMar>
          </w:tcPr>
          <w:p>
            <w:r>
              <w:rPr>
                <w:color w:val="1E293B"/>
                <w:sz w:val="16"/>
              </w:rPr>
              <w:t>build_expanded_dataset.py combining 6 sources (N=923)</w:t>
            </w:r>
          </w:p>
        </w:tc>
      </w:tr>
      <w:tr>
        <w:tc>
          <w:tcPr>
            <w:tcW w:type="dxa" w:w="3600"/>
            <w:shd w:fill="F1F5F9"/>
            <w:tcMar>
              <w:top w:w="50" w:type="dxa"/>
              <w:bottom w:w="50" w:type="dxa"/>
              <w:left w:w="80" w:type="dxa"/>
              <w:right w:w="80" w:type="dxa"/>
            </w:tcMar>
          </w:tcPr>
          <w:p>
            <w:r>
              <w:rPr>
                <w:b/>
                <w:color w:val="1E293B"/>
                <w:sz w:val="16"/>
              </w:rPr>
              <w:t>2. Improved Dataset Files</w:t>
            </w:r>
          </w:p>
        </w:tc>
        <w:tc>
          <w:tcPr>
            <w:tcW w:type="dxa" w:w="6480"/>
            <w:shd w:fill="F1F5F9"/>
            <w:tcMar>
              <w:top w:w="50" w:type="dxa"/>
              <w:bottom w:w="50" w:type="dxa"/>
              <w:left w:w="80" w:type="dxa"/>
              <w:right w:w="80" w:type="dxa"/>
            </w:tcMar>
          </w:tcPr>
          <w:p>
            <w:r>
              <w:rPr>
                <w:color w:val="1E293B"/>
                <w:sz w:val="16"/>
              </w:rPr>
              <w:t>expanded_dataset.json, train.json, val.json, test.json</w:t>
            </w:r>
          </w:p>
        </w:tc>
      </w:tr>
      <w:tr>
        <w:tc>
          <w:tcPr>
            <w:tcW w:type="dxa" w:w="3600"/>
            <w:shd w:fill="FFFFFF"/>
            <w:tcMar>
              <w:top w:w="50" w:type="dxa"/>
              <w:bottom w:w="50" w:type="dxa"/>
              <w:left w:w="80" w:type="dxa"/>
              <w:right w:w="80" w:type="dxa"/>
            </w:tcMar>
          </w:tcPr>
          <w:p>
            <w:r>
              <w:rPr>
                <w:b/>
                <w:color w:val="1E293B"/>
                <w:sz w:val="16"/>
              </w:rPr>
              <w:t>3. Proper Train/Val/Test Split</w:t>
            </w:r>
          </w:p>
        </w:tc>
        <w:tc>
          <w:tcPr>
            <w:tcW w:type="dxa" w:w="6480"/>
            <w:shd w:fill="FFFFFF"/>
            <w:tcMar>
              <w:top w:w="50" w:type="dxa"/>
              <w:bottom w:w="50" w:type="dxa"/>
              <w:left w:w="80" w:type="dxa"/>
              <w:right w:w="80" w:type="dxa"/>
            </w:tcMar>
          </w:tcPr>
          <w:p>
            <w:r>
              <w:rPr>
                <w:color w:val="1E293B"/>
                <w:sz w:val="16"/>
              </w:rPr>
              <w:t>Stratified 70/15/15 split manifest (seed=42)</w:t>
            </w:r>
          </w:p>
        </w:tc>
      </w:tr>
      <w:tr>
        <w:tc>
          <w:tcPr>
            <w:tcW w:type="dxa" w:w="3600"/>
            <w:shd w:fill="F1F5F9"/>
            <w:tcMar>
              <w:top w:w="50" w:type="dxa"/>
              <w:bottom w:w="50" w:type="dxa"/>
              <w:left w:w="80" w:type="dxa"/>
              <w:right w:w="80" w:type="dxa"/>
            </w:tcMar>
          </w:tcPr>
          <w:p>
            <w:r>
              <w:rPr>
                <w:b/>
                <w:color w:val="1E293B"/>
                <w:sz w:val="16"/>
              </w:rPr>
              <w:t>4. PII-Positive Dataset</w:t>
            </w:r>
          </w:p>
        </w:tc>
        <w:tc>
          <w:tcPr>
            <w:tcW w:type="dxa" w:w="6480"/>
            <w:shd w:fill="F1F5F9"/>
            <w:tcMar>
              <w:top w:w="50" w:type="dxa"/>
              <w:bottom w:w="50" w:type="dxa"/>
              <w:left w:w="80" w:type="dxa"/>
              <w:right w:w="80" w:type="dxa"/>
            </w:tcMar>
          </w:tcPr>
          <w:p>
            <w:r>
              <w:rPr>
                <w:color w:val="1E293B"/>
                <w:sz w:val="16"/>
              </w:rPr>
              <w:t>4-tier synthetic PII leakage dataset (68 positives)</w:t>
            </w:r>
          </w:p>
        </w:tc>
      </w:tr>
      <w:tr>
        <w:tc>
          <w:tcPr>
            <w:tcW w:type="dxa" w:w="3600"/>
            <w:shd w:fill="FFFFFF"/>
            <w:tcMar>
              <w:top w:w="50" w:type="dxa"/>
              <w:bottom w:w="50" w:type="dxa"/>
              <w:left w:w="80" w:type="dxa"/>
              <w:right w:w="80" w:type="dxa"/>
            </w:tcMar>
          </w:tcPr>
          <w:p>
            <w:r>
              <w:rPr>
                <w:b/>
                <w:color w:val="1E293B"/>
                <w:sz w:val="16"/>
              </w:rPr>
              <w:t>5. Improved Malicious-Tool Dataset</w:t>
            </w:r>
          </w:p>
        </w:tc>
        <w:tc>
          <w:tcPr>
            <w:tcW w:type="dxa" w:w="6480"/>
            <w:shd w:fill="FFFFFF"/>
            <w:tcMar>
              <w:top w:w="50" w:type="dxa"/>
              <w:bottom w:w="50" w:type="dxa"/>
              <w:left w:w="80" w:type="dxa"/>
              <w:right w:w="80" w:type="dxa"/>
            </w:tcMar>
          </w:tcPr>
          <w:p>
            <w:r>
              <w:rPr>
                <w:color w:val="1E293B"/>
                <w:sz w:val="16"/>
              </w:rPr>
              <w:t>Contextual command attacks and benign controls</w:t>
            </w:r>
          </w:p>
        </w:tc>
      </w:tr>
      <w:tr>
        <w:tc>
          <w:tcPr>
            <w:tcW w:type="dxa" w:w="3600"/>
            <w:shd w:fill="F1F5F9"/>
            <w:tcMar>
              <w:top w:w="50" w:type="dxa"/>
              <w:bottom w:w="50" w:type="dxa"/>
              <w:left w:w="80" w:type="dxa"/>
              <w:right w:w="80" w:type="dxa"/>
            </w:tcMar>
          </w:tcPr>
          <w:p>
            <w:r>
              <w:rPr>
                <w:b/>
                <w:color w:val="1E293B"/>
                <w:sz w:val="16"/>
              </w:rPr>
              <w:t>6. Multi-Model Benchmark</w:t>
            </w:r>
          </w:p>
        </w:tc>
        <w:tc>
          <w:tcPr>
            <w:tcW w:type="dxa" w:w="6480"/>
            <w:shd w:fill="F1F5F9"/>
            <w:tcMar>
              <w:top w:w="50" w:type="dxa"/>
              <w:bottom w:w="50" w:type="dxa"/>
              <w:left w:w="80" w:type="dxa"/>
              <w:right w:w="80" w:type="dxa"/>
            </w:tcMar>
          </w:tcPr>
          <w:p>
            <w:r>
              <w:rPr>
                <w:color w:val="1E293B"/>
                <w:sz w:val="16"/>
              </w:rPr>
              <w:t>Evaluation metrics across Family A, B, DeBERTa, ToxicBERT, Presidio</w:t>
            </w:r>
          </w:p>
        </w:tc>
      </w:tr>
      <w:tr>
        <w:tc>
          <w:tcPr>
            <w:tcW w:type="dxa" w:w="3600"/>
            <w:shd w:fill="FFFFFF"/>
            <w:tcMar>
              <w:top w:w="50" w:type="dxa"/>
              <w:bottom w:w="50" w:type="dxa"/>
              <w:left w:w="80" w:type="dxa"/>
              <w:right w:w="80" w:type="dxa"/>
            </w:tcMar>
          </w:tcPr>
          <w:p>
            <w:r>
              <w:rPr>
                <w:b/>
                <w:color w:val="1E293B"/>
                <w:sz w:val="16"/>
              </w:rPr>
              <w:t>7. Ensemble Ablation Study</w:t>
            </w:r>
          </w:p>
        </w:tc>
        <w:tc>
          <w:tcPr>
            <w:tcW w:type="dxa" w:w="6480"/>
            <w:shd w:fill="FFFFFF"/>
            <w:tcMar>
              <w:top w:w="50" w:type="dxa"/>
              <w:bottom w:w="50" w:type="dxa"/>
              <w:left w:w="80" w:type="dxa"/>
              <w:right w:w="80" w:type="dxa"/>
            </w:tcMar>
          </w:tcPr>
          <w:p>
            <w:r>
              <w:rPr>
                <w:color w:val="1E293B"/>
                <w:sz w:val="16"/>
              </w:rPr>
              <w:t>Ablation of 7 fusion strategies (A-G) with selected winner</w:t>
            </w:r>
          </w:p>
        </w:tc>
      </w:tr>
      <w:tr>
        <w:tc>
          <w:tcPr>
            <w:tcW w:type="dxa" w:w="3600"/>
            <w:shd w:fill="F1F5F9"/>
            <w:tcMar>
              <w:top w:w="50" w:type="dxa"/>
              <w:bottom w:w="50" w:type="dxa"/>
              <w:left w:w="80" w:type="dxa"/>
              <w:right w:w="80" w:type="dxa"/>
            </w:tcMar>
          </w:tcPr>
          <w:p>
            <w:r>
              <w:rPr>
                <w:b/>
                <w:color w:val="1E293B"/>
                <w:sz w:val="16"/>
              </w:rPr>
              <w:t>8. Threshold Calibration</w:t>
            </w:r>
          </w:p>
        </w:tc>
        <w:tc>
          <w:tcPr>
            <w:tcW w:type="dxa" w:w="6480"/>
            <w:shd w:fill="F1F5F9"/>
            <w:tcMar>
              <w:top w:w="50" w:type="dxa"/>
              <w:bottom w:w="50" w:type="dxa"/>
              <w:left w:w="80" w:type="dxa"/>
              <w:right w:w="80" w:type="dxa"/>
            </w:tcMar>
          </w:tcPr>
          <w:p>
            <w:r>
              <w:rPr>
                <w:color w:val="1E293B"/>
                <w:sz w:val="16"/>
              </w:rPr>
              <w:t>Validation grid search optimizing per-surface operating points</w:t>
            </w:r>
          </w:p>
        </w:tc>
      </w:tr>
      <w:tr>
        <w:tc>
          <w:tcPr>
            <w:tcW w:type="dxa" w:w="3600"/>
            <w:shd w:fill="FFFFFF"/>
            <w:tcMar>
              <w:top w:w="50" w:type="dxa"/>
              <w:bottom w:w="50" w:type="dxa"/>
              <w:left w:w="80" w:type="dxa"/>
              <w:right w:w="80" w:type="dxa"/>
            </w:tcMar>
          </w:tcPr>
          <w:p>
            <w:r>
              <w:rPr>
                <w:b/>
                <w:color w:val="1E293B"/>
                <w:sz w:val="16"/>
              </w:rPr>
              <w:t>9. Probability Calibration Analysis</w:t>
            </w:r>
          </w:p>
        </w:tc>
        <w:tc>
          <w:tcPr>
            <w:tcW w:type="dxa" w:w="6480"/>
            <w:shd w:fill="FFFFFF"/>
            <w:tcMar>
              <w:top w:w="50" w:type="dxa"/>
              <w:bottom w:w="50" w:type="dxa"/>
              <w:left w:w="80" w:type="dxa"/>
              <w:right w:w="80" w:type="dxa"/>
            </w:tcMar>
          </w:tcPr>
          <w:p>
            <w:r>
              <w:rPr>
                <w:color w:val="1E293B"/>
                <w:sz w:val="16"/>
              </w:rPr>
              <w:t>ECE, Brier score, and reliability curves</w:t>
            </w:r>
          </w:p>
        </w:tc>
      </w:tr>
      <w:tr>
        <w:tc>
          <w:tcPr>
            <w:tcW w:type="dxa" w:w="3600"/>
            <w:shd w:fill="F1F5F9"/>
            <w:tcMar>
              <w:top w:w="50" w:type="dxa"/>
              <w:bottom w:w="50" w:type="dxa"/>
              <w:left w:w="80" w:type="dxa"/>
              <w:right w:w="80" w:type="dxa"/>
            </w:tcMar>
          </w:tcPr>
          <w:p>
            <w:r>
              <w:rPr>
                <w:b/>
                <w:color w:val="1E293B"/>
                <w:sz w:val="16"/>
              </w:rPr>
              <w:t>10. Direct vs. Indirect Evaluation</w:t>
            </w:r>
          </w:p>
        </w:tc>
        <w:tc>
          <w:tcPr>
            <w:tcW w:type="dxa" w:w="6480"/>
            <w:shd w:fill="F1F5F9"/>
            <w:tcMar>
              <w:top w:w="50" w:type="dxa"/>
              <w:bottom w:w="50" w:type="dxa"/>
              <w:left w:w="80" w:type="dxa"/>
              <w:right w:w="80" w:type="dxa"/>
            </w:tcMar>
          </w:tcPr>
          <w:p>
            <w:r>
              <w:rPr>
                <w:color w:val="1E293B"/>
                <w:sz w:val="16"/>
              </w:rPr>
              <w:t>Disaggregated metrics proving surface asymmetry</w:t>
            </w:r>
          </w:p>
        </w:tc>
      </w:tr>
      <w:tr>
        <w:tc>
          <w:tcPr>
            <w:tcW w:type="dxa" w:w="3600"/>
            <w:shd w:fill="FFFFFF"/>
            <w:tcMar>
              <w:top w:w="50" w:type="dxa"/>
              <w:bottom w:w="50" w:type="dxa"/>
              <w:left w:w="80" w:type="dxa"/>
              <w:right w:w="80" w:type="dxa"/>
            </w:tcMar>
          </w:tcPr>
          <w:p>
            <w:r>
              <w:rPr>
                <w:b/>
                <w:color w:val="1E293B"/>
                <w:sz w:val="16"/>
              </w:rPr>
              <w:t>11. Held-Out Test Evaluation</w:t>
            </w:r>
          </w:p>
        </w:tc>
        <w:tc>
          <w:tcPr>
            <w:tcW w:type="dxa" w:w="6480"/>
            <w:shd w:fill="FFFFFF"/>
            <w:tcMar>
              <w:top w:w="50" w:type="dxa"/>
              <w:bottom w:w="50" w:type="dxa"/>
              <w:left w:w="80" w:type="dxa"/>
              <w:right w:w="80" w:type="dxa"/>
            </w:tcMar>
          </w:tcPr>
          <w:p>
            <w:r>
              <w:rPr>
                <w:color w:val="1E293B"/>
                <w:sz w:val="16"/>
              </w:rPr>
              <w:t>Unbiased one-time evaluation on quarantined data/test.json</w:t>
            </w:r>
          </w:p>
        </w:tc>
      </w:tr>
      <w:tr>
        <w:tc>
          <w:tcPr>
            <w:tcW w:type="dxa" w:w="3600"/>
            <w:shd w:fill="F1F5F9"/>
            <w:tcMar>
              <w:top w:w="50" w:type="dxa"/>
              <w:bottom w:w="50" w:type="dxa"/>
              <w:left w:w="80" w:type="dxa"/>
              <w:right w:w="80" w:type="dxa"/>
            </w:tcMar>
          </w:tcPr>
          <w:p>
            <w:r>
              <w:rPr>
                <w:b/>
                <w:color w:val="1E293B"/>
                <w:sz w:val="16"/>
              </w:rPr>
              <w:t>12. Confusion Matrices &amp; Error Analysis</w:t>
            </w:r>
          </w:p>
        </w:tc>
        <w:tc>
          <w:tcPr>
            <w:tcW w:type="dxa" w:w="6480"/>
            <w:shd w:fill="F1F5F9"/>
            <w:tcMar>
              <w:top w:w="50" w:type="dxa"/>
              <w:bottom w:w="50" w:type="dxa"/>
              <w:left w:w="80" w:type="dxa"/>
              <w:right w:w="80" w:type="dxa"/>
            </w:tcMar>
          </w:tcPr>
          <w:p>
            <w:r>
              <w:rPr>
                <w:color w:val="1E293B"/>
                <w:sz w:val="16"/>
              </w:rPr>
              <w:t>Per-category error breakdown and qualitative FP/FN analysis</w:t>
            </w:r>
          </w:p>
        </w:tc>
      </w:tr>
      <w:tr>
        <w:tc>
          <w:tcPr>
            <w:tcW w:type="dxa" w:w="3600"/>
            <w:shd w:fill="FFFFFF"/>
            <w:tcMar>
              <w:top w:w="50" w:type="dxa"/>
              <w:bottom w:w="50" w:type="dxa"/>
              <w:left w:w="80" w:type="dxa"/>
              <w:right w:w="80" w:type="dxa"/>
            </w:tcMar>
          </w:tcPr>
          <w:p>
            <w:r>
              <w:rPr>
                <w:b/>
                <w:color w:val="1E293B"/>
                <w:sz w:val="16"/>
              </w:rPr>
              <w:t>13. Attribution Evaluation</w:t>
            </w:r>
          </w:p>
        </w:tc>
        <w:tc>
          <w:tcPr>
            <w:tcW w:type="dxa" w:w="6480"/>
            <w:shd w:fill="FFFFFF"/>
            <w:tcMar>
              <w:top w:w="50" w:type="dxa"/>
              <w:bottom w:w="50" w:type="dxa"/>
              <w:left w:w="80" w:type="dxa"/>
              <w:right w:w="80" w:type="dxa"/>
            </w:tcMar>
          </w:tcPr>
          <w:p>
            <w:r>
              <w:rPr>
                <w:color w:val="1E293B"/>
                <w:sz w:val="16"/>
              </w:rPr>
              <w:t>Flip rate, tokens removed, search latency, and budget ablation</w:t>
            </w:r>
          </w:p>
        </w:tc>
      </w:tr>
      <w:tr>
        <w:tc>
          <w:tcPr>
            <w:tcW w:type="dxa" w:w="3600"/>
            <w:shd w:fill="F1F5F9"/>
            <w:tcMar>
              <w:top w:w="50" w:type="dxa"/>
              <w:bottom w:w="50" w:type="dxa"/>
              <w:left w:w="80" w:type="dxa"/>
              <w:right w:w="80" w:type="dxa"/>
            </w:tcMar>
          </w:tcPr>
          <w:p>
            <w:r>
              <w:rPr>
                <w:b/>
                <w:color w:val="1E293B"/>
                <w:sz w:val="16"/>
              </w:rPr>
              <w:t>14. Policy &amp; Dual-Surface Security Tests</w:t>
            </w:r>
          </w:p>
        </w:tc>
        <w:tc>
          <w:tcPr>
            <w:tcW w:type="dxa" w:w="6480"/>
            <w:shd w:fill="F1F5F9"/>
            <w:tcMar>
              <w:top w:w="50" w:type="dxa"/>
              <w:bottom w:w="50" w:type="dxa"/>
              <w:left w:w="80" w:type="dxa"/>
              <w:right w:w="80" w:type="dxa"/>
            </w:tcMar>
          </w:tcPr>
          <w:p>
            <w:r>
              <w:rPr>
                <w:color w:val="1E293B"/>
                <w:sz w:val="16"/>
              </w:rPr>
              <w:t>Automated test fixtures for policy resolution and 5 injection surfaces</w:t>
            </w:r>
          </w:p>
        </w:tc>
      </w:tr>
      <w:tr>
        <w:tc>
          <w:tcPr>
            <w:tcW w:type="dxa" w:w="3600"/>
            <w:shd w:fill="FFFFFF"/>
            <w:tcMar>
              <w:top w:w="50" w:type="dxa"/>
              <w:bottom w:w="50" w:type="dxa"/>
              <w:left w:w="80" w:type="dxa"/>
              <w:right w:w="80" w:type="dxa"/>
            </w:tcMar>
          </w:tcPr>
          <w:p>
            <w:r>
              <w:rPr>
                <w:b/>
                <w:color w:val="1E293B"/>
                <w:sz w:val="16"/>
              </w:rPr>
              <w:t>15. External Benchmark Support</w:t>
            </w:r>
          </w:p>
        </w:tc>
        <w:tc>
          <w:tcPr>
            <w:tcW w:type="dxa" w:w="6480"/>
            <w:shd w:fill="FFFFFF"/>
            <w:tcMar>
              <w:top w:w="50" w:type="dxa"/>
              <w:bottom w:w="50" w:type="dxa"/>
              <w:left w:w="80" w:type="dxa"/>
              <w:right w:w="80" w:type="dxa"/>
            </w:tcMar>
          </w:tcPr>
          <w:p>
            <w:r>
              <w:rPr>
                <w:color w:val="1E293B"/>
                <w:sz w:val="16"/>
              </w:rPr>
              <w:t>Evaluation harness for WildGuardTest / InjecAgent</w:t>
            </w:r>
          </w:p>
        </w:tc>
      </w:tr>
      <w:tr>
        <w:tc>
          <w:tcPr>
            <w:tcW w:type="dxa" w:w="3600"/>
            <w:shd w:fill="F1F5F9"/>
            <w:tcMar>
              <w:top w:w="50" w:type="dxa"/>
              <w:bottom w:w="50" w:type="dxa"/>
              <w:left w:w="80" w:type="dxa"/>
              <w:right w:w="80" w:type="dxa"/>
            </w:tcMar>
          </w:tcPr>
          <w:p>
            <w:r>
              <w:rPr>
                <w:b/>
                <w:color w:val="1E293B"/>
                <w:sz w:val="16"/>
              </w:rPr>
              <w:t>16. Central Experiment Config &amp; Docs</w:t>
            </w:r>
          </w:p>
        </w:tc>
        <w:tc>
          <w:tcPr>
            <w:tcW w:type="dxa" w:w="6480"/>
            <w:shd w:fill="F1F5F9"/>
            <w:tcMar>
              <w:top w:w="50" w:type="dxa"/>
              <w:bottom w:w="50" w:type="dxa"/>
              <w:left w:w="80" w:type="dxa"/>
              <w:right w:w="80" w:type="dxa"/>
            </w:tcMar>
          </w:tcPr>
          <w:p>
            <w:r>
              <w:rPr>
                <w:color w:val="1E293B"/>
                <w:sz w:val="16"/>
              </w:rPr>
              <w:t>configs/experiment.yaml, updated user manuals, and architecture specs</w:t>
            </w:r>
          </w:p>
        </w:tc>
      </w:tr>
    </w:tbl>
    <w:p>
      <w:pPr>
        <w:spacing w:after="80"/>
      </w:pPr>
    </w:p>
    <w:p>
      <w:pPr>
        <w:keepNext/>
        <w:spacing w:before="240" w:after="80"/>
      </w:pPr>
      <w:r>
        <w:rPr>
          <w:rFonts w:ascii="Calibri" w:hAnsi="Calibri"/>
          <w:b/>
          <w:color w:val="1E5F8A"/>
          <w:sz w:val="23"/>
        </w:rPr>
        <w:t>Section 26: Final Report Structure (Sections A through N)</w:t>
      </w:r>
    </w:p>
    <w:p>
      <w:pPr>
        <w:spacing w:before="0" w:after="80" w:line="276" w:lineRule="auto"/>
      </w:pPr>
      <w:r>
        <w:rPr>
          <w:rFonts w:ascii="Calibri" w:hAnsi="Calibri"/>
          <w:color w:val="1E293B"/>
          <w:sz w:val="19"/>
        </w:rPr>
        <w:t>The project will conclude with a formal academic implementation report structured into fourteen standardized sections: (A) What was changed, (B) Dataset statistics, (C) Train/validation/test statistics, (D) Per-category label distribution, (E) Model performance benchmarks, (F) Ensemble comparison &amp; ablation, (G) Threshold optimization results, (H) Direct vs. indirect surface results, (I) Probability calibration results, (J) Attribution evaluation results, (K) External benchmark results, (L) False-positive and false-negative qualitative analysis, (M) Remaining limitations, and (N) Recommended next steps.</w:t>
      </w:r>
    </w:p>
    <w:p>
      <w:pPr>
        <w:keepNext/>
        <w:spacing w:before="320" w:after="120"/>
      </w:pPr>
      <w:r>
        <w:rPr>
          <w:rFonts w:ascii="Calibri" w:hAnsi="Calibri"/>
          <w:b/>
          <w:color w:val="0F2942"/>
          <w:sz w:val="28"/>
        </w:rPr>
        <w:t>9. Local Quickstart &amp; Instructions for Teammates</w:t>
      </w:r>
    </w:p>
    <w:p>
      <w:pPr>
        <w:spacing w:before="0" w:after="80" w:line="276" w:lineRule="auto"/>
      </w:pPr>
      <w:r>
        <w:rPr>
          <w:rFonts w:ascii="Calibri" w:hAnsi="Calibri"/>
          <w:color w:val="1E293B"/>
          <w:sz w:val="19"/>
        </w:rPr>
        <w:t>To execute, test, and inspect the codebase locally, use the following standardized shell commands:</w:t>
      </w:r>
    </w:p>
    <w:tbl>
      <w:tblPr>
        <w:tblW w:type="auto" w:w="0"/>
        <w:jc w:val="center"/>
        <w:tblLook w:firstColumn="1" w:firstRow="1" w:lastColumn="0" w:lastRow="0" w:noHBand="0" w:noVBand="1" w:val="04A0"/>
      </w:tblPr>
      <w:tblGrid>
        <w:gridCol w:w="5040"/>
        <w:gridCol w:w="5040"/>
      </w:tblGrid>
      <w:tr>
        <w:tc>
          <w:tcPr>
            <w:tcW w:type="dxa" w:w="3600"/>
            <w:shd w:fill="0F2942"/>
            <w:tcMar>
              <w:top w:w="60" w:type="dxa"/>
              <w:bottom w:w="60" w:type="dxa"/>
              <w:left w:w="80" w:type="dxa"/>
              <w:right w:w="80" w:type="dxa"/>
            </w:tcMar>
          </w:tcPr>
          <w:p>
            <w:r>
              <w:rPr>
                <w:b/>
                <w:color w:val="FFFFFF"/>
                <w:sz w:val="17"/>
              </w:rPr>
              <w:t>Target Operation</w:t>
            </w:r>
          </w:p>
        </w:tc>
        <w:tc>
          <w:tcPr>
            <w:tcW w:type="dxa" w:w="6480"/>
            <w:shd w:fill="0F2942"/>
            <w:tcMar>
              <w:top w:w="60" w:type="dxa"/>
              <w:bottom w:w="60" w:type="dxa"/>
              <w:left w:w="80" w:type="dxa"/>
              <w:right w:w="80" w:type="dxa"/>
            </w:tcMar>
          </w:tcPr>
          <w:p>
            <w:r>
              <w:rPr>
                <w:b/>
                <w:color w:val="FFFFFF"/>
                <w:sz w:val="17"/>
              </w:rPr>
              <w:t>Shell Command</w:t>
            </w:r>
          </w:p>
        </w:tc>
      </w:tr>
      <w:tr>
        <w:tc>
          <w:tcPr>
            <w:tcW w:type="dxa" w:w="3600"/>
            <w:shd w:fill="FFFFFF"/>
            <w:tcMar>
              <w:top w:w="50" w:type="dxa"/>
              <w:bottom w:w="50" w:type="dxa"/>
              <w:left w:w="80" w:type="dxa"/>
              <w:right w:w="80" w:type="dxa"/>
            </w:tcMar>
          </w:tcPr>
          <w:p>
            <w:r>
              <w:rPr>
                <w:color w:val="1E293B"/>
                <w:sz w:val="16"/>
              </w:rPr>
              <w:t>Activate Virtual Environment</w:t>
            </w:r>
          </w:p>
        </w:tc>
        <w:tc>
          <w:tcPr>
            <w:tcW w:type="dxa" w:w="6480"/>
            <w:shd w:fill="FFFFFF"/>
            <w:tcMar>
              <w:top w:w="50" w:type="dxa"/>
              <w:bottom w:w="50" w:type="dxa"/>
              <w:left w:w="80" w:type="dxa"/>
              <w:right w:w="80" w:type="dxa"/>
            </w:tcMar>
          </w:tcPr>
          <w:p>
            <w:r>
              <w:rPr>
                <w:rFonts w:ascii="Consolas" w:hAnsi="Consolas"/>
                <w:color w:val="0F2942"/>
                <w:sz w:val="16"/>
              </w:rPr>
              <w:t>.\.venv\Scripts\Activate.ps1</w:t>
            </w:r>
          </w:p>
        </w:tc>
      </w:tr>
      <w:tr>
        <w:tc>
          <w:tcPr>
            <w:tcW w:type="dxa" w:w="3600"/>
            <w:shd w:fill="F1F5F9"/>
            <w:tcMar>
              <w:top w:w="50" w:type="dxa"/>
              <w:bottom w:w="50" w:type="dxa"/>
              <w:left w:w="80" w:type="dxa"/>
              <w:right w:w="80" w:type="dxa"/>
            </w:tcMar>
          </w:tcPr>
          <w:p>
            <w:r>
              <w:rPr>
                <w:color w:val="1E293B"/>
                <w:sz w:val="16"/>
              </w:rPr>
              <w:t>Run Full Test Suite (13 tests)</w:t>
            </w:r>
          </w:p>
        </w:tc>
        <w:tc>
          <w:tcPr>
            <w:tcW w:type="dxa" w:w="6480"/>
            <w:shd w:fill="F1F5F9"/>
            <w:tcMar>
              <w:top w:w="50" w:type="dxa"/>
              <w:bottom w:w="50" w:type="dxa"/>
              <w:left w:w="80" w:type="dxa"/>
              <w:right w:w="80" w:type="dxa"/>
            </w:tcMar>
          </w:tcPr>
          <w:p>
            <w:r>
              <w:rPr>
                <w:rFonts w:ascii="Consolas" w:hAnsi="Consolas"/>
                <w:color w:val="0F2942"/>
                <w:sz w:val="16"/>
              </w:rPr>
              <w:t>.\.venv\Scripts\pytest.exe tests/ -v</w:t>
            </w:r>
          </w:p>
        </w:tc>
      </w:tr>
      <w:tr>
        <w:tc>
          <w:tcPr>
            <w:tcW w:type="dxa" w:w="3600"/>
            <w:shd w:fill="FFFFFF"/>
            <w:tcMar>
              <w:top w:w="50" w:type="dxa"/>
              <w:bottom w:w="50" w:type="dxa"/>
              <w:left w:w="80" w:type="dxa"/>
              <w:right w:w="80" w:type="dxa"/>
            </w:tcMar>
          </w:tcPr>
          <w:p>
            <w:r>
              <w:rPr>
                <w:color w:val="1E293B"/>
                <w:sz w:val="16"/>
              </w:rPr>
              <w:t>Launch Interactive Streamlit UI</w:t>
            </w:r>
          </w:p>
        </w:tc>
        <w:tc>
          <w:tcPr>
            <w:tcW w:type="dxa" w:w="6480"/>
            <w:shd w:fill="FFFFFF"/>
            <w:tcMar>
              <w:top w:w="50" w:type="dxa"/>
              <w:bottom w:w="50" w:type="dxa"/>
              <w:left w:w="80" w:type="dxa"/>
              <w:right w:w="80" w:type="dxa"/>
            </w:tcMar>
          </w:tcPr>
          <w:p>
            <w:r>
              <w:rPr>
                <w:rFonts w:ascii="Consolas" w:hAnsi="Consolas"/>
                <w:color w:val="0F2942"/>
                <w:sz w:val="16"/>
              </w:rPr>
              <w:t>.\.venv\Scripts\streamlit.exe run ui/app.py</w:t>
            </w:r>
          </w:p>
        </w:tc>
      </w:tr>
      <w:tr>
        <w:tc>
          <w:tcPr>
            <w:tcW w:type="dxa" w:w="3600"/>
            <w:shd w:fill="F1F5F9"/>
            <w:tcMar>
              <w:top w:w="50" w:type="dxa"/>
              <w:bottom w:w="50" w:type="dxa"/>
              <w:left w:w="80" w:type="dxa"/>
              <w:right w:w="80" w:type="dxa"/>
            </w:tcMar>
          </w:tcPr>
          <w:p>
            <w:r>
              <w:rPr>
                <w:color w:val="1E293B"/>
                <w:sz w:val="16"/>
              </w:rPr>
              <w:t>Start FastAPI REST Server</w:t>
            </w:r>
          </w:p>
        </w:tc>
        <w:tc>
          <w:tcPr>
            <w:tcW w:type="dxa" w:w="6480"/>
            <w:shd w:fill="F1F5F9"/>
            <w:tcMar>
              <w:top w:w="50" w:type="dxa"/>
              <w:bottom w:w="50" w:type="dxa"/>
              <w:left w:w="80" w:type="dxa"/>
              <w:right w:w="80" w:type="dxa"/>
            </w:tcMar>
          </w:tcPr>
          <w:p>
            <w:r>
              <w:rPr>
                <w:rFonts w:ascii="Consolas" w:hAnsi="Consolas"/>
                <w:color w:val="0F2942"/>
                <w:sz w:val="16"/>
              </w:rPr>
              <w:t>.\.venv\Scripts\uvicorn.exe api.main:app --reload --port 8000</w:t>
            </w:r>
          </w:p>
        </w:tc>
      </w:tr>
      <w:tr>
        <w:tc>
          <w:tcPr>
            <w:tcW w:type="dxa" w:w="3600"/>
            <w:shd w:fill="FFFFFF"/>
            <w:tcMar>
              <w:top w:w="50" w:type="dxa"/>
              <w:bottom w:w="50" w:type="dxa"/>
              <w:left w:w="80" w:type="dxa"/>
              <w:right w:w="80" w:type="dxa"/>
            </w:tcMar>
          </w:tcPr>
          <w:p>
            <w:r>
              <w:rPr>
                <w:color w:val="1E293B"/>
                <w:sz w:val="16"/>
              </w:rPr>
              <w:t>Run Phase 2 Model Retraining</w:t>
            </w:r>
          </w:p>
        </w:tc>
        <w:tc>
          <w:tcPr>
            <w:tcW w:type="dxa" w:w="6480"/>
            <w:shd w:fill="FFFFFF"/>
            <w:tcMar>
              <w:top w:w="50" w:type="dxa"/>
              <w:bottom w:w="50" w:type="dxa"/>
              <w:left w:w="80" w:type="dxa"/>
              <w:right w:w="80" w:type="dxa"/>
            </w:tcMar>
          </w:tcPr>
          <w:p>
            <w:r>
              <w:rPr>
                <w:rFonts w:ascii="Consolas" w:hAnsi="Consolas"/>
                <w:color w:val="0F2942"/>
                <w:sz w:val="16"/>
              </w:rPr>
              <w:t>.\.venv\Scripts\python.exe -m evaluation.phase2_train</w:t>
            </w:r>
          </w:p>
        </w:tc>
      </w:tr>
      <w:tr>
        <w:tc>
          <w:tcPr>
            <w:tcW w:type="dxa" w:w="3600"/>
            <w:shd w:fill="F1F5F9"/>
            <w:tcMar>
              <w:top w:w="50" w:type="dxa"/>
              <w:bottom w:w="50" w:type="dxa"/>
              <w:left w:w="80" w:type="dxa"/>
              <w:right w:w="80" w:type="dxa"/>
            </w:tcMar>
          </w:tcPr>
          <w:p>
            <w:r>
              <w:rPr>
                <w:color w:val="1E293B"/>
                <w:sz w:val="16"/>
              </w:rPr>
              <w:t>Run Phase 2 Validation Benchmark</w:t>
            </w:r>
          </w:p>
        </w:tc>
        <w:tc>
          <w:tcPr>
            <w:tcW w:type="dxa" w:w="6480"/>
            <w:shd w:fill="F1F5F9"/>
            <w:tcMar>
              <w:top w:w="50" w:type="dxa"/>
              <w:bottom w:w="50" w:type="dxa"/>
              <w:left w:w="80" w:type="dxa"/>
              <w:right w:w="80" w:type="dxa"/>
            </w:tcMar>
          </w:tcPr>
          <w:p>
            <w:r>
              <w:rPr>
                <w:rFonts w:ascii="Consolas" w:hAnsi="Consolas"/>
                <w:color w:val="0F2942"/>
                <w:sz w:val="16"/>
              </w:rPr>
              <w:t>.\.venv\Scripts\python.exe -m evaluation.phase2_benchmark</w:t>
            </w:r>
          </w:p>
        </w:tc>
      </w:tr>
      <w:tr>
        <w:tc>
          <w:tcPr>
            <w:tcW w:type="dxa" w:w="3600"/>
            <w:shd w:fill="FFFFFF"/>
            <w:tcMar>
              <w:top w:w="50" w:type="dxa"/>
              <w:bottom w:w="50" w:type="dxa"/>
              <w:left w:w="80" w:type="dxa"/>
              <w:right w:w="80" w:type="dxa"/>
            </w:tcMar>
          </w:tcPr>
          <w:p>
            <w:r>
              <w:rPr>
                <w:color w:val="1E293B"/>
                <w:sz w:val="16"/>
              </w:rPr>
              <w:t>Run Phase 2 Threshold Grid Search</w:t>
            </w:r>
          </w:p>
        </w:tc>
        <w:tc>
          <w:tcPr>
            <w:tcW w:type="dxa" w:w="6480"/>
            <w:shd w:fill="FFFFFF"/>
            <w:tcMar>
              <w:top w:w="50" w:type="dxa"/>
              <w:bottom w:w="50" w:type="dxa"/>
              <w:left w:w="80" w:type="dxa"/>
              <w:right w:w="80" w:type="dxa"/>
            </w:tcMar>
          </w:tcPr>
          <w:p>
            <w:r>
              <w:rPr>
                <w:rFonts w:ascii="Consolas" w:hAnsi="Consolas"/>
                <w:color w:val="0F2942"/>
                <w:sz w:val="16"/>
              </w:rPr>
              <w:t>.\.venv\Scripts\python.exe -m evaluation.phase2_threshold_search</w:t>
            </w:r>
          </w:p>
        </w:tc>
      </w:tr>
      <w:tr>
        <w:tc>
          <w:tcPr>
            <w:tcW w:type="dxa" w:w="3600"/>
            <w:shd w:fill="F1F5F9"/>
            <w:tcMar>
              <w:top w:w="50" w:type="dxa"/>
              <w:bottom w:w="50" w:type="dxa"/>
              <w:left w:w="80" w:type="dxa"/>
              <w:right w:w="80" w:type="dxa"/>
            </w:tcMar>
          </w:tcPr>
          <w:p>
            <w:r>
              <w:rPr>
                <w:color w:val="1E293B"/>
                <w:sz w:val="16"/>
              </w:rPr>
              <w:t>Run GPU DeBERTa LoRA Fine-Tuning</w:t>
            </w:r>
          </w:p>
        </w:tc>
        <w:tc>
          <w:tcPr>
            <w:tcW w:type="dxa" w:w="6480"/>
            <w:shd w:fill="F1F5F9"/>
            <w:tcMar>
              <w:top w:w="50" w:type="dxa"/>
              <w:bottom w:w="50" w:type="dxa"/>
              <w:left w:w="80" w:type="dxa"/>
              <w:right w:w="80" w:type="dxa"/>
            </w:tcMar>
          </w:tcPr>
          <w:p>
            <w:r>
              <w:rPr>
                <w:rFonts w:ascii="Consolas" w:hAnsi="Consolas"/>
                <w:color w:val="0F2942"/>
                <w:sz w:val="16"/>
              </w:rPr>
              <w:t>python -m evaluation.finetune_deberta --mode lora  (on Colab/GPU)</w:t>
            </w:r>
          </w:p>
        </w:tc>
      </w:tr>
    </w:tbl>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7"/>
      </w:rPr>
      <w:t>CipherGuard LLM Security Layer | Project Status Report (Phases 1-4)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