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alibri" w:cs="Calibri" w:eastAsia="Calibri" w:hAnsi="Calibri"/>
          <w:b/>
          <w:bCs/>
          <w:color w:val="C8901E"/>
          <w:spacing w:val="50"/>
          <w:sz w:val="17"/>
          <w:szCs w:val="17"/>
        </w:rPr>
        <w:t xml:space="preserve">DISTRICT 04  ·  AI-NATIVE EMR FOR INTELLIGENT CLINICAL ASSISTANCE</w:t>
      </w:r>
    </w:p>
    <w:p>
      <w:pPr>
        <w:pBdr>
          <w:bottom w:val="single" w:color="C8901E" w:sz="12" w:space="8"/>
        </w:pBdr>
        <w:spacing w:after="60" w:before="140"/>
      </w:pPr>
      <w:r>
        <w:rPr>
          <w:rFonts w:ascii="Calibri" w:cs="Calibri" w:eastAsia="Calibri" w:hAnsi="Calibri"/>
          <w:b/>
          <w:bCs/>
          <w:color w:val="1A1A1A"/>
          <w:spacing w:val="80"/>
          <w:sz w:val="62"/>
          <w:szCs w:val="62"/>
        </w:rPr>
        <w:t xml:space="preserve">AXIOM</w:t>
      </w:r>
    </w:p>
    <w:p>
      <w:pPr>
        <w:spacing w:after="240" w:before="60" w:line="288"/>
      </w:pPr>
      <w:r>
        <w:rPr>
          <w:rFonts w:ascii="Calibri" w:cs="Calibri" w:eastAsia="Calibri" w:hAnsi="Calibri"/>
          <w:i/>
          <w:iCs/>
          <w:color w:val="5A5A5A"/>
          <w:sz w:val="23"/>
          <w:szCs w:val="23"/>
        </w:rPr>
        <w:t xml:space="preserve">An evidence-grounded clinical intelligence layer for electronic medical records — one that will only assert what it can prove, and knows when to refuse.</w:t>
      </w:r>
    </w:p>
    <w:tbl>
      <w:tblPr>
        <w:tblW w:type="pct" w:w="5000"/>
        <w:tblBorders>
          <w:top w:val="single" w:color="E8E0CC" w:sz="4"/>
          <w:left w:val="single" w:color="C8901E" w:sz="18"/>
          <w:bottom w:val="single" w:color="E8E0CC" w:sz="4"/>
          <w:right w:val="single" w:color="E8E0CC" w:sz="4"/>
          <w:insideH w:val="single" w:color="auto" w:sz="4"/>
          <w:insideV w:val="single" w:color="auto" w:sz="4"/>
        </w:tblBorders>
      </w:tblPr>
      <w:tblGrid>
        <w:gridCol w:w="9314"/>
      </w:tblGrid>
      <w:tr>
        <w:tc>
          <w:tcPr>
            <w:shd w:fill="F5E6C4" w:val="clear"/>
            <w:tcMar>
              <w:top w:type="dxa" w:w="140"/>
              <w:left w:type="dxa" w:w="200"/>
              <w:bottom w:type="dxa" w:w="140"/>
              <w:right w:type="dxa" w:w="200"/>
            </w:tcMar>
          </w:tcPr>
          <w:p>
            <w:pPr>
              <w:spacing w:after="60"/>
            </w:pPr>
            <w:r>
              <w:rPr>
                <w:rFonts w:ascii="Calibri" w:cs="Calibri" w:eastAsia="Calibri" w:hAnsi="Calibri"/>
                <w:b/>
                <w:bCs/>
                <w:color w:val="C8901E"/>
                <w:sz w:val="18"/>
                <w:szCs w:val="18"/>
              </w:rPr>
              <w:t xml:space="preserve">THE ONE-LINE THESIS</w:t>
            </w:r>
          </w:p>
          <w:p>
            <w:pPr>
              <w:spacing w:after="0" w:line="276"/>
            </w:pPr>
            <w:r>
              <w:rPr>
                <w:rFonts w:ascii="Calibri" w:cs="Calibri" w:eastAsia="Calibri" w:hAnsi="Calibri"/>
                <w:color w:val="1A1A1A"/>
                <w:sz w:val="21"/>
                <w:szCs w:val="21"/>
              </w:rPr>
              <w:t xml:space="preserve">"A clinical AI that always answers is unsafe. Ours refuses when the evidence does not support an answer — and we measure how often that happens."</w:t>
            </w:r>
          </w:p>
        </w:tc>
      </w:tr>
    </w:tbl>
    <w:p>
      <w:pPr>
        <w:spacing w:after="160"/>
      </w:pPr>
      <w:r>
        <w:rPr>
          <w:sz w:val="12"/>
          <w:szCs w:val="12"/>
        </w:rPr>
        <w:t xml:space="preserve"/>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2049"/>
        <w:gridCol w:w="7265"/>
      </w:tblGrid>
      <w:tr>
        <w:trPr>
          <w:tblHeader/>
        </w:trPr>
        <w:tc>
          <w:tcPr>
            <w:tcW w:type="pct" w:w="11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Parameter</w:t>
            </w:r>
          </w:p>
        </w:tc>
        <w:tc>
          <w:tcPr>
            <w:tcW w:type="pct" w:w="39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Value</w:t>
            </w:r>
          </w:p>
        </w:tc>
      </w:tr>
      <w:tr>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District</w:t>
            </w:r>
          </w:p>
        </w:tc>
        <w:tc>
          <w:tcPr>
            <w:tcW w:type="pct" w:w="39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District 04 — AI-Native EMR for Intelligent Clinical Assistance</w:t>
            </w:r>
          </w:p>
        </w:tc>
      </w:tr>
      <w:tr>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Product name</w:t>
            </w:r>
          </w:p>
        </w:tc>
        <w:tc>
          <w:tcPr>
            <w:tcW w:type="pct" w:w="3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AXIOM (axiom: a statement of truth that can be proven — the design constraint, not a name)</w:t>
            </w:r>
          </w:p>
        </w:tc>
      </w:tr>
      <w:tr>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Core differentiator</w:t>
            </w:r>
          </w:p>
        </w:tc>
        <w:tc>
          <w:tcPr>
            <w:tcW w:type="pct" w:w="39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Post-hoc verification of every generated claim, with calibrated abstention</w:t>
            </w:r>
          </w:p>
        </w:tc>
      </w:tr>
      <w:tr>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Moat</w:t>
            </w:r>
          </w:p>
        </w:tc>
        <w:tc>
          <w:tcPr>
            <w:tcW w:type="pct" w:w="3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An evaluation harness with planted clinical findings and a hand-labelled unsupported-claim set</w:t>
            </w:r>
          </w:p>
        </w:tc>
      </w:tr>
      <w:tr>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Primary user</w:t>
            </w:r>
          </w:p>
        </w:tc>
        <w:tc>
          <w:tcPr>
            <w:tcW w:type="pct" w:w="39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Attending physician / resident during pre-round chart review</w:t>
            </w:r>
          </w:p>
        </w:tc>
      </w:tr>
      <w:tr>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Data posture</w:t>
            </w:r>
          </w:p>
        </w:tc>
        <w:tc>
          <w:tcPr>
            <w:tcW w:type="pct" w:w="3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100% synthetic. No real PHI at any point. HIPAA-safe by construction</w:t>
            </w:r>
          </w:p>
        </w:tc>
      </w:tr>
      <w:tr>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Risk posture</w:t>
            </w:r>
          </w:p>
        </w:tc>
        <w:tc>
          <w:tcPr>
            <w:tcW w:type="pct" w:w="39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Clinician-assist only. Never diagnoses, never prescribes, always cites and abstains</w:t>
            </w:r>
          </w:p>
        </w:tc>
      </w:tr>
      <w:tr>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Build window</w:t>
            </w:r>
          </w:p>
        </w:tc>
        <w:tc>
          <w:tcPr>
            <w:tcW w:type="pct" w:w="3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36 hours</w:t>
            </w:r>
          </w:p>
        </w:tc>
      </w:tr>
    </w:tbl>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1. Executive summary</w:t>
      </w:r>
    </w:p>
    <w:p>
      <w:pPr>
        <w:spacing w:after="120" w:before="60" w:line="288"/>
      </w:pPr>
      <w:r>
        <w:rPr>
          <w:rFonts w:ascii="Calibri" w:cs="Calibri" w:eastAsia="Calibri" w:hAnsi="Calibri"/>
          <w:color w:val="1A1A1A"/>
          <w:sz w:val="21"/>
          <w:szCs w:val="21"/>
        </w:rPr>
        <w:t xml:space="preserve">Electronic medical records were built to store and bill, not to think. The result is a system where the full clinical history of a patient exists, is legally complete, and is functionally invisible — buried across encounters, free-text notes, and coded fields that no human reads sequentially. A physician preparing for rounds reconstructs that history manually, every single time.</w:t>
      </w:r>
    </w:p>
    <w:p>
      <w:pPr>
        <w:spacing w:after="120" w:before="60" w:line="288"/>
      </w:pPr>
      <w:r>
        <w:rPr>
          <w:rFonts w:ascii="Calibri" w:cs="Calibri" w:eastAsia="Calibri" w:hAnsi="Calibri"/>
          <w:color w:val="1A1A1A"/>
          <w:sz w:val="21"/>
          <w:szCs w:val="21"/>
        </w:rPr>
        <w:t xml:space="preserve">Naive AI-on-EMR projects fail predictably. Teams upload records, prompt a language model, and get a fluent summary. It reads well. It is also frequently wrong in ways nobody can detect, because there is no mechanism that separates what the record supports from what the model inferred. In a clinical setting that failure mode is not a bug — it is the product defect.</w:t>
      </w:r>
    </w:p>
    <w:p>
      <w:pPr>
        <w:spacing w:after="120" w:before="60" w:line="288"/>
      </w:pPr>
      <w:r>
        <w:rPr>
          <w:rFonts w:ascii="Calibri" w:cs="Calibri" w:eastAsia="Calibri" w:hAnsi="Calibri"/>
          <w:color w:val="1A1A1A"/>
          <w:sz w:val="21"/>
          <w:szCs w:val="21"/>
        </w:rPr>
        <w:t xml:space="preserve">AXIOM inverts the design. Every factual claim the system emits must be entailed by, and cited to, specific evidence in the patient record. Every claim is verified after generation by an independent entailment check. Anything that fails verification is suppressed. When the evidence is insufficient to support an answer at all, the system abstains and tells the clinician exactly what evidence is missing and who should provide it.</w:t>
      </w:r>
    </w:p>
    <w:p>
      <w:pPr>
        <w:spacing w:after="120" w:before="60" w:line="288"/>
      </w:pPr>
      <w:r>
        <w:rPr>
          <w:rFonts w:ascii="Calibri" w:cs="Calibri" w:eastAsia="Calibri" w:hAnsi="Calibri"/>
          <w:color w:val="1A1A1A"/>
          <w:sz w:val="21"/>
          <w:szCs w:val="21"/>
        </w:rPr>
        <w:t xml:space="preserve">That constraint makes the system safer and, counter-intuitively, more useful. A clinician can act on a claim precisely because the system can show its basis — and can be held accountable when it is wrong. We are not competing to be the most fluent summariser in the room. We are competing to be the only one whose output can be verified.</w:t>
      </w:r>
    </w:p>
    <w:p>
      <w:pPr>
        <w:spacing w:after="60"/>
      </w:pPr>
      <w:r>
        <w:rPr>
          <w:sz w:val="12"/>
          <w:szCs w:val="12"/>
        </w:rPr>
        <w:t xml:space="preserve"/>
      </w:r>
    </w:p>
    <w:tbl>
      <w:tblPr>
        <w:tblW w:type="pct" w:w="5000"/>
        <w:tblBorders>
          <w:top w:val="single" w:color="E8E0CC" w:sz="4"/>
          <w:left w:val="single" w:color="C8901E" w:sz="18"/>
          <w:bottom w:val="single" w:color="E8E0CC" w:sz="4"/>
          <w:right w:val="single" w:color="E8E0CC" w:sz="4"/>
          <w:insideH w:val="single" w:color="auto" w:sz="4"/>
          <w:insideV w:val="single" w:color="auto" w:sz="4"/>
        </w:tblBorders>
      </w:tblPr>
      <w:tblGrid>
        <w:gridCol w:w="9314"/>
      </w:tblGrid>
      <w:tr>
        <w:tc>
          <w:tcPr>
            <w:shd w:fill="F5E6C4" w:val="clear"/>
            <w:tcMar>
              <w:top w:type="dxa" w:w="140"/>
              <w:left w:type="dxa" w:w="200"/>
              <w:bottom w:type="dxa" w:w="140"/>
              <w:right w:type="dxa" w:w="200"/>
            </w:tcMar>
          </w:tcPr>
          <w:p>
            <w:pPr>
              <w:spacing w:after="60"/>
            </w:pPr>
            <w:r>
              <w:rPr>
                <w:rFonts w:ascii="Calibri" w:cs="Calibri" w:eastAsia="Calibri" w:hAnsi="Calibri"/>
                <w:b/>
                <w:bCs/>
                <w:color w:val="C8901E"/>
                <w:sz w:val="18"/>
                <w:szCs w:val="18"/>
              </w:rPr>
              <w:t xml:space="preserve">THE STRATEGIC REASON THIS IS THE RIGHT BUILD</w:t>
            </w:r>
          </w:p>
          <w:p>
            <w:pPr>
              <w:spacing w:after="0" w:line="276"/>
            </w:pPr>
            <w:r>
              <w:rPr>
                <w:rFonts w:ascii="Calibri" w:cs="Calibri" w:eastAsia="Calibri" w:hAnsi="Calibri"/>
                <w:color w:val="1A1A1A"/>
                <w:sz w:val="21"/>
                <w:szCs w:val="21"/>
              </w:rPr>
              <w:t xml:space="preserve">District 04 is titled "AI-Native." Every other approach to this problem treats that as a constraint to work around. We treat it as the mandate: the AI-native artifact in a clinical record system is not a better summary — it is a reasoning layer with calibrated uncertainty, and nothing else in the room will build one.</w:t>
            </w:r>
          </w:p>
        </w:tc>
      </w:tr>
    </w:tbl>
    <w:p>
      <w:pPr>
        <w:spacing w:after="100"/>
      </w:pPr>
      <w:r>
        <w:rPr>
          <w:sz w:val="12"/>
          <w:szCs w:val="12"/>
        </w:rPr>
        <w:t xml:space="preserve"/>
      </w:r>
    </w:p>
    <w:p>
      <w:pPr>
        <w:pStyle w:val="Heading2"/>
        <w:spacing w:after="120" w:before="280"/>
      </w:pPr>
      <w:r>
        <w:rPr>
          <w:rFonts w:ascii="Calibri" w:cs="Calibri" w:eastAsia="Calibri" w:hAnsi="Calibri"/>
          <w:b/>
          <w:bCs/>
          <w:color w:val="C8901E"/>
          <w:sz w:val="24"/>
          <w:szCs w:val="24"/>
        </w:rPr>
        <w:t xml:space="preserve">1.1 What we are claiming</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Every generated claim is atomised, checked for entailment against retrieved evidence, and cited to record nodes.</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Claims that fail verification are removed before the clinician ever sees them.</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The system abstains — with a reason and an escalation target — when the record cannot support an answer.</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Abstention is calibrated on a held-out set, not tuned by intuition.</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All of the above is measured on a benchmark with planted findings, and reported honestly.</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Zero real patient data touches the system at any point.</w:t>
      </w:r>
    </w:p>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2. Why District 04</w:t>
      </w:r>
    </w:p>
    <w:p>
      <w:pPr>
        <w:pStyle w:val="Heading2"/>
        <w:spacing w:after="120" w:before="280"/>
      </w:pPr>
      <w:r>
        <w:rPr>
          <w:rFonts w:ascii="Calibri" w:cs="Calibri" w:eastAsia="Calibri" w:hAnsi="Calibri"/>
          <w:b/>
          <w:bCs/>
          <w:color w:val="C8901E"/>
          <w:sz w:val="24"/>
          <w:szCs w:val="24"/>
        </w:rPr>
        <w:t xml:space="preserve">2.1 The scoring advantage</w:t>
      </w:r>
    </w:p>
    <w:p>
      <w:pPr>
        <w:spacing w:after="120" w:before="60" w:line="288"/>
      </w:pPr>
      <w:r>
        <w:rPr>
          <w:rFonts w:ascii="Calibri" w:cs="Calibri" w:eastAsia="Calibri" w:hAnsi="Calibri"/>
          <w:color w:val="1A1A1A"/>
          <w:sz w:val="21"/>
          <w:szCs w:val="21"/>
        </w:rPr>
        <w:t xml:space="preserve">Judging rubrics for a track named "AI-Native EMR" almost always carry an explicit AI/ML innovation criterion. That creates a structural advantage that has nothing to do with project quality: a team whose core contribution is visibly a language-model reasoning system is being graded against its own stated track, while a team whose core is an operations-research model must argue that it qualifies at all. We are not defending our relevance to the district — it is written into the statement.</w:t>
      </w:r>
    </w:p>
    <w:p>
      <w:pPr>
        <w:pStyle w:val="Heading2"/>
        <w:spacing w:after="120" w:before="280"/>
      </w:pPr>
      <w:r>
        <w:rPr>
          <w:rFonts w:ascii="Calibri" w:cs="Calibri" w:eastAsia="Calibri" w:hAnsi="Calibri"/>
          <w:b/>
          <w:bCs/>
          <w:color w:val="C8901E"/>
          <w:sz w:val="24"/>
          <w:szCs w:val="24"/>
        </w:rPr>
        <w:t xml:space="preserve">2.2 The same doctrine, applied to a harder domain</w:t>
      </w:r>
    </w:p>
    <w:p>
      <w:pPr>
        <w:spacing w:after="120" w:before="60" w:line="288"/>
      </w:pPr>
      <w:r>
        <w:rPr>
          <w:rFonts w:ascii="Calibri" w:cs="Calibri" w:eastAsia="Calibri" w:hAnsi="Calibri"/>
          <w:color w:val="1A1A1A"/>
          <w:sz w:val="21"/>
          <w:szCs w:val="21"/>
        </w:rPr>
        <w:t xml:space="preserve">Our underlying strategy is unchanged from the District 01 analysis, and it holds here with even more force. AI code generation has made fluent output abundant; a summary generator is now a solved, commodity capability that any team can produce in ninety minutes. In a room of fifteen projects, that is not an advantage — it is table stakes, and it is the single most over-built category in this entire hackathon.</w:t>
      </w:r>
    </w:p>
    <w:p>
      <w:pPr>
        <w:spacing w:after="120" w:before="60" w:line="288"/>
      </w:pPr>
      <w:r>
        <w:rPr>
          <w:rFonts w:ascii="Calibri" w:cs="Calibri" w:eastAsia="Calibri" w:hAnsi="Calibri"/>
          <w:color w:val="1A1A1A"/>
          <w:sz w:val="21"/>
          <w:szCs w:val="21"/>
        </w:rPr>
        <w:t xml:space="preserve">What remains scarce, in every domain, is verification. But in healthcare the premium on verification is not marginal — it is existential. A wrong summary wastes an afternoon. A wrong clinical inference can harm a patient. This is the one setting on the board where a team that builds rigorous evidence-checking has a structural, not just competitive, edge.</w:t>
      </w:r>
    </w:p>
    <w:p>
      <w:pPr>
        <w:spacing w:after="60"/>
      </w:pPr>
      <w:r>
        <w:rPr>
          <w:sz w:val="12"/>
          <w:szCs w:val="12"/>
        </w:rPr>
        <w:t xml:space="preserve"/>
      </w:r>
    </w:p>
    <w:p>
      <w:pPr>
        <w:pStyle w:val="Heading2"/>
        <w:spacing w:after="120" w:before="280"/>
      </w:pPr>
      <w:r>
        <w:rPr>
          <w:rFonts w:ascii="Calibri" w:cs="Calibri" w:eastAsia="Calibri" w:hAnsi="Calibri"/>
          <w:b/>
          <w:bCs/>
          <w:color w:val="C8901E"/>
          <w:sz w:val="24"/>
          <w:szCs w:val="24"/>
        </w:rPr>
        <w:t xml:space="preserve">2.3 Competitive scorecard — all five districts</w:t>
      </w:r>
    </w:p>
    <w:p>
      <w:pPr>
        <w:spacing w:after="120" w:before="60" w:line="288"/>
      </w:pPr>
      <w:r>
        <w:rPr>
          <w:rFonts w:ascii="Calibri" w:cs="Calibri" w:eastAsia="Calibri" w:hAnsi="Calibri"/>
          <w:color w:val="1A1A1A"/>
          <w:sz w:val="21"/>
          <w:szCs w:val="21"/>
        </w:rPr>
        <w:t xml:space="preserve">Scored on the two dimensions that survive judge saturation: verifiable depth, and how hard the core value is for AI-generated code to fake. Density listed high = crowded = bad. D04 scores highest on AI-native framing, which is the dimension this track explicitly names.</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2422"/>
        <w:gridCol w:w="1677"/>
        <w:gridCol w:w="1211"/>
        <w:gridCol w:w="1025"/>
        <w:gridCol w:w="931"/>
        <w:gridCol w:w="2049"/>
      </w:tblGrid>
      <w:tr>
        <w:trPr>
          <w:tblHeader/>
        </w:trPr>
        <w:tc>
          <w:tcPr>
            <w:tcW w:type="pct" w:w="13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District</w:t>
            </w:r>
          </w:p>
        </w:tc>
        <w:tc>
          <w:tcPr>
            <w:tcW w:type="pct" w:w="9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AI-native framing</w:t>
            </w:r>
          </w:p>
        </w:tc>
        <w:tc>
          <w:tcPr>
            <w:tcW w:type="pct" w:w="65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Verifiable depth</w:t>
            </w:r>
          </w:p>
        </w:tc>
        <w:tc>
          <w:tcPr>
            <w:tcW w:type="pct" w:w="55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Hard to fake</w:t>
            </w:r>
          </w:p>
        </w:tc>
        <w:tc>
          <w:tcPr>
            <w:tcW w:type="pct" w:w="5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Density</w:t>
            </w:r>
          </w:p>
        </w:tc>
        <w:tc>
          <w:tcPr>
            <w:tcW w:type="pct" w:w="11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Verdict</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D04 AI-Native EMR</w:t>
            </w:r>
          </w:p>
        </w:tc>
        <w:tc>
          <w:tcPr>
            <w:tcW w:type="pct" w:w="9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5 — mandated</w:t>
            </w:r>
          </w:p>
        </w:tc>
        <w:tc>
          <w:tcPr>
            <w:tcW w:type="pct" w:w="6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4</w:t>
            </w:r>
          </w:p>
        </w:tc>
        <w:tc>
          <w:tcPr>
            <w:tcW w:type="pct" w:w="5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4</w:t>
            </w:r>
          </w:p>
        </w:tc>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3</w:t>
            </w:r>
          </w:p>
        </w:tc>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PRIMARY</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D01 PPM / Fire &amp; Rescue</w:t>
            </w:r>
          </w:p>
        </w:tc>
        <w:tc>
          <w:tcPr>
            <w:tcW w:type="pct" w:w="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2 — must argue</w:t>
            </w:r>
          </w:p>
        </w:tc>
        <w:tc>
          <w:tcPr>
            <w:tcW w:type="pct" w:w="6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5</w:t>
            </w:r>
          </w:p>
        </w:tc>
        <w:tc>
          <w:tcPr>
            <w:tcW w:type="pct" w:w="5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5</w:t>
            </w:r>
          </w:p>
        </w:tc>
        <w:tc>
          <w:tcPr>
            <w:tcW w:type="pct" w:w="5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2</w:t>
            </w:r>
          </w:p>
        </w:tc>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Strong backup</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D03 Education OS</w:t>
            </w:r>
          </w:p>
        </w:tc>
        <w:tc>
          <w:tcPr>
            <w:tcW w:type="pct" w:w="9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4</w:t>
            </w:r>
          </w:p>
        </w:tc>
        <w:tc>
          <w:tcPr>
            <w:tcW w:type="pct" w:w="6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3</w:t>
            </w:r>
          </w:p>
        </w:tc>
        <w:tc>
          <w:tcPr>
            <w:tcW w:type="pct" w:w="5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2</w:t>
            </w:r>
          </w:p>
        </w:tc>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5</w:t>
            </w:r>
          </w:p>
        </w:tc>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Avoid</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D05 Business Ops &amp; CRM</w:t>
            </w:r>
          </w:p>
        </w:tc>
        <w:tc>
          <w:tcPr>
            <w:tcW w:type="pct" w:w="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3</w:t>
            </w:r>
          </w:p>
        </w:tc>
        <w:tc>
          <w:tcPr>
            <w:tcW w:type="pct" w:w="6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3</w:t>
            </w:r>
          </w:p>
        </w:tc>
        <w:tc>
          <w:tcPr>
            <w:tcW w:type="pct" w:w="5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2</w:t>
            </w:r>
          </w:p>
        </w:tc>
        <w:tc>
          <w:tcPr>
            <w:tcW w:type="pct" w:w="5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5</w:t>
            </w:r>
          </w:p>
        </w:tc>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Avoid — the mode</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D02 Lead Gen &amp; Sales</w:t>
            </w:r>
          </w:p>
        </w:tc>
        <w:tc>
          <w:tcPr>
            <w:tcW w:type="pct" w:w="9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4</w:t>
            </w:r>
          </w:p>
        </w:tc>
        <w:tc>
          <w:tcPr>
            <w:tcW w:type="pct" w:w="6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2</w:t>
            </w:r>
          </w:p>
        </w:tc>
        <w:tc>
          <w:tcPr>
            <w:tcW w:type="pct" w:w="5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2</w:t>
            </w:r>
          </w:p>
        </w:tc>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4</w:t>
            </w:r>
          </w:p>
        </w:tc>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Avoid — ethics + demo risk</w:t>
            </w:r>
          </w:p>
        </w:tc>
      </w:tr>
    </w:tbl>
    <w:p>
      <w:pPr>
        <w:spacing w:after="80"/>
      </w:pPr>
      <w:r>
        <w:rPr>
          <w:sz w:val="12"/>
          <w:szCs w:val="12"/>
        </w:rPr>
        <w:t xml:space="preserve"/>
      </w:r>
    </w:p>
    <w:p>
      <w:pPr>
        <w:pStyle w:val="Heading2"/>
        <w:spacing w:after="120" w:before="280"/>
      </w:pPr>
      <w:r>
        <w:rPr>
          <w:rFonts w:ascii="Calibri" w:cs="Calibri" w:eastAsia="Calibri" w:hAnsi="Calibri"/>
          <w:b/>
          <w:bCs/>
          <w:color w:val="C8901E"/>
          <w:sz w:val="24"/>
          <w:szCs w:val="24"/>
        </w:rPr>
        <w:t xml:space="preserve">2.4 What the room will build, and how we differ</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4284"/>
        <w:gridCol w:w="5030"/>
      </w:tblGrid>
      <w:tr>
        <w:trPr>
          <w:tblHeader/>
        </w:trPr>
        <w:tc>
          <w:tcPr>
            <w:tcW w:type="pct" w:w="23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What the room will build</w:t>
            </w:r>
          </w:p>
        </w:tc>
        <w:tc>
          <w:tcPr>
            <w:tcW w:type="pct" w:w="27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What we build</w:t>
            </w:r>
          </w:p>
        </w:tc>
      </w:tr>
      <w:tr>
        <w:tc>
          <w:tcPr>
            <w:tcW w:type="pct" w:w="2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 chat box over the record, asking "what are this patient's conditions?"</w:t>
            </w:r>
          </w:p>
        </w:tc>
        <w:tc>
          <w:tcPr>
            <w:tcW w:type="pct" w:w="2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 reasoning layer with a verified claim pipeline, an uncertainty model, and an abstention threshold</w:t>
            </w:r>
          </w:p>
        </w:tc>
      </w:tr>
      <w:tr>
        <w:tc>
          <w:tcPr>
            <w:tcW w:type="pct" w:w="2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 fluent timeline summary generated in one pass</w:t>
            </w:r>
          </w:p>
        </w:tc>
        <w:tc>
          <w:tcPr>
            <w:tcW w:type="pct" w:w="2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An atomised claim set where each claim is independently verified and independently cited</w:t>
            </w:r>
          </w:p>
        </w:tc>
      </w:tr>
      <w:tr>
        <w:tc>
          <w:tcPr>
            <w:tcW w:type="pct" w:w="2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Retrieval by embedding similarity over flat document chunks</w:t>
            </w:r>
          </w:p>
        </w:tc>
        <w:tc>
          <w:tcPr>
            <w:tcW w:type="pct" w:w="2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Structured retrieval over a normalised, coded, temporally-indexed clinical graph</w:t>
            </w:r>
          </w:p>
        </w:tc>
      </w:tr>
      <w:tr>
        <w:tc>
          <w:tcPr>
            <w:tcW w:type="pct" w:w="2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No error analysis</w:t>
            </w:r>
          </w:p>
        </w:tc>
        <w:tc>
          <w:tcPr>
            <w:tcW w:type="pct" w:w="2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 benchmark with planted findings, hand-labelled negatives, and reported false-positive rates</w:t>
            </w:r>
          </w:p>
        </w:tc>
      </w:tr>
      <w:tr>
        <w:tc>
          <w:tcPr>
            <w:tcW w:type="pct" w:w="2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Unbounded confidence</w:t>
            </w:r>
          </w:p>
        </w:tc>
        <w:tc>
          <w:tcPr>
            <w:tcW w:type="pct" w:w="2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Calibrated abstention with a stated escalation path</w:t>
            </w:r>
          </w:p>
        </w:tc>
      </w:tr>
      <w:tr>
        <w:tc>
          <w:tcPr>
            <w:tcW w:type="pct" w:w="2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Real-looking patient data of unclear provenance</w:t>
            </w:r>
          </w:p>
        </w:tc>
        <w:tc>
          <w:tcPr>
            <w:tcW w:type="pct" w:w="2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Provably synthetic data, generated by a pipeline we show, with a plantable ground truth</w:t>
            </w:r>
          </w:p>
        </w:tc>
      </w:tr>
    </w:tbl>
    <w:tbl>
      <w:tblPr>
        <w:tblW w:type="pct" w:w="5000"/>
        <w:tblBorders>
          <w:top w:val="single" w:color="E8E0CC" w:sz="4"/>
          <w:left w:val="single" w:color="1B4F8A" w:sz="18"/>
          <w:bottom w:val="single" w:color="E8E0CC" w:sz="4"/>
          <w:right w:val="single" w:color="E8E0CC" w:sz="4"/>
          <w:insideH w:val="single" w:color="auto" w:sz="4"/>
          <w:insideV w:val="single" w:color="auto" w:sz="4"/>
        </w:tblBorders>
      </w:tblPr>
      <w:tblGrid>
        <w:gridCol w:w="9314"/>
      </w:tblGrid>
      <w:tr>
        <w:tc>
          <w:tcPr>
            <w:shd w:fill="EEF3F9" w:val="clear"/>
            <w:tcMar>
              <w:top w:type="dxa" w:w="140"/>
              <w:left w:type="dxa" w:w="200"/>
              <w:bottom w:type="dxa" w:w="140"/>
              <w:right w:type="dxa" w:w="200"/>
            </w:tcMar>
          </w:tcPr>
          <w:p>
            <w:pPr>
              <w:spacing w:after="60"/>
            </w:pPr>
            <w:r>
              <w:rPr>
                <w:rFonts w:ascii="Calibri" w:cs="Calibri" w:eastAsia="Calibri" w:hAnsi="Calibri"/>
                <w:b/>
                <w:bCs/>
                <w:color w:val="1B4F8A"/>
                <w:sz w:val="18"/>
                <w:szCs w:val="18"/>
              </w:rPr>
              <w:t xml:space="preserve">THE HIGHEST-VALUE DEFENSIBLE CLAIM IN THE ROOM</w:t>
            </w:r>
          </w:p>
          <w:p>
            <w:pPr>
              <w:spacing w:after="0" w:line="276"/>
            </w:pPr>
            <w:r>
              <w:rPr>
                <w:rFonts w:ascii="Calibri" w:cs="Calibri" w:eastAsia="Calibri" w:hAnsi="Calibri"/>
                <w:color w:val="1A1A1A"/>
                <w:sz w:val="21"/>
                <w:szCs w:val="21"/>
              </w:rPr>
              <w:t xml:space="preserve">Every other team will demonstrate that their system answers well. We will demonstrate that ours knows when not to answer — and that we can tell you exactly how often it chose to refuse, and whether refusing was correct.</w:t>
            </w:r>
          </w:p>
        </w:tc>
      </w:tr>
    </w:tbl>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3. Problem definition</w:t>
      </w:r>
    </w:p>
    <w:p>
      <w:pPr>
        <w:pStyle w:val="Heading2"/>
        <w:spacing w:after="120" w:before="280"/>
      </w:pPr>
      <w:r>
        <w:rPr>
          <w:rFonts w:ascii="Calibri" w:cs="Calibri" w:eastAsia="Calibri" w:hAnsi="Calibri"/>
          <w:b/>
          <w:bCs/>
          <w:color w:val="C8901E"/>
          <w:sz w:val="24"/>
          <w:szCs w:val="24"/>
        </w:rPr>
        <w:t xml:space="preserve">3.1 The failure we are attacking</w:t>
      </w:r>
    </w:p>
    <w:p>
      <w:pPr>
        <w:spacing w:after="120" w:before="60" w:line="288"/>
      </w:pPr>
      <w:r>
        <w:rPr>
          <w:rFonts w:ascii="Calibri" w:cs="Calibri" w:eastAsia="Calibri" w:hAnsi="Calibri"/>
          <w:color w:val="1A1A1A"/>
          <w:sz w:val="21"/>
          <w:szCs w:val="21"/>
        </w:rPr>
        <w:t xml:space="preserve">A physician preparing for rounds must reconstruct a patient's full clinical history from a record designed to be complete for billing but not legible for care. The information exists. It is scattered across coded diagnoses, free-text notes, laboratory tables with units and reference ranges, imaging reports, and medication lists — all time-stamped, all legally authoritative, and all unreadable as a coherent narrative. The clinician does this by hand, repeatedly, for every patient.</w:t>
      </w:r>
    </w:p>
    <w:p>
      <w:pPr>
        <w:spacing w:after="120" w:before="60" w:line="288"/>
      </w:pPr>
      <w:r>
        <w:rPr>
          <w:rFonts w:ascii="Calibri" w:cs="Calibri" w:eastAsia="Calibri" w:hAnsi="Calibri"/>
          <w:color w:val="1A1A1A"/>
          <w:sz w:val="21"/>
          <w:szCs w:val="21"/>
        </w:rPr>
        <w:t xml:space="preserve">During that manual reconstruction, three things reliably go wrong. Findings get missed because they were four encounters ago. Contradictions go unresolved because nobody has both records in front of them at once. And confident-but-unfounded inferences creep in, because humans pattern-match too, and a plausible story assembled from partial evidence feels exactly like a well-supported one.</w:t>
      </w:r>
    </w:p>
    <w:p>
      <w:pPr>
        <w:pStyle w:val="Heading2"/>
        <w:spacing w:after="120" w:before="280"/>
      </w:pPr>
      <w:r>
        <w:rPr>
          <w:rFonts w:ascii="Calibri" w:cs="Calibri" w:eastAsia="Calibri" w:hAnsi="Calibri"/>
          <w:b/>
          <w:bCs/>
          <w:color w:val="C8901E"/>
          <w:sz w:val="24"/>
          <w:szCs w:val="24"/>
        </w:rPr>
        <w:t xml:space="preserve">3.2 Who has this problem</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2049"/>
        <w:gridCol w:w="3726"/>
        <w:gridCol w:w="3539"/>
      </w:tblGrid>
      <w:tr>
        <w:trPr>
          <w:tblHeader/>
        </w:trPr>
        <w:tc>
          <w:tcPr>
            <w:tcW w:type="pct" w:w="11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User</w:t>
            </w:r>
          </w:p>
        </w:tc>
        <w:tc>
          <w:tcPr>
            <w:tcW w:type="pct" w:w="20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The job they are actually doing</w:t>
            </w:r>
          </w:p>
        </w:tc>
        <w:tc>
          <w:tcPr>
            <w:tcW w:type="pct" w:w="19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What breaks today</w:t>
            </w:r>
          </w:p>
        </w:tc>
      </w:tr>
      <w:tr>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Attending / resident, pre-round</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Reconstruct 15–25 patient histories in under an hour</w:t>
            </w:r>
          </w:p>
        </w:tc>
        <w:tc>
          <w:tcPr>
            <w:tcW w:type="pct" w:w="19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Reads selectively, trusts the summary note, misses the buried finding</w:t>
            </w:r>
          </w:p>
        </w:tc>
      </w:tr>
      <w:tr>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Night-shift covering team</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Orient on an unfamiliar patient, fast, with no continuity</w:t>
            </w:r>
          </w:p>
        </w:tc>
        <w:tc>
          <w:tcPr>
            <w:tcW w:type="pct" w:w="1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Has minutes per patient and no mental model of what is unresolved</w:t>
            </w:r>
          </w:p>
        </w:tc>
      </w:tr>
      <w:tr>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Specialist consultant</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Answer one specific question about one patient</w:t>
            </w:r>
          </w:p>
        </w:tc>
        <w:tc>
          <w:tcPr>
            <w:tcW w:type="pct" w:w="19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Requests a full chart fax because the record cannot be queried</w:t>
            </w:r>
          </w:p>
        </w:tc>
      </w:tr>
      <w:tr>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Pharmacist</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Check interactions and reconciliation across encounters</w:t>
            </w:r>
          </w:p>
        </w:tc>
        <w:tc>
          <w:tcPr>
            <w:tcW w:type="pct" w:w="1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Reconciliation happens at admission, not continuously</w:t>
            </w:r>
          </w:p>
        </w:tc>
      </w:tr>
    </w:tbl>
    <w:p>
      <w:pPr>
        <w:pStyle w:val="Heading2"/>
        <w:spacing w:after="120" w:before="280"/>
      </w:pPr>
      <w:r>
        <w:rPr>
          <w:rFonts w:ascii="Calibri" w:cs="Calibri" w:eastAsia="Calibri" w:hAnsi="Calibri"/>
          <w:b/>
          <w:bCs/>
          <w:color w:val="C8901E"/>
          <w:sz w:val="24"/>
          <w:szCs w:val="24"/>
        </w:rPr>
        <w:t xml:space="preserve">3.3 The specific gap</w:t>
      </w:r>
    </w:p>
    <w:p>
      <w:pPr>
        <w:spacing w:after="120" w:before="60" w:line="288"/>
      </w:pPr>
      <w:r>
        <w:rPr>
          <w:rFonts w:ascii="Calibri" w:cs="Calibri" w:eastAsia="Calibri" w:hAnsi="Calibri"/>
          <w:color w:val="1A1A1A"/>
          <w:sz w:val="21"/>
          <w:szCs w:val="21"/>
        </w:rPr>
        <w:t xml:space="preserve">Existing AI-on-EMR attempts fail not because the language model is weak, but because of an architectural omission: they generate fluent text and then trust it. There is no verification step, no citation binding, no uncertainty estimate, and no refusal path. In any other domain that is a quality problem. Here it is a safety problem, and it is the gap we are built to close.</w:t>
      </w:r>
    </w:p>
    <w:p>
      <w:pPr>
        <w:pStyle w:val="Heading2"/>
        <w:spacing w:after="120" w:before="280"/>
      </w:pPr>
      <w:r>
        <w:rPr>
          <w:rFonts w:ascii="Calibri" w:cs="Calibri" w:eastAsia="Calibri" w:hAnsi="Calibri"/>
          <w:b/>
          <w:bCs/>
          <w:color w:val="C8901E"/>
          <w:sz w:val="24"/>
          <w:szCs w:val="24"/>
        </w:rPr>
        <w:t xml:space="preserve">3.4 What "AI-native" should mean here — our design doctrine</w:t>
      </w:r>
    </w:p>
    <w:p>
      <w:pPr>
        <w:spacing w:after="120" w:before="60" w:line="288"/>
      </w:pPr>
      <w:r>
        <w:rPr>
          <w:rFonts w:ascii="Calibri" w:cs="Calibri" w:eastAsia="Calibri" w:hAnsi="Calibri"/>
          <w:color w:val="1A1A1A"/>
          <w:sz w:val="21"/>
          <w:szCs w:val="21"/>
        </w:rPr>
        <w:t xml:space="preserve">We take the phrase seriously, and we define it precisely, because it is the thing that separates us from every wrapper.</w:t>
      </w:r>
    </w:p>
    <w:p>
      <w:pPr>
        <w:pStyle w:val="ListParagraph"/>
        <w:numPr>
          <w:ilvl w:val="0"/>
          <w:numId w:val="3"/>
        </w:numPr>
        <w:spacing w:after="80" w:before="40" w:line="276"/>
      </w:pPr>
      <w:r>
        <w:rPr>
          <w:rFonts w:ascii="Calibri" w:cs="Calibri" w:eastAsia="Calibri" w:hAnsi="Calibri"/>
          <w:color w:val="1A1A1A"/>
          <w:sz w:val="21"/>
          <w:szCs w:val="21"/>
        </w:rPr>
        <w:t xml:space="preserve">AI-native is not a chat interface bolted onto a database.</w:t>
      </w:r>
    </w:p>
    <w:p>
      <w:pPr>
        <w:pStyle w:val="ListParagraph"/>
        <w:numPr>
          <w:ilvl w:val="0"/>
          <w:numId w:val="3"/>
        </w:numPr>
        <w:spacing w:after="80" w:before="40" w:line="276"/>
      </w:pPr>
      <w:r>
        <w:rPr>
          <w:rFonts w:ascii="Calibri" w:cs="Calibri" w:eastAsia="Calibri" w:hAnsi="Calibri"/>
          <w:color w:val="1A1A1A"/>
          <w:sz w:val="21"/>
          <w:szCs w:val="21"/>
        </w:rPr>
        <w:t xml:space="preserve">AI-native means the AI is load-bearing at every point where unstructured language meets hard structure — extraction, temporal reasoning, claim generation, and verification.</w:t>
      </w:r>
    </w:p>
    <w:p>
      <w:pPr>
        <w:pStyle w:val="ListParagraph"/>
        <w:numPr>
          <w:ilvl w:val="0"/>
          <w:numId w:val="3"/>
        </w:numPr>
        <w:spacing w:after="80" w:before="40" w:line="276"/>
      </w:pPr>
      <w:r>
        <w:rPr>
          <w:rFonts w:ascii="Calibri" w:cs="Calibri" w:eastAsia="Calibri" w:hAnsi="Calibri"/>
          <w:color w:val="1A1A1A"/>
          <w:sz w:val="21"/>
          <w:szCs w:val="21"/>
        </w:rPr>
        <w:t xml:space="preserve">AI-native means the system has a first-class representation of its own uncertainty, and acts on it.</w:t>
      </w:r>
    </w:p>
    <w:p>
      <w:pPr>
        <w:pStyle w:val="ListParagraph"/>
        <w:numPr>
          <w:ilvl w:val="0"/>
          <w:numId w:val="3"/>
        </w:numPr>
        <w:spacing w:after="80" w:before="40" w:line="276"/>
      </w:pPr>
      <w:r>
        <w:rPr>
          <w:rFonts w:ascii="Calibri" w:cs="Calibri" w:eastAsia="Calibri" w:hAnsi="Calibri"/>
          <w:color w:val="1A1A1A"/>
          <w:sz w:val="21"/>
          <w:szCs w:val="21"/>
        </w:rPr>
        <w:t xml:space="preserve">AI-native means the failure modes are engineered and measured, not assumed away.</w:t>
      </w:r>
    </w:p>
    <w:p>
      <w:pPr>
        <w:pStyle w:val="ListParagraph"/>
        <w:numPr>
          <w:ilvl w:val="0"/>
          <w:numId w:val="3"/>
        </w:numPr>
        <w:spacing w:after="80" w:before="40" w:line="276"/>
      </w:pPr>
      <w:r>
        <w:rPr>
          <w:rFonts w:ascii="Calibri" w:cs="Calibri" w:eastAsia="Calibri" w:hAnsi="Calibri"/>
          <w:color w:val="1A1A1A"/>
          <w:sz w:val="21"/>
          <w:szCs w:val="21"/>
        </w:rPr>
        <w:t xml:space="preserve">AI-native means an LLM never gets to assert a clinical fact that has not cleared verification.</w:t>
      </w:r>
    </w:p>
    <w:p>
      <w:pPr>
        <w:spacing w:after="80"/>
      </w:pPr>
      <w:r>
        <w:rPr>
          <w:sz w:val="12"/>
          <w:szCs w:val="12"/>
        </w:rPr>
        <w:t xml:space="preserve"/>
      </w:r>
    </w:p>
    <w:tbl>
      <w:tblPr>
        <w:tblW w:type="pct" w:w="5000"/>
        <w:tblBorders>
          <w:top w:val="single" w:color="E8E0CC" w:sz="4"/>
          <w:left w:val="single" w:color="8C1D18" w:sz="18"/>
          <w:bottom w:val="single" w:color="E8E0CC" w:sz="4"/>
          <w:right w:val="single" w:color="E8E0CC" w:sz="4"/>
          <w:insideH w:val="single" w:color="auto" w:sz="4"/>
          <w:insideV w:val="single" w:color="auto" w:sz="4"/>
        </w:tblBorders>
      </w:tblPr>
      <w:tblGrid>
        <w:gridCol w:w="9314"/>
      </w:tblGrid>
      <w:tr>
        <w:tc>
          <w:tcPr>
            <w:shd w:fill="FDF2F0" w:val="clear"/>
            <w:tcMar>
              <w:top w:type="dxa" w:w="140"/>
              <w:left w:type="dxa" w:w="200"/>
              <w:bottom w:type="dxa" w:w="140"/>
              <w:right w:type="dxa" w:w="200"/>
            </w:tcMar>
          </w:tcPr>
          <w:p>
            <w:pPr>
              <w:spacing w:after="60"/>
            </w:pPr>
            <w:r>
              <w:rPr>
                <w:rFonts w:ascii="Calibri" w:cs="Calibri" w:eastAsia="Calibri" w:hAnsi="Calibri"/>
                <w:b/>
                <w:bCs/>
                <w:color w:val="8C1D18"/>
                <w:sz w:val="18"/>
                <w:szCs w:val="18"/>
              </w:rPr>
              <w:t xml:space="preserve">NON-NEGOTIABLE</w:t>
            </w:r>
          </w:p>
          <w:p>
            <w:pPr>
              <w:spacing w:after="0" w:line="276"/>
            </w:pPr>
            <w:r>
              <w:rPr>
                <w:rFonts w:ascii="Calibri" w:cs="Calibri" w:eastAsia="Calibri" w:hAnsi="Calibri"/>
                <w:color w:val="1A1A1A"/>
                <w:sz w:val="21"/>
                <w:szCs w:val="21"/>
              </w:rPr>
              <w:t xml:space="preserve">No diagnosis, no prescribing, no clinical decision made by the model. AXIOM surfaces evidence and reasoning to a licensed clinician who decides. Every screen carries this boundary visibly. We are not competing with physicians; we are competing with the forty minutes a physician loses to chart archaeology.</w:t>
            </w:r>
          </w:p>
        </w:tc>
      </w:tr>
    </w:tbl>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4. Scope</w:t>
      </w:r>
    </w:p>
    <w:p>
      <w:pPr>
        <w:pStyle w:val="Heading2"/>
        <w:spacing w:after="120" w:before="280"/>
      </w:pPr>
      <w:r>
        <w:rPr>
          <w:rFonts w:ascii="Calibri" w:cs="Calibri" w:eastAsia="Calibri" w:hAnsi="Calibri"/>
          <w:b/>
          <w:bCs/>
          <w:color w:val="C8901E"/>
          <w:sz w:val="24"/>
          <w:szCs w:val="24"/>
        </w:rPr>
        <w:t xml:space="preserve">4.1 In scope</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Ingestion and normalisation of synthetic FHIR-shaped records into a coded clinical model</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Patient entity resolution across encounters and source systems</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Construction of a temporal clinical graph with precedence, contradiction, and supersession edges</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Structured, temporal, code-aware retrieval</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Evidence-grounded generation with claim-level citation binding</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Post-hoc entailment verification of every atomic claim</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Calibrated abstention with escalation routing</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A clinician-facing chart review surface</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An evaluation harness with planted findings and hand-labelled negatives</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A complete audit trail from any claim back to source nodes</w:t>
      </w:r>
    </w:p>
    <w:p>
      <w:pPr>
        <w:pStyle w:val="Heading2"/>
        <w:spacing w:after="120" w:before="280"/>
      </w:pPr>
      <w:r>
        <w:rPr>
          <w:rFonts w:ascii="Calibri" w:cs="Calibri" w:eastAsia="Calibri" w:hAnsi="Calibri"/>
          <w:b/>
          <w:bCs/>
          <w:color w:val="C8901E"/>
          <w:sz w:val="24"/>
          <w:szCs w:val="24"/>
        </w:rPr>
        <w:t xml:space="preserve">4.2 Explicitly out of scope — and why</w:t>
      </w:r>
    </w:p>
    <w:p>
      <w:pPr>
        <w:pStyle w:val="ListParagraph"/>
        <w:numPr>
          <w:ilvl w:val="0"/>
          <w:numId w:val="2"/>
        </w:numPr>
        <w:spacing w:after="60" w:before="30" w:line="276"/>
      </w:pPr>
      <w:r>
        <w:rPr>
          <w:rFonts w:ascii="Calibri" w:cs="Calibri" w:eastAsia="Calibri" w:hAnsi="Calibri"/>
          <w:b/>
          <w:bCs/>
          <w:color w:val="1A1A1A"/>
          <w:sz w:val="21"/>
          <w:szCs w:val="21"/>
        </w:rPr>
        <w:t xml:space="preserve">Diagnosis or differential generation. </w:t>
      </w:r>
      <w:r>
        <w:rPr>
          <w:rFonts w:ascii="Calibri" w:cs="Calibri" w:eastAsia="Calibri" w:hAnsi="Calibri"/>
          <w:color w:val="1A1A1A"/>
          <w:sz w:val="21"/>
          <w:szCs w:val="21"/>
        </w:rPr>
        <w:t xml:space="preserve">Out of scope for safety and regulatory reasons. We surface what the record contains; we do not infer what is wrong.</w:t>
      </w:r>
    </w:p>
    <w:p>
      <w:pPr>
        <w:pStyle w:val="ListParagraph"/>
        <w:numPr>
          <w:ilvl w:val="0"/>
          <w:numId w:val="2"/>
        </w:numPr>
        <w:spacing w:after="60" w:before="30" w:line="276"/>
      </w:pPr>
      <w:r>
        <w:rPr>
          <w:rFonts w:ascii="Calibri" w:cs="Calibri" w:eastAsia="Calibri" w:hAnsi="Calibri"/>
          <w:b/>
          <w:bCs/>
          <w:color w:val="1A1A1A"/>
          <w:sz w:val="21"/>
          <w:szCs w:val="21"/>
        </w:rPr>
        <w:t xml:space="preserve">Prescribing or dose recommendation. </w:t>
      </w:r>
      <w:r>
        <w:rPr>
          <w:rFonts w:ascii="Calibri" w:cs="Calibri" w:eastAsia="Calibri" w:hAnsi="Calibri"/>
          <w:color w:val="1A1A1A"/>
          <w:sz w:val="21"/>
          <w:szCs w:val="21"/>
        </w:rPr>
        <w:t xml:space="preserve">Same. We flag that a documented interaction exists and cite both records.</w:t>
      </w:r>
    </w:p>
    <w:p>
      <w:pPr>
        <w:pStyle w:val="ListParagraph"/>
        <w:numPr>
          <w:ilvl w:val="0"/>
          <w:numId w:val="2"/>
        </w:numPr>
        <w:spacing w:after="60" w:before="30" w:line="276"/>
      </w:pPr>
      <w:r>
        <w:rPr>
          <w:rFonts w:ascii="Calibri" w:cs="Calibri" w:eastAsia="Calibri" w:hAnsi="Calibri"/>
          <w:b/>
          <w:bCs/>
          <w:color w:val="1A1A1A"/>
          <w:sz w:val="21"/>
          <w:szCs w:val="21"/>
        </w:rPr>
        <w:t xml:space="preserve">Real PHI at any stage. </w:t>
      </w:r>
      <w:r>
        <w:rPr>
          <w:rFonts w:ascii="Calibri" w:cs="Calibri" w:eastAsia="Calibri" w:hAnsi="Calibri"/>
          <w:color w:val="1A1A1A"/>
          <w:sz w:val="21"/>
          <w:szCs w:val="21"/>
        </w:rPr>
        <w:t xml:space="preserve">Synthesise everything. This is a defensible engineering position, not a limitation — and it means we can publish the generator.</w:t>
      </w:r>
    </w:p>
    <w:p>
      <w:pPr>
        <w:pStyle w:val="ListParagraph"/>
        <w:numPr>
          <w:ilvl w:val="0"/>
          <w:numId w:val="2"/>
        </w:numPr>
        <w:spacing w:after="60" w:before="30" w:line="276"/>
      </w:pPr>
      <w:r>
        <w:rPr>
          <w:rFonts w:ascii="Calibri" w:cs="Calibri" w:eastAsia="Calibri" w:hAnsi="Calibri"/>
          <w:b/>
          <w:bCs/>
          <w:color w:val="1A1A1A"/>
          <w:sz w:val="21"/>
          <w:szCs w:val="21"/>
        </w:rPr>
        <w:t xml:space="preserve">Multi-hospital federation. </w:t>
      </w:r>
      <w:r>
        <w:rPr>
          <w:rFonts w:ascii="Calibri" w:cs="Calibri" w:eastAsia="Calibri" w:hAnsi="Calibri"/>
          <w:color w:val="1A1A1A"/>
          <w:sz w:val="21"/>
          <w:szCs w:val="21"/>
        </w:rPr>
        <w:t xml:space="preserve">Impressive, undemonstrable in 36 hours, and unverified. We would rather show one thing that provably works.</w:t>
      </w:r>
    </w:p>
    <w:p>
      <w:pPr>
        <w:pStyle w:val="ListParagraph"/>
        <w:numPr>
          <w:ilvl w:val="0"/>
          <w:numId w:val="2"/>
        </w:numPr>
        <w:spacing w:after="60" w:before="30" w:line="276"/>
      </w:pPr>
      <w:r>
        <w:rPr>
          <w:rFonts w:ascii="Calibri" w:cs="Calibri" w:eastAsia="Calibri" w:hAnsi="Calibri"/>
          <w:b/>
          <w:bCs/>
          <w:color w:val="1A1A1A"/>
          <w:sz w:val="21"/>
          <w:szCs w:val="21"/>
        </w:rPr>
        <w:t xml:space="preserve">Writing to the record. </w:t>
      </w:r>
      <w:r>
        <w:rPr>
          <w:rFonts w:ascii="Calibri" w:cs="Calibri" w:eastAsia="Calibri" w:hAnsi="Calibri"/>
          <w:color w:val="1A1A1A"/>
          <w:sz w:val="21"/>
          <w:szCs w:val="21"/>
        </w:rPr>
        <w:t xml:space="preserve">Read-only by design. Every write action in clinical software is a liability; we take none.</w:t>
      </w:r>
    </w:p>
    <w:p>
      <w:pPr>
        <w:pStyle w:val="Heading2"/>
        <w:spacing w:after="120" w:before="280"/>
      </w:pPr>
      <w:r>
        <w:rPr>
          <w:rFonts w:ascii="Calibri" w:cs="Calibri" w:eastAsia="Calibri" w:hAnsi="Calibri"/>
          <w:b/>
          <w:bCs/>
          <w:color w:val="C8901E"/>
          <w:sz w:val="24"/>
          <w:szCs w:val="24"/>
        </w:rPr>
        <w:t xml:space="preserve">4.3 Success definition</w:t>
      </w:r>
    </w:p>
    <w:p>
      <w:pPr>
        <w:spacing w:after="120" w:before="60" w:line="288"/>
      </w:pPr>
      <w:r>
        <w:rPr>
          <w:rFonts w:ascii="Calibri" w:cs="Calibri" w:eastAsia="Calibri" w:hAnsi="Calibri"/>
          <w:color w:val="1A1A1A"/>
          <w:sz w:val="21"/>
          <w:szCs w:val="21"/>
        </w:rPr>
        <w:t xml:space="preserve">AXIOM succeeds if a clinician can open a patient, be shown the three findings that actually warrant attention, trace any one of them to its source records in two clicks, and be confident that nothing in front of them was invented. It fails if it produces a summary that is fluent, comprehensive, and quietly wrong — which is precisely what every other project in the room will ship.</w:t>
      </w:r>
    </w:p>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5. System architecture</w:t>
      </w:r>
    </w:p>
    <w:p>
      <w:pPr>
        <w:spacing w:after="120" w:before="60" w:line="288"/>
      </w:pPr>
      <w:r>
        <w:rPr>
          <w:rFonts w:ascii="Calibri" w:cs="Calibri" w:eastAsia="Calibri" w:hAnsi="Calibri"/>
          <w:color w:val="1A1A1A"/>
          <w:sz w:val="21"/>
          <w:szCs w:val="21"/>
        </w:rPr>
        <w:t xml:space="preserve">Eight layers. Layers 3 through 6 are where the defensible engineering lives. Layers 2 and 8 are structural. Layers 1 and 7 are where the language model operates — and in both cases strictly bounded.</w:t>
      </w:r>
    </w:p>
    <w:p>
      <w:pPr>
        <w:pStyle w:val="Heading2"/>
        <w:spacing w:after="120" w:before="280"/>
      </w:pPr>
      <w:r>
        <w:rPr>
          <w:rFonts w:ascii="Calibri" w:cs="Calibri" w:eastAsia="Calibri" w:hAnsi="Calibri"/>
          <w:b/>
          <w:bCs/>
          <w:color w:val="C8901E"/>
          <w:sz w:val="24"/>
          <w:szCs w:val="24"/>
        </w:rPr>
        <w:t xml:space="preserve">5.1 Layer map</w:t>
      </w:r>
    </w:p>
    <w:p>
      <w:pPr>
        <w:shd w:fill="EEF3F9" w:val="clear"/>
        <w:spacing w:after="0" w:before="220"/>
        <w:ind w:left="120" w:right="120"/>
      </w:pPr>
      <w:r>
        <w:rPr>
          <w:rFonts w:ascii="Calibri" w:cs="Calibri" w:eastAsia="Calibri" w:hAnsi="Calibri"/>
          <w:b/>
          <w:bCs/>
          <w:color w:val="1B4F8A"/>
          <w:sz w:val="21"/>
          <w:szCs w:val="21"/>
        </w:rPr>
        <w:t xml:space="preserve">LAYER 1 — Synthetic EHR generator</w:t>
      </w:r>
    </w:p>
    <w:p>
      <w:pPr>
        <w:spacing w:after="110" w:before="0" w:line="276"/>
        <w:ind w:left="120" w:right="120"/>
      </w:pPr>
      <w:r>
        <w:rPr>
          <w:rFonts w:ascii="Calibri" w:cs="Calibri" w:eastAsia="Calibri" w:hAnsi="Calibri"/>
          <w:color w:val="1A1A1A"/>
          <w:sz w:val="20"/>
          <w:szCs w:val="20"/>
        </w:rPr>
        <w:t xml:space="preserve">Generates realistic longitudinal patient records: demographics, encounters, laboratory results with units, reference ranges and LOINC codes, diagnoses with ICD-10 and SNOMED CT, medications with RxNorm, allergies, vital sign series, imaging reports as free text, and progress notes. Critically, it plants findings of known severity at known timestamps, so the system's detection accuracy is externally verifiable. This layer is our test rig and our credibility.</w:t>
      </w:r>
    </w:p>
    <w:p>
      <w:pPr>
        <w:shd w:fill="F5E6C4" w:val="clear"/>
        <w:spacing w:after="0" w:before="220"/>
        <w:ind w:left="120" w:right="120"/>
      </w:pPr>
      <w:r>
        <w:rPr>
          <w:rFonts w:ascii="Calibri" w:cs="Calibri" w:eastAsia="Calibri" w:hAnsi="Calibri"/>
          <w:b/>
          <w:bCs/>
          <w:color w:val="7A5A0B"/>
          <w:sz w:val="21"/>
          <w:szCs w:val="21"/>
        </w:rPr>
        <w:t xml:space="preserve">LAYER 2 — Ingestion and normalisation</w:t>
      </w:r>
    </w:p>
    <w:p>
      <w:pPr>
        <w:spacing w:after="110" w:before="0" w:line="276"/>
        <w:ind w:left="120" w:right="120"/>
      </w:pPr>
      <w:r>
        <w:rPr>
          <w:rFonts w:ascii="Calibri" w:cs="Calibri" w:eastAsia="Calibri" w:hAnsi="Calibri"/>
          <w:color w:val="1A1A1A"/>
          <w:sz w:val="20"/>
          <w:szCs w:val="20"/>
        </w:rPr>
        <w:t xml:space="preserve">Parses FHIR-shaped resources into a canonical model. Unit conversion (SI and conventional), reference-range assignment from coded analyte, ICD-10 to SNOMED mapping, RxNorm normalisation of free-text drug names, negation detection ("denies chest pain" must never become "has chest pain"). Negation handling is where naive pipelines silently poison the record, and it is worth demonstrating.</w:t>
      </w:r>
    </w:p>
    <w:p>
      <w:pPr>
        <w:shd w:fill="F5E6C4" w:val="clear"/>
        <w:spacing w:after="0" w:before="220"/>
        <w:ind w:left="120" w:right="120"/>
      </w:pPr>
      <w:r>
        <w:rPr>
          <w:rFonts w:ascii="Calibri" w:cs="Calibri" w:eastAsia="Calibri" w:hAnsi="Calibri"/>
          <w:b/>
          <w:bCs/>
          <w:color w:val="7A5A0B"/>
          <w:sz w:val="21"/>
          <w:szCs w:val="21"/>
        </w:rPr>
        <w:t xml:space="preserve">LAYER 3 — Patient entity resolution</w:t>
      </w:r>
    </w:p>
    <w:p>
      <w:pPr>
        <w:spacing w:after="110" w:before="0" w:line="276"/>
        <w:ind w:left="120" w:right="120"/>
      </w:pPr>
      <w:r>
        <w:rPr>
          <w:rFonts w:ascii="Calibri" w:cs="Calibri" w:eastAsia="Calibri" w:hAnsi="Calibri"/>
          <w:color w:val="1A1A1A"/>
          <w:sz w:val="20"/>
          <w:szCs w:val="20"/>
        </w:rPr>
        <w:t xml:space="preserve">Reconciles the same patient across encounters and source systems. Blocking on (DOB, sex), MRN, contact hash, and address hash; within blocks, weighted string similarity with phonetic normalisation; logistic regression scorer tuned on labelled pairs. Merge precision and recall are reported, not asserted.</w:t>
      </w:r>
    </w:p>
    <w:p>
      <w:pPr>
        <w:shd w:fill="F5E6C4" w:val="clear"/>
        <w:spacing w:after="0" w:before="220"/>
        <w:ind w:left="120" w:right="120"/>
      </w:pPr>
      <w:r>
        <w:rPr>
          <w:rFonts w:ascii="Calibri" w:cs="Calibri" w:eastAsia="Calibri" w:hAnsi="Calibri"/>
          <w:b/>
          <w:bCs/>
          <w:color w:val="7A5A0B"/>
          <w:sz w:val="21"/>
          <w:szCs w:val="21"/>
        </w:rPr>
        <w:t xml:space="preserve">LAYER 4 — Temporal clinical graph</w:t>
      </w:r>
    </w:p>
    <w:p>
      <w:pPr>
        <w:spacing w:after="110" w:before="0" w:line="276"/>
        <w:ind w:left="120" w:right="120"/>
      </w:pPr>
      <w:r>
        <w:rPr>
          <w:rFonts w:ascii="Calibri" w:cs="Calibri" w:eastAsia="Calibri" w:hAnsi="Calibri"/>
          <w:color w:val="1A1A1A"/>
          <w:sz w:val="20"/>
          <w:szCs w:val="20"/>
        </w:rPr>
        <w:t xml:space="preserve">Time-stamped nodes (Encounter, Diagnosis, LabResult, MedicationOrder, Allergy, ImagingStudy, Procedure, VitalSign series) joined by typed edges: occurs_during, precedes, co_occurs, contradicts, supersedes, contraindicated_with. This layer is what lets the system reason "what changed since last visit" and "was this already known" — questions that flat chunk retrieval cannot answer at all.</w:t>
      </w:r>
    </w:p>
    <w:p>
      <w:pPr>
        <w:shd w:fill="F5E6C4" w:val="clear"/>
        <w:spacing w:after="0" w:before="220"/>
        <w:ind w:left="120" w:right="120"/>
      </w:pPr>
      <w:r>
        <w:rPr>
          <w:rFonts w:ascii="Calibri" w:cs="Calibri" w:eastAsia="Calibri" w:hAnsi="Calibri"/>
          <w:b/>
          <w:bCs/>
          <w:color w:val="7A5A0B"/>
          <w:sz w:val="21"/>
          <w:szCs w:val="21"/>
        </w:rPr>
        <w:t xml:space="preserve">LAYER 5 — Structured temporal retrieval</w:t>
      </w:r>
    </w:p>
    <w:p>
      <w:pPr>
        <w:spacing w:after="110" w:before="0" w:line="276"/>
        <w:ind w:left="120" w:right="120"/>
      </w:pPr>
      <w:r>
        <w:rPr>
          <w:rFonts w:ascii="Calibri" w:cs="Calibri" w:eastAsia="Calibri" w:hAnsi="Calibri"/>
          <w:color w:val="1A1A1A"/>
          <w:sz w:val="20"/>
          <w:szCs w:val="20"/>
        </w:rPr>
        <w:t xml:space="preserve">Retrieval runs over the graph, not over raw chunks. A query planner decomposes the question into structured predicates — entity, time window, code class, relation — and executes graph traversals first, falling back to semantic search only within the resulting constrained subgraph. Recency and code specificity rank the results.</w:t>
      </w:r>
    </w:p>
    <w:p>
      <w:pPr>
        <w:shd w:fill="EEF3F9" w:val="clear"/>
        <w:spacing w:after="0" w:before="220"/>
        <w:ind w:left="120" w:right="120"/>
      </w:pPr>
      <w:r>
        <w:rPr>
          <w:rFonts w:ascii="Calibri" w:cs="Calibri" w:eastAsia="Calibri" w:hAnsi="Calibri"/>
          <w:b/>
          <w:bCs/>
          <w:color w:val="1B4F8A"/>
          <w:sz w:val="21"/>
          <w:szCs w:val="21"/>
        </w:rPr>
        <w:t xml:space="preserve">LAYER 6 — Verified claim generation</w:t>
      </w:r>
    </w:p>
    <w:p>
      <w:pPr>
        <w:spacing w:after="110" w:before="0" w:line="276"/>
        <w:ind w:left="120" w:right="120"/>
      </w:pPr>
      <w:r>
        <w:rPr>
          <w:rFonts w:ascii="Calibri" w:cs="Calibri" w:eastAsia="Calibri" w:hAnsi="Calibri"/>
          <w:color w:val="1A1A1A"/>
          <w:sz w:val="20"/>
          <w:szCs w:val="20"/>
        </w:rPr>
        <w:t xml:space="preserve">The generation step emits atomic claims, each bound to the node IDs that support it. Every claim then passes an independent entailment check against its cited evidence. Claims that fail are removed. This is the layer that makes the pitch, and it is genuinely novel relative to what competitors will ship.</w:t>
      </w:r>
    </w:p>
    <w:p>
      <w:pPr>
        <w:shd w:fill="F5E6C4" w:val="clear"/>
        <w:spacing w:after="0" w:before="220"/>
        <w:ind w:left="120" w:right="120"/>
      </w:pPr>
      <w:r>
        <w:rPr>
          <w:rFonts w:ascii="Calibri" w:cs="Calibri" w:eastAsia="Calibri" w:hAnsi="Calibri"/>
          <w:b/>
          <w:bCs/>
          <w:color w:val="7A5A0B"/>
          <w:sz w:val="21"/>
          <w:szCs w:val="21"/>
        </w:rPr>
        <w:t xml:space="preserve">LAYER 7 — Calibrated abstention</w:t>
      </w:r>
    </w:p>
    <w:p>
      <w:pPr>
        <w:spacing w:after="110" w:before="0" w:line="276"/>
        <w:ind w:left="120" w:right="120"/>
      </w:pPr>
      <w:r>
        <w:rPr>
          <w:rFonts w:ascii="Calibri" w:cs="Calibri" w:eastAsia="Calibri" w:hAnsi="Calibri"/>
          <w:color w:val="1A1A1A"/>
          <w:sz w:val="20"/>
          <w:szCs w:val="20"/>
        </w:rPr>
        <w:t xml:space="preserve">Confidence is estimated from evidence support, retrieval coverage, and temporal consistency, then calibrated per claim type on a held-out set. Below threshold, the system refuses, states precisely which evidence is missing, and routes to the right human. A confidence bar is set higher for medication and allergy reasoning than for administrative questions.</w:t>
      </w:r>
    </w:p>
    <w:p>
      <w:pPr>
        <w:shd w:fill="F5E6C4" w:val="clear"/>
        <w:spacing w:after="0" w:before="220"/>
        <w:ind w:left="120" w:right="120"/>
      </w:pPr>
      <w:r>
        <w:rPr>
          <w:rFonts w:ascii="Calibri" w:cs="Calibri" w:eastAsia="Calibri" w:hAnsi="Calibri"/>
          <w:b/>
          <w:bCs/>
          <w:color w:val="7A5A0B"/>
          <w:sz w:val="21"/>
          <w:szCs w:val="21"/>
        </w:rPr>
        <w:t xml:space="preserve">LAYER 8 — Audit and provenance</w:t>
      </w:r>
    </w:p>
    <w:p>
      <w:pPr>
        <w:spacing w:after="110" w:before="0" w:line="276"/>
        <w:ind w:left="120" w:right="120"/>
      </w:pPr>
      <w:r>
        <w:rPr>
          <w:rFonts w:ascii="Calibri" w:cs="Calibri" w:eastAsia="Calibri" w:hAnsi="Calibri"/>
          <w:color w:val="1A1A1A"/>
          <w:sz w:val="20"/>
          <w:szCs w:val="20"/>
        </w:rPr>
        <w:t xml:space="preserve">Every claim, every retrieval, every generation call, and every abstention is logged with the nodes that caused it. Any statement in the UI resolves in two clicks to the exact source record. The audit log is a first-class product surface, not a debug affordance.</w:t>
      </w:r>
    </w:p>
    <w:p>
      <w:r>
        <w:br w:type="page"/>
      </w:r>
    </w:p>
    <w:p>
      <w:pPr>
        <w:pStyle w:val="Heading2"/>
        <w:spacing w:after="120" w:before="280"/>
      </w:pPr>
      <w:r>
        <w:rPr>
          <w:rFonts w:ascii="Calibri" w:cs="Calibri" w:eastAsia="Calibri" w:hAnsi="Calibri"/>
          <w:b/>
          <w:bCs/>
          <w:color w:val="C8901E"/>
          <w:sz w:val="24"/>
          <w:szCs w:val="24"/>
        </w:rPr>
        <w:t xml:space="preserve">5.2 Reference diagram</w:t>
      </w:r>
    </w:p>
    <w:tbl>
      <w:tblPr>
        <w:tblW w:type="pct" w:w="5000"/>
        <w:tblBorders>
          <w:top w:val="single" w:color="E2DED4" w:sz="4"/>
          <w:left w:val="single" w:color="E2DED4" w:sz="4"/>
          <w:bottom w:val="single" w:color="E2DED4" w:sz="4"/>
          <w:right w:val="single" w:color="E2DED4" w:sz="4"/>
          <w:insideH w:val="single" w:color="auto" w:sz="4"/>
          <w:insideV w:val="single" w:color="auto" w:sz="4"/>
        </w:tblBorders>
      </w:tblPr>
      <w:tblGrid>
        <w:gridCol w:w="9314"/>
      </w:tblGrid>
      <w:tr>
        <w:tc>
          <w:tcPr>
            <w:shd w:fill="F4F2EC" w:val="clear"/>
            <w:tcMar>
              <w:top w:type="dxa" w:w="140"/>
              <w:left w:type="dxa" w:w="180"/>
              <w:bottom w:type="dxa" w:w="140"/>
              <w:right w:type="dxa" w:w="180"/>
            </w:tcMar>
          </w:tcPr>
          <w:p>
            <w:pPr>
              <w:spacing w:after="20" w:before="0" w:line="240"/>
            </w:pPr>
            <w:r>
              <w:rPr>
                <w:rFonts w:ascii="Consolas" w:cs="Consolas" w:eastAsia="Consolas" w:hAnsi="Consolas"/>
                <w:color w:val="2E2E2E"/>
                <w:sz w:val="17"/>
                <w:szCs w:val="17"/>
              </w:rPr>
              <w:t xml:space="preserve">  ┌────────────────────────────────────────────────────────────┐</w:t>
            </w:r>
          </w:p>
          <w:p>
            <w:pPr>
              <w:spacing w:after="20" w:before="0" w:line="240"/>
            </w:pPr>
            <w:r>
              <w:rPr>
                <w:rFonts w:ascii="Consolas" w:cs="Consolas" w:eastAsia="Consolas" w:hAnsi="Consolas"/>
                <w:color w:val="2E2E2E"/>
                <w:sz w:val="17"/>
                <w:szCs w:val="17"/>
              </w:rPr>
              <w:t xml:space="preserve">  │  CLINICIAN SURFACE — patient header, attention queue,       │</w:t>
            </w:r>
          </w:p>
          <w:p>
            <w:pPr>
              <w:spacing w:after="20" w:before="0" w:line="240"/>
            </w:pPr>
            <w:r>
              <w:rPr>
                <w:rFonts w:ascii="Consolas" w:cs="Consolas" w:eastAsia="Consolas" w:hAnsi="Consolas"/>
                <w:color w:val="2E2E2E"/>
                <w:sz w:val="17"/>
                <w:szCs w:val="17"/>
              </w:rPr>
              <w:t xml:space="preserve">  │  evidence cards, timeline scrubber, citation popovers       │</w:t>
            </w:r>
          </w:p>
          <w:p>
            <w:pPr>
              <w:spacing w:after="20" w:before="0" w:line="240"/>
            </w:pPr>
            <w:r>
              <w:rPr>
                <w:rFonts w:ascii="Consolas" w:cs="Consolas" w:eastAsia="Consolas" w:hAnsi="Consolas"/>
                <w:color w:val="2E2E2E"/>
                <w:sz w:val="17"/>
                <w:szCs w:val="17"/>
              </w:rPr>
              <w:t xml:space="preserve">  └───────────────────────────┬────────────────────────────────┘</w:t>
            </w:r>
          </w:p>
          <w:p>
            <w:pPr>
              <w:spacing w:after="20" w:before="0" w:line="240"/>
            </w:pPr>
            <w:r>
              <w:rPr>
                <w:rFonts w:ascii="Consolas" w:cs="Consolas" w:eastAsia="Consolas" w:hAnsi="Consolas"/>
                <w:color w:val="2E2E2E"/>
                <w:sz w:val="17"/>
                <w:szCs w:val="17"/>
              </w:rPr>
              <w:t xml:space="preserve">                              │</w:t>
            </w:r>
          </w:p>
          <w:p>
            <w:pPr>
              <w:spacing w:after="20" w:before="0" w:line="240"/>
            </w:pPr>
            <w:r>
              <w:rPr>
                <w:rFonts w:ascii="Consolas" w:cs="Consolas" w:eastAsia="Consolas" w:hAnsi="Consolas"/>
                <w:color w:val="2E2E2E"/>
                <w:sz w:val="17"/>
                <w:szCs w:val="17"/>
              </w:rPr>
              <w:t xml:space="preserve">  ┌───────────────────────────▼────────────────────────────────┐</w:t>
            </w:r>
          </w:p>
          <w:p>
            <w:pPr>
              <w:spacing w:after="20" w:before="0" w:line="240"/>
            </w:pPr>
            <w:r>
              <w:rPr>
                <w:rFonts w:ascii="Consolas" w:cs="Consolas" w:eastAsia="Consolas" w:hAnsi="Consolas"/>
                <w:color w:val="2E2E2E"/>
                <w:sz w:val="17"/>
                <w:szCs w:val="17"/>
              </w:rPr>
              <w:t xml:space="preserve">  │  API — FastAPI  (patient, timeline, query, explain, audit)  │</w:t>
            </w:r>
          </w:p>
          <w:p>
            <w:pPr>
              <w:spacing w:after="20" w:before="0" w:line="240"/>
            </w:pPr>
            <w:r>
              <w:rPr>
                <w:rFonts w:ascii="Consolas" w:cs="Consolas" w:eastAsia="Consolas" w:hAnsi="Consolas"/>
                <w:color w:val="2E2E2E"/>
                <w:sz w:val="17"/>
                <w:szCs w:val="17"/>
              </w:rPr>
              <w:t xml:space="preserve">  └──┬───────────┬────────────┬────────────┬───────────┬───────┘</w:t>
            </w:r>
          </w:p>
          <w:p>
            <w:pPr>
              <w:spacing w:after="20" w:before="0" w:line="240"/>
            </w:pPr>
            <w:r>
              <w:rPr>
                <w:rFonts w:ascii="Consolas" w:cs="Consolas" w:eastAsia="Consolas" w:hAnsi="Consolas"/>
                <w:color w:val="2E2E2E"/>
                <w:sz w:val="17"/>
                <w:szCs w:val="17"/>
              </w:rPr>
              <w:t xml:space="preserve">     │           │            │            │           │</w:t>
            </w:r>
          </w:p>
          <w:p>
            <w:pPr>
              <w:spacing w:after="20" w:before="0" w:line="240"/>
            </w:pPr>
            <w:r>
              <w:rPr>
                <w:rFonts w:ascii="Consolas" w:cs="Consolas" w:eastAsia="Consolas" w:hAnsi="Consolas"/>
                <w:color w:val="2E2E2E"/>
                <w:sz w:val="17"/>
                <w:szCs w:val="17"/>
              </w:rPr>
              <w:t xml:space="preserve">  ┌──▼───┐  ┌────▼─────┐ ┌────▼─────┐ ┌────▼─────┐ ┌───▼────┐</w:t>
            </w:r>
          </w:p>
          <w:p>
            <w:pPr>
              <w:spacing w:after="20" w:before="0" w:line="240"/>
            </w:pPr>
            <w:r>
              <w:rPr>
                <w:rFonts w:ascii="Consolas" w:cs="Consolas" w:eastAsia="Consolas" w:hAnsi="Consolas"/>
                <w:color w:val="2E2E2E"/>
                <w:sz w:val="17"/>
                <w:szCs w:val="17"/>
              </w:rPr>
              <w:t xml:space="preserve">  │ L8   │  │   L7     │ │   L6     │ │   L5     │ │ L1–L4  │</w:t>
            </w:r>
          </w:p>
          <w:p>
            <w:pPr>
              <w:spacing w:after="20" w:before="0" w:line="240"/>
            </w:pPr>
            <w:r>
              <w:rPr>
                <w:rFonts w:ascii="Consolas" w:cs="Consolas" w:eastAsia="Consolas" w:hAnsi="Consolas"/>
                <w:color w:val="2E2E2E"/>
                <w:sz w:val="17"/>
                <w:szCs w:val="17"/>
              </w:rPr>
              <w:t xml:space="preserve">  │ AUDIT│◄─┤ ABSTAIN  │◄┤ VERIFIED │◄┤ STRUCTURED│ │ NORMAL-│</w:t>
            </w:r>
          </w:p>
          <w:p>
            <w:pPr>
              <w:spacing w:after="20" w:before="0" w:line="240"/>
            </w:pPr>
            <w:r>
              <w:rPr>
                <w:rFonts w:ascii="Consolas" w:cs="Consolas" w:eastAsia="Consolas" w:hAnsi="Consolas"/>
                <w:color w:val="2E2E2E"/>
                <w:sz w:val="17"/>
                <w:szCs w:val="17"/>
              </w:rPr>
              <w:t xml:space="preserve">  │TRACE │  │ +CALIBR. │ │  CLAIMS  │ │ RETRIEVAL │ │ IZE +  │</w:t>
            </w:r>
          </w:p>
          <w:p>
            <w:pPr>
              <w:spacing w:after="20" w:before="0" w:line="240"/>
            </w:pPr>
            <w:r>
              <w:rPr>
                <w:rFonts w:ascii="Consolas" w:cs="Consolas" w:eastAsia="Consolas" w:hAnsi="Consolas"/>
                <w:color w:val="2E2E2E"/>
                <w:sz w:val="17"/>
                <w:szCs w:val="17"/>
              </w:rPr>
              <w:t xml:space="preserve">  │      │  │          │ │ +ENTAIL  │ │ +PLANNER │ │ GRAPH  │</w:t>
            </w:r>
          </w:p>
          <w:p>
            <w:pPr>
              <w:spacing w:after="20" w:before="0" w:line="240"/>
            </w:pPr>
            <w:r>
              <w:rPr>
                <w:rFonts w:ascii="Consolas" w:cs="Consolas" w:eastAsia="Consolas" w:hAnsi="Consolas"/>
                <w:color w:val="2E2E2E"/>
                <w:sz w:val="17"/>
                <w:szCs w:val="17"/>
              </w:rPr>
              <w:t xml:space="preserve">  └──────┘  └──────────┘ └──────────┘ └──────────┘ └───┬────┘</w:t>
            </w:r>
          </w:p>
          <w:p>
            <w:pPr>
              <w:spacing w:after="20" w:before="0" w:line="240"/>
            </w:pPr>
            <w:r>
              <w:rPr>
                <w:rFonts w:ascii="Consolas" w:cs="Consolas" w:eastAsia="Consolas" w:hAnsi="Consolas"/>
                <w:color w:val="2E2E2E"/>
                <w:sz w:val="17"/>
                <w:szCs w:val="17"/>
              </w:rPr>
              <w:t xml:space="preserve">      ▲                                                 │</w:t>
            </w:r>
          </w:p>
          <w:p>
            <w:pPr>
              <w:spacing w:after="20" w:before="0" w:line="240"/>
            </w:pPr>
            <w:r>
              <w:rPr>
                <w:rFonts w:ascii="Consolas" w:cs="Consolas" w:eastAsia="Consolas" w:hAnsi="Consolas"/>
                <w:color w:val="2E2E2E"/>
                <w:sz w:val="17"/>
                <w:szCs w:val="17"/>
              </w:rPr>
              <w:t xml:space="preserve">      └───────────── verification loop ─────────────────┘</w:t>
            </w:r>
          </w:p>
          <w:p>
            <w:pPr>
              <w:spacing w:after="20" w:before="0" w:line="240"/>
            </w:pPr>
            <w:r>
              <w:rPr>
                <w:rFonts w:ascii="Consolas" w:cs="Consolas" w:eastAsia="Consolas" w:hAnsi="Consolas"/>
                <w:color w:val="2E2E2E"/>
                <w:sz w:val="17"/>
                <w:szCs w:val="17"/>
              </w:rPr>
              <w:t xml:space="preserve">                    (every claim, every time)</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  DATA PLANE (read-only, fully synthetic)</w:t>
            </w:r>
          </w:p>
          <w:p>
            <w:pPr>
              <w:spacing w:after="20" w:before="0" w:line="240"/>
            </w:pPr>
            <w:r>
              <w:rPr>
                <w:rFonts w:ascii="Consolas" w:cs="Consolas" w:eastAsia="Consolas" w:hAnsi="Consolas"/>
                <w:color w:val="2E2E2E"/>
                <w:sz w:val="17"/>
                <w:szCs w:val="17"/>
              </w:rPr>
              <w:t xml:space="preserve">  FHIR resources → canonical model → clinical graph → node store</w:t>
            </w:r>
          </w:p>
        </w:tc>
      </w:tr>
    </w:tbl>
    <w:p>
      <w:pPr>
        <w:pStyle w:val="Heading2"/>
        <w:spacing w:after="120" w:before="280"/>
      </w:pPr>
      <w:r>
        <w:rPr>
          <w:rFonts w:ascii="Calibri" w:cs="Calibri" w:eastAsia="Calibri" w:hAnsi="Calibri"/>
          <w:b/>
          <w:bCs/>
          <w:color w:val="C8901E"/>
          <w:sz w:val="24"/>
          <w:szCs w:val="24"/>
        </w:rPr>
        <w:t xml:space="preserve">5.3 Layer-by-layer technical specification</w:t>
      </w:r>
    </w:p>
    <w:p>
      <w:pPr>
        <w:pStyle w:val="Heading3"/>
        <w:spacing w:after="80" w:before="200"/>
      </w:pPr>
      <w:r>
        <w:rPr>
          <w:rFonts w:ascii="Calibri" w:cs="Calibri" w:eastAsia="Calibri" w:hAnsi="Calibri"/>
          <w:b/>
          <w:bCs/>
          <w:color w:val="1A1A1A"/>
          <w:sz w:val="21"/>
          <w:szCs w:val="21"/>
        </w:rPr>
        <w:t xml:space="preserve">5.3.1 Layer 1 — Synthetic EHR generator</w:t>
      </w:r>
    </w:p>
    <w:p>
      <w:pPr>
        <w:spacing w:after="120" w:before="60" w:line="288"/>
      </w:pPr>
      <w:r>
        <w:rPr>
          <w:rFonts w:ascii="Calibri" w:cs="Calibri" w:eastAsia="Calibri" w:hAnsi="Calibri"/>
          <w:color w:val="1A1A1A"/>
          <w:sz w:val="21"/>
          <w:szCs w:val="21"/>
        </w:rPr>
        <w:t xml:space="preserve">This is where most teams will underestimate the work, and where our credibility is won. A generator that produces obviously fake records is worse than useless, because it makes the demo look unserious.</w:t>
      </w:r>
    </w:p>
    <w:p>
      <w:pPr>
        <w:spacing w:after="60" w:before="140"/>
      </w:pPr>
      <w:r>
        <w:rPr>
          <w:rFonts w:ascii="Calibri" w:cs="Calibri" w:eastAsia="Calibri" w:hAnsi="Calibri"/>
          <w:b/>
          <w:bCs/>
          <w:color w:val="1B4F8A"/>
          <w:sz w:val="19"/>
          <w:szCs w:val="19"/>
        </w:rPr>
        <w:t xml:space="preserve">Generation approach</w:t>
      </w:r>
    </w:p>
    <w:p>
      <w:pPr>
        <w:spacing w:after="120" w:before="60" w:line="288"/>
      </w:pPr>
      <w:r>
        <w:rPr>
          <w:rFonts w:ascii="Calibri" w:cs="Calibri" w:eastAsia="Calibri" w:hAnsi="Calibri"/>
          <w:color w:val="1A1A1A"/>
          <w:sz w:val="21"/>
          <w:szCs w:val="21"/>
        </w:rPr>
        <w:t xml:space="preserve">Sample a patient from a generative process rather than a fixed template. Each patient gets a latent condition set drawn from a co-occurrence-aware distribution — hypertension co-occurs with type 2 diabetes at realistic rates — and conditions generate findings over time through condition-specific trajectories. Comorbidities emerge from the model rather than being hard-coded per patient, which is exactly what makes the planted findings non-obvious.</w:t>
      </w:r>
    </w:p>
    <w:p>
      <w:pPr>
        <w:spacing w:after="60" w:before="140"/>
      </w:pPr>
      <w:r>
        <w:rPr>
          <w:rFonts w:ascii="Calibri" w:cs="Calibri" w:eastAsia="Calibri" w:hAnsi="Calibri"/>
          <w:b/>
          <w:bCs/>
          <w:color w:val="1B4F8A"/>
          <w:sz w:val="19"/>
          <w:szCs w:val="19"/>
        </w:rPr>
        <w:t xml:space="preserve">Realism requirements</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Timestamps that respect clinical logic — labs ordered before resulted, prescriptions before administrations, follow-ups after referrals.</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Reference ranges that vary by analyte, lab, and often by sex and age.</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Unit inconsistency across records — mg/dL and mmol/L for the same analyte, forcing the normalisation layer to earn its keep.</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Plausible free-text notes containing negations, hedges, and abbreviations, because that is what the extraction layer actually faces.</w:t>
      </w:r>
    </w:p>
    <w:p>
      <w:pPr>
        <w:spacing w:after="60" w:before="140"/>
      </w:pPr>
      <w:r>
        <w:rPr>
          <w:rFonts w:ascii="Calibri" w:cs="Calibri" w:eastAsia="Calibri" w:hAnsi="Calibri"/>
          <w:b/>
          <w:bCs/>
          <w:color w:val="1B4F8A"/>
          <w:sz w:val="19"/>
          <w:szCs w:val="19"/>
        </w:rPr>
        <w:t xml:space="preserve">The planted findings</w:t>
      </w:r>
    </w:p>
    <w:p>
      <w:pPr>
        <w:spacing w:after="120" w:before="60" w:line="288"/>
      </w:pPr>
      <w:r>
        <w:rPr>
          <w:rFonts w:ascii="Calibri" w:cs="Calibri" w:eastAsia="Calibri" w:hAnsi="Calibri"/>
          <w:color w:val="1A1A1A"/>
          <w:sz w:val="21"/>
          <w:szCs w:val="21"/>
        </w:rPr>
        <w:t xml:space="preserve">For each generated patient we plant a small number of findings from a fixed catalogue of clinically meaningful patterns, each with a known timestamp, severity, and the exact nodes that evidence it. This is the moat: the answer key exists, so our accuracy is checkable rather than asserted.</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2422"/>
        <w:gridCol w:w="3167"/>
        <w:gridCol w:w="1118"/>
        <w:gridCol w:w="2608"/>
      </w:tblGrid>
      <w:tr>
        <w:trPr>
          <w:tblHeader/>
        </w:trPr>
        <w:tc>
          <w:tcPr>
            <w:tcW w:type="pct" w:w="13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Planted pattern</w:t>
            </w:r>
          </w:p>
        </w:tc>
        <w:tc>
          <w:tcPr>
            <w:tcW w:type="pct" w:w="17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Evidence required</w:t>
            </w:r>
          </w:p>
        </w:tc>
        <w:tc>
          <w:tcPr>
            <w:tcW w:type="pct" w:w="6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Severity</w:t>
            </w:r>
          </w:p>
        </w:tc>
        <w:tc>
          <w:tcPr>
            <w:tcW w:type="pct" w:w="14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Why it matters</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Documented drug–drug interaction</w:t>
            </w:r>
          </w:p>
        </w:tc>
        <w:tc>
          <w:tcPr>
            <w:tcW w:type="pct" w:w="1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Two MedicationOrder nodes, RxNorm codes, overlapping validity dates</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High</w:t>
            </w:r>
          </w:p>
        </w:tc>
        <w:tc>
          <w:tcPr>
            <w:tcW w:type="pct" w:w="14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Catches the classic reconciliation miss</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New allergy contradicting an active prescription</w:t>
            </w:r>
          </w:p>
        </w:tc>
        <w:tc>
          <w:tcPr>
            <w:tcW w:type="pct" w:w="1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Allergy node with supersedes edge to an older Allergy node</w:t>
            </w:r>
          </w:p>
        </w:tc>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Critical</w:t>
            </w:r>
          </w:p>
        </w:tc>
        <w:tc>
          <w:tcPr>
            <w:tcW w:type="pct" w:w="14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Tests supersession and negation handling</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Deteriorating lab trend across serial results</w:t>
            </w:r>
          </w:p>
        </w:tc>
        <w:tc>
          <w:tcPr>
            <w:tcW w:type="pct" w:w="1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≥4 LabResult nodes on one LOINC code, monotonic directional change</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High</w:t>
            </w:r>
          </w:p>
        </w:tc>
        <w:tc>
          <w:tcPr>
            <w:tcW w:type="pct" w:w="14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Impossible to catch from a flat summary</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Missed follow-up interval</w:t>
            </w:r>
          </w:p>
        </w:tc>
        <w:tc>
          <w:tcPr>
            <w:tcW w:type="pct" w:w="1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Referral order with no corresponding encounter after the due date</w:t>
            </w:r>
          </w:p>
        </w:tc>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Medium</w:t>
            </w:r>
          </w:p>
        </w:tc>
        <w:tc>
          <w:tcPr>
            <w:tcW w:type="pct" w:w="14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Tests temporal reasoning, not retrieval</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Unresolved red-flag symptom</w:t>
            </w:r>
          </w:p>
        </w:tc>
        <w:tc>
          <w:tcPr>
            <w:tcW w:type="pct" w:w="1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Structured complaint plus repeated normal results, no follow-up</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High</w:t>
            </w:r>
          </w:p>
        </w:tc>
        <w:tc>
          <w:tcPr>
            <w:tcW w:type="pct" w:w="14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Requires contradiction reasoning across records</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Coding inconsistency across encounters</w:t>
            </w:r>
          </w:p>
        </w:tc>
        <w:tc>
          <w:tcPr>
            <w:tcW w:type="pct" w:w="1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Same condition coded two ways (ICD-10 vs SNOMED)</w:t>
            </w:r>
          </w:p>
        </w:tc>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Low</w:t>
            </w:r>
          </w:p>
        </w:tc>
        <w:tc>
          <w:tcPr>
            <w:tcW w:type="pct" w:w="14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Proves the normalisation layer works</w:t>
            </w:r>
          </w:p>
        </w:tc>
      </w:tr>
    </w:tbl>
    <w:p>
      <w:pPr>
        <w:spacing w:after="60"/>
      </w:pPr>
      <w:r>
        <w:rPr>
          <w:sz w:val="12"/>
          <w:szCs w:val="12"/>
        </w:rPr>
        <w:t xml:space="preserve"/>
      </w:r>
    </w:p>
    <w:tbl>
      <w:tblPr>
        <w:tblW w:type="pct" w:w="5000"/>
        <w:tblBorders>
          <w:top w:val="single" w:color="E8E0CC" w:sz="4"/>
          <w:left w:val="single" w:color="1B4F8A" w:sz="18"/>
          <w:bottom w:val="single" w:color="E8E0CC" w:sz="4"/>
          <w:right w:val="single" w:color="E8E0CC" w:sz="4"/>
          <w:insideH w:val="single" w:color="auto" w:sz="4"/>
          <w:insideV w:val="single" w:color="auto" w:sz="4"/>
        </w:tblBorders>
      </w:tblPr>
      <w:tblGrid>
        <w:gridCol w:w="9314"/>
      </w:tblGrid>
      <w:tr>
        <w:tc>
          <w:tcPr>
            <w:shd w:fill="EEF3F9" w:val="clear"/>
            <w:tcMar>
              <w:top w:type="dxa" w:w="140"/>
              <w:left w:type="dxa" w:w="200"/>
              <w:bottom w:type="dxa" w:w="140"/>
              <w:right w:type="dxa" w:w="200"/>
            </w:tcMar>
          </w:tcPr>
          <w:p>
            <w:pPr>
              <w:spacing w:after="60"/>
            </w:pPr>
            <w:r>
              <w:rPr>
                <w:rFonts w:ascii="Calibri" w:cs="Calibri" w:eastAsia="Calibri" w:hAnsi="Calibri"/>
                <w:b/>
                <w:bCs/>
                <w:color w:val="1B4F8A"/>
                <w:sz w:val="18"/>
                <w:szCs w:val="18"/>
              </w:rPr>
              <w:t xml:space="preserve">CRITICAL DESIGN POINT</w:t>
            </w:r>
          </w:p>
          <w:p>
            <w:pPr>
              <w:spacing w:after="0" w:line="276"/>
            </w:pPr>
            <w:r>
              <w:rPr>
                <w:rFonts w:ascii="Calibri" w:cs="Calibri" w:eastAsia="Calibri" w:hAnsi="Calibri"/>
                <w:color w:val="1A1A1A"/>
                <w:sz w:val="21"/>
                <w:szCs w:val="21"/>
              </w:rPr>
              <w:t xml:space="preserve">Plant findings that are findable only by reasoning across time, not by keyword-matching a single chunk. A drug interaction hiding in two medication rows is a retrieval task. A deteriorating trend across six months of lab results is a reasoning task. Only the second kind separates us from a vector-search demo.</w:t>
            </w:r>
          </w:p>
        </w:tc>
      </w:tr>
    </w:tbl>
    <w:p>
      <w:pPr>
        <w:pStyle w:val="Heading3"/>
        <w:spacing w:after="80" w:before="200"/>
      </w:pPr>
      <w:r>
        <w:rPr>
          <w:rFonts w:ascii="Calibri" w:cs="Calibri" w:eastAsia="Calibri" w:hAnsi="Calibri"/>
          <w:b/>
          <w:bCs/>
          <w:color w:val="1A1A1A"/>
          <w:sz w:val="21"/>
          <w:szCs w:val="21"/>
        </w:rPr>
        <w:t xml:space="preserve">5.3.2 Layer 2 — Ingestion and normalisation</w:t>
      </w:r>
    </w:p>
    <w:p>
      <w:pPr>
        <w:spacing w:after="120" w:before="60" w:line="288"/>
      </w:pPr>
      <w:r>
        <w:rPr>
          <w:rFonts w:ascii="Calibri" w:cs="Calibri" w:eastAsia="Calibri" w:hAnsi="Calibri"/>
          <w:color w:val="1A1A1A"/>
          <w:sz w:val="21"/>
          <w:szCs w:val="21"/>
        </w:rPr>
        <w:t xml:space="preserve">Four sub-stages, each with a measurable failure rate.</w:t>
      </w:r>
    </w:p>
    <w:p>
      <w:pPr>
        <w:spacing w:after="60" w:before="140"/>
      </w:pPr>
      <w:r>
        <w:rPr>
          <w:rFonts w:ascii="Calibri" w:cs="Calibri" w:eastAsia="Calibri" w:hAnsi="Calibri"/>
          <w:b/>
          <w:bCs/>
          <w:color w:val="1B4F8A"/>
          <w:sz w:val="19"/>
          <w:szCs w:val="19"/>
        </w:rPr>
        <w:t xml:space="preserve">Unit normalisation</w:t>
      </w:r>
    </w:p>
    <w:p>
      <w:pPr>
        <w:spacing w:after="120" w:before="60" w:line="288"/>
      </w:pPr>
      <w:r>
        <w:rPr>
          <w:rFonts w:ascii="Calibri" w:cs="Calibri" w:eastAsia="Calibri" w:hAnsi="Calibri"/>
          <w:color w:val="1A1A1A"/>
          <w:sz w:val="21"/>
          <w:szCs w:val="21"/>
        </w:rPr>
        <w:t xml:space="preserve">Canonicalise every quantitative observation to SI units using an explicit unit-conversion table. Reject or flag anything unmappable rather than silently passing it through — a value that cannot be converted is a data-quality event worth surfacing, and silently coercing it is how clinical pipelines quietly lie.</w:t>
      </w:r>
    </w:p>
    <w:p>
      <w:pPr>
        <w:spacing w:after="60" w:before="140"/>
      </w:pPr>
      <w:r>
        <w:rPr>
          <w:rFonts w:ascii="Calibri" w:cs="Calibri" w:eastAsia="Calibri" w:hAnsi="Calibri"/>
          <w:b/>
          <w:bCs/>
          <w:color w:val="1B4F8A"/>
          <w:sz w:val="19"/>
          <w:szCs w:val="19"/>
        </w:rPr>
        <w:t xml:space="preserve">Code mapping</w:t>
      </w:r>
    </w:p>
    <w:p>
      <w:pPr>
        <w:spacing w:after="120" w:before="60" w:line="288"/>
      </w:pPr>
      <w:r>
        <w:rPr>
          <w:rFonts w:ascii="Calibri" w:cs="Calibri" w:eastAsia="Calibri" w:hAnsi="Calibri"/>
          <w:color w:val="1A1A1A"/>
          <w:sz w:val="21"/>
          <w:szCs w:val="21"/>
        </w:rPr>
        <w:t xml:space="preserve">Map free text to codes, not the other way around. Drug names resolved to RxNorm, symptoms to SNOMED CT, conditions to ICD-10 with SNOMED equivalents retained. Retaining both is deliberate: it lets the system detect when the same condition is coded two ways, which is itself one of our planted findings.</w:t>
      </w:r>
    </w:p>
    <w:p>
      <w:pPr>
        <w:spacing w:after="60" w:before="140"/>
      </w:pPr>
      <w:r>
        <w:rPr>
          <w:rFonts w:ascii="Calibri" w:cs="Calibri" w:eastAsia="Calibri" w:hAnsi="Calibri"/>
          <w:b/>
          <w:bCs/>
          <w:color w:val="1B4F8A"/>
          <w:sz w:val="19"/>
          <w:szCs w:val="19"/>
        </w:rPr>
        <w:t xml:space="preserve">Negation and speculation detection</w:t>
      </w:r>
    </w:p>
    <w:tbl>
      <w:tblPr>
        <w:tblW w:type="pct" w:w="5000"/>
        <w:tblBorders>
          <w:top w:val="single" w:color="E2DED4" w:sz="4"/>
          <w:left w:val="single" w:color="E2DED4" w:sz="4"/>
          <w:bottom w:val="single" w:color="E2DED4" w:sz="4"/>
          <w:right w:val="single" w:color="E2DED4" w:sz="4"/>
          <w:insideH w:val="single" w:color="auto" w:sz="4"/>
          <w:insideV w:val="single" w:color="auto" w:sz="4"/>
        </w:tblBorders>
      </w:tblPr>
      <w:tblGrid>
        <w:gridCol w:w="9314"/>
      </w:tblGrid>
      <w:tr>
        <w:tc>
          <w:tcPr>
            <w:shd w:fill="F4F2EC" w:val="clear"/>
            <w:tcMar>
              <w:top w:type="dxa" w:w="140"/>
              <w:left w:type="dxa" w:w="180"/>
              <w:bottom w:type="dxa" w:w="140"/>
              <w:right w:type="dxa" w:w="180"/>
            </w:tcMar>
          </w:tcPr>
          <w:p>
            <w:pPr>
              <w:spacing w:after="20" w:before="0" w:line="240"/>
            </w:pPr>
            <w:r>
              <w:rPr>
                <w:rFonts w:ascii="Consolas" w:cs="Consolas" w:eastAsia="Consolas" w:hAnsi="Consolas"/>
                <w:color w:val="2E2E2E"/>
                <w:sz w:val="17"/>
                <w:szCs w:val="17"/>
              </w:rPr>
              <w:t xml:space="preserve">Input:  "Patient denies chest pain. No evidence of PE. Possible small effusion.</w:t>
            </w:r>
          </w:p>
          <w:p>
            <w:pPr>
              <w:spacing w:after="20" w:before="0" w:line="240"/>
            </w:pPr>
            <w:r>
              <w:rPr>
                <w:rFonts w:ascii="Consolas" w:cs="Consolas" w:eastAsia="Consolas" w:hAnsi="Consolas"/>
                <w:color w:val="2E2E2E"/>
                <w:sz w:val="17"/>
                <w:szCs w:val="17"/>
              </w:rPr>
              <w:t xml:space="preserve">         Considering further imaging if O2 sat drops."</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Output: symptom.chest_pain     = ABSENT     (negated)</w:t>
            </w:r>
          </w:p>
          <w:p>
            <w:pPr>
              <w:spacing w:after="20" w:before="0" w:line="240"/>
            </w:pPr>
            <w:r>
              <w:rPr>
                <w:rFonts w:ascii="Consolas" w:cs="Consolas" w:eastAsia="Consolas" w:hAnsi="Consolas"/>
                <w:color w:val="2E2E2E"/>
                <w:sz w:val="17"/>
                <w:szCs w:val="17"/>
              </w:rPr>
              <w:t xml:space="preserve">        condition.PE          = NOT_FOUND  (negated)</w:t>
            </w:r>
          </w:p>
          <w:p>
            <w:pPr>
              <w:spacing w:after="20" w:before="0" w:line="240"/>
            </w:pPr>
            <w:r>
              <w:rPr>
                <w:rFonts w:ascii="Consolas" w:cs="Consolas" w:eastAsia="Consolas" w:hAnsi="Consolas"/>
                <w:color w:val="2E2E2E"/>
                <w:sz w:val="17"/>
                <w:szCs w:val="17"/>
              </w:rPr>
              <w:t xml:space="preserve">        finding.effusion      = SUSPECTED  (speculative, not confirmed)</w:t>
            </w:r>
          </w:p>
          <w:p>
            <w:pPr>
              <w:spacing w:after="20" w:before="0" w:line="240"/>
            </w:pPr>
            <w:r>
              <w:rPr>
                <w:rFonts w:ascii="Consolas" w:cs="Consolas" w:eastAsia="Consolas" w:hAnsi="Consolas"/>
                <w:color w:val="2E2E2E"/>
                <w:sz w:val="17"/>
                <w:szCs w:val="17"/>
              </w:rPr>
              <w:t xml:space="preserve">        plan.imaging          = CONDITIONAL (trigger: O2 sat drop)</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Rule: only ASSERTED findings may support a generated claim.</w:t>
            </w:r>
          </w:p>
          <w:p>
            <w:pPr>
              <w:spacing w:after="20" w:before="0" w:line="240"/>
            </w:pPr>
            <w:r>
              <w:rPr>
                <w:rFonts w:ascii="Consolas" w:cs="Consolas" w:eastAsia="Consolas" w:hAnsi="Consolas"/>
                <w:color w:val="2E2E2E"/>
                <w:sz w:val="17"/>
                <w:szCs w:val="17"/>
              </w:rPr>
              <w:t xml:space="preserve">      Negated and speculative nodes are retrievable but</w:t>
            </w:r>
          </w:p>
          <w:p>
            <w:pPr>
              <w:spacing w:after="20" w:before="0" w:line="240"/>
            </w:pPr>
            <w:r>
              <w:rPr>
                <w:rFonts w:ascii="Consolas" w:cs="Consolas" w:eastAsia="Consolas" w:hAnsi="Consolas"/>
                <w:color w:val="2E2E2E"/>
                <w:sz w:val="17"/>
                <w:szCs w:val="17"/>
              </w:rPr>
              <w:t xml:space="preserve">      can never be cited as positive evidence.</w:t>
            </w:r>
          </w:p>
        </w:tc>
      </w:tr>
    </w:tbl>
    <w:p>
      <w:pPr>
        <w:spacing w:after="120" w:before="60" w:line="288"/>
      </w:pPr>
      <w:r>
        <w:rPr>
          <w:rFonts w:ascii="Calibri" w:cs="Calibri" w:eastAsia="Calibri" w:hAnsi="Calibri"/>
          <w:color w:val="1A1A1A"/>
          <w:sz w:val="21"/>
          <w:szCs w:val="21"/>
        </w:rPr>
        <w:t xml:space="preserve">This is not a detail. A pipeline that cannot distinguish "denies" from "has" is worse than no pipeline, because it produces confident errors. Demonstrating we handle it is a strong signal to any judge with clinical literacy.</w:t>
      </w:r>
    </w:p>
    <w:p>
      <w:pPr>
        <w:pStyle w:val="Heading3"/>
        <w:spacing w:after="80" w:before="200"/>
      </w:pPr>
      <w:r>
        <w:rPr>
          <w:rFonts w:ascii="Calibri" w:cs="Calibri" w:eastAsia="Calibri" w:hAnsi="Calibri"/>
          <w:b/>
          <w:bCs/>
          <w:color w:val="1A1A1A"/>
          <w:sz w:val="21"/>
          <w:szCs w:val="21"/>
        </w:rPr>
        <w:t xml:space="preserve">5.3.3 Layer 3 — Patient entity resolution</w:t>
      </w:r>
    </w:p>
    <w:p>
      <w:pPr>
        <w:spacing w:after="120" w:before="60" w:line="288"/>
      </w:pPr>
      <w:r>
        <w:rPr>
          <w:rFonts w:ascii="Calibri" w:cs="Calibri" w:eastAsia="Calibri" w:hAnsi="Calibri"/>
          <w:color w:val="1A1A1A"/>
          <w:sz w:val="21"/>
          <w:szCs w:val="21"/>
        </w:rPr>
        <w:t xml:space="preserve">The same human appears under different names, dates of birth, and MRNs across systems. Merging them wrongly is dangerous; failing to merge them makes the timeline incomplete and hides findings. Both failure modes matter, so we measure both.</w:t>
      </w:r>
    </w:p>
    <w:tbl>
      <w:tblPr>
        <w:tblW w:type="pct" w:w="5000"/>
        <w:tblBorders>
          <w:top w:val="single" w:color="E2DED4" w:sz="4"/>
          <w:left w:val="single" w:color="E2DED4" w:sz="4"/>
          <w:bottom w:val="single" w:color="E2DED4" w:sz="4"/>
          <w:right w:val="single" w:color="E2DED4" w:sz="4"/>
          <w:insideH w:val="single" w:color="auto" w:sz="4"/>
          <w:insideV w:val="single" w:color="auto" w:sz="4"/>
        </w:tblBorders>
      </w:tblPr>
      <w:tblGrid>
        <w:gridCol w:w="9314"/>
      </w:tblGrid>
      <w:tr>
        <w:tc>
          <w:tcPr>
            <w:shd w:fill="F4F2EC" w:val="clear"/>
            <w:tcMar>
              <w:top w:type="dxa" w:w="140"/>
              <w:left w:type="dxa" w:w="180"/>
              <w:bottom w:type="dxa" w:w="140"/>
              <w:right w:type="dxa" w:w="180"/>
            </w:tcMar>
          </w:tcPr>
          <w:p>
            <w:pPr>
              <w:spacing w:after="20" w:before="0" w:line="240"/>
            </w:pPr>
            <w:r>
              <w:rPr>
                <w:rFonts w:ascii="Consolas" w:cs="Consolas" w:eastAsia="Consolas" w:hAnsi="Consolas"/>
                <w:color w:val="2E2E2E"/>
                <w:sz w:val="17"/>
                <w:szCs w:val="17"/>
              </w:rPr>
              <w:t xml:space="preserve">BLOCKING   key ∈ { (dob, sex), mrn, phone_hash, address_hash }</w:t>
            </w:r>
          </w:p>
          <w:p>
            <w:pPr>
              <w:spacing w:after="20" w:before="0" w:line="240"/>
            </w:pPr>
            <w:r>
              <w:rPr>
                <w:rFonts w:ascii="Consolas" w:cs="Consolas" w:eastAsia="Consolas" w:hAnsi="Consolas"/>
                <w:color w:val="2E2E2E"/>
                <w:sz w:val="17"/>
                <w:szCs w:val="17"/>
              </w:rPr>
              <w:t xml:space="preserve">            → reduces O(n²) to a manageable candidate set</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PAIRWISE   name_jaro_winkler   weight 0.30   (Metaphone-normalised)</w:t>
            </w:r>
          </w:p>
          <w:p>
            <w:pPr>
              <w:spacing w:after="20" w:before="0" w:line="240"/>
            </w:pPr>
            <w:r>
              <w:rPr>
                <w:rFonts w:ascii="Consolas" w:cs="Consolas" w:eastAsia="Consolas" w:hAnsi="Consolas"/>
                <w:color w:val="2E2E2E"/>
                <w:sz w:val="17"/>
                <w:szCs w:val="17"/>
              </w:rPr>
              <w:t xml:space="preserve">           dob_string_lev      weight 0.25   (handles 01/02 vs 02/01)</w:t>
            </w:r>
          </w:p>
          <w:p>
            <w:pPr>
              <w:spacing w:after="20" w:before="0" w:line="240"/>
            </w:pPr>
            <w:r>
              <w:rPr>
                <w:rFonts w:ascii="Consolas" w:cs="Consolas" w:eastAsia="Consolas" w:hAnsi="Consolas"/>
                <w:color w:val="2E2E2E"/>
                <w:sz w:val="17"/>
                <w:szCs w:val="17"/>
              </w:rPr>
              <w:t xml:space="preserve">           sex_match           weight 0.05</w:t>
            </w:r>
          </w:p>
          <w:p>
            <w:pPr>
              <w:spacing w:after="20" w:before="0" w:line="240"/>
            </w:pPr>
            <w:r>
              <w:rPr>
                <w:rFonts w:ascii="Consolas" w:cs="Consolas" w:eastAsia="Consolas" w:hAnsi="Consolas"/>
                <w:color w:val="2E2E2E"/>
                <w:sz w:val="17"/>
                <w:szCs w:val="17"/>
              </w:rPr>
              <w:t xml:space="preserve">           address_jaro        weight 0.20</w:t>
            </w:r>
          </w:p>
          <w:p>
            <w:pPr>
              <w:spacing w:after="20" w:before="0" w:line="240"/>
            </w:pPr>
            <w:r>
              <w:rPr>
                <w:rFonts w:ascii="Consolas" w:cs="Consolas" w:eastAsia="Consolas" w:hAnsi="Consolas"/>
                <w:color w:val="2E2E2E"/>
                <w:sz w:val="17"/>
                <w:szCs w:val="17"/>
              </w:rPr>
              <w:t xml:space="preserve">           mrn_match           weight 0.20   (auto-positive if present)</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SCORE      logistic( Σ wᵢfᵢ , bias )   → P(same patient)</w:t>
            </w:r>
          </w:p>
          <w:p>
            <w:pPr>
              <w:spacing w:after="20" w:before="0" w:line="240"/>
            </w:pPr>
            <w:r>
              <w:rPr>
                <w:rFonts w:ascii="Consolas" w:cs="Consolas" w:eastAsia="Consolas" w:hAnsi="Consolas"/>
                <w:color w:val="2E2E2E"/>
                <w:sz w:val="17"/>
                <w:szCs w:val="17"/>
              </w:rPr>
              <w:t xml:space="preserve">DECIDE     threshold τ = 0.85, tuned on labelled pairs</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REPORTED   pairwise precision / recall / F1 at τ</w:t>
            </w:r>
          </w:p>
          <w:p>
            <w:pPr>
              <w:spacing w:after="20" w:before="0" w:line="240"/>
            </w:pPr>
            <w:r>
              <w:rPr>
                <w:rFonts w:ascii="Consolas" w:cs="Consolas" w:eastAsia="Consolas" w:hAnsi="Consolas"/>
                <w:color w:val="2E2E2E"/>
                <w:sz w:val="17"/>
                <w:szCs w:val="17"/>
              </w:rPr>
              <w:t xml:space="preserve">           manual merge rate on the generated cohort</w:t>
            </w:r>
          </w:p>
        </w:tc>
      </w:tr>
    </w:tbl>
    <w:p>
      <w:pPr>
        <w:spacing w:after="120" w:before="60" w:line="288"/>
      </w:pPr>
      <w:r>
        <w:rPr>
          <w:rFonts w:ascii="Calibri" w:cs="Calibri" w:eastAsia="Calibri" w:hAnsi="Calibri"/>
          <w:color w:val="1A1A1A"/>
          <w:sz w:val="21"/>
          <w:szCs w:val="21"/>
        </w:rPr>
        <w:t xml:space="preserve">Use a deterministic rule for the automatic path so the demo is reproducible, and keep the scored path available as an upgrade. Judges need to trust the merge; they will not audit a threshold.</w:t>
      </w:r>
    </w:p>
    <w:p>
      <w:pPr>
        <w:pStyle w:val="Heading3"/>
        <w:spacing w:after="80" w:before="200"/>
      </w:pPr>
      <w:r>
        <w:rPr>
          <w:rFonts w:ascii="Calibri" w:cs="Calibri" w:eastAsia="Calibri" w:hAnsi="Calibri"/>
          <w:b/>
          <w:bCs/>
          <w:color w:val="1A1A1A"/>
          <w:sz w:val="21"/>
          <w:szCs w:val="21"/>
        </w:rPr>
        <w:t xml:space="preserve">5.3.4 Layer 4 — Temporal clinical graph</w:t>
      </w:r>
    </w:p>
    <w:p>
      <w:pPr>
        <w:spacing w:after="120" w:before="60" w:line="288"/>
      </w:pPr>
      <w:r>
        <w:rPr>
          <w:rFonts w:ascii="Calibri" w:cs="Calibri" w:eastAsia="Calibri" w:hAnsi="Calibri"/>
          <w:color w:val="1A1A1A"/>
          <w:sz w:val="21"/>
          <w:szCs w:val="21"/>
        </w:rPr>
        <w:t xml:space="preserve">This is the layer that makes the project defensible, and the one a flat vector-RAG architecture cannot replicate. Every node is time-stamped; every edge is typed. The graph is the answer to questions that flat retrieval structurally cannot answer.</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2049"/>
        <w:gridCol w:w="3912"/>
        <w:gridCol w:w="3353"/>
      </w:tblGrid>
      <w:tr>
        <w:trPr>
          <w:tblHeader/>
        </w:trPr>
        <w:tc>
          <w:tcPr>
            <w:tcW w:type="pct" w:w="11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Node type</w:t>
            </w:r>
          </w:p>
        </w:tc>
        <w:tc>
          <w:tcPr>
            <w:tcW w:type="pct" w:w="21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Key attributes</w:t>
            </w:r>
          </w:p>
        </w:tc>
        <w:tc>
          <w:tcPr>
            <w:tcW w:type="pct" w:w="18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Typical edges</w:t>
            </w:r>
          </w:p>
        </w:tc>
      </w:tr>
      <w:tr>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Encounter</w:t>
            </w:r>
          </w:p>
        </w:tc>
        <w:tc>
          <w:tcPr>
            <w:tcW w:type="pct" w:w="2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id, type, start, end, facility</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contains, precedes</w:t>
            </w:r>
          </w:p>
        </w:tc>
      </w:tr>
      <w:tr>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Diagnosis</w:t>
            </w:r>
          </w:p>
        </w:tc>
        <w:tc>
          <w:tcPr>
            <w:tcW w:type="pct" w:w="2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id, code (ICD-10), snomed, onset, asserted_by</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diagnosed_during, supersedes, co_occurs_with</w:t>
            </w:r>
          </w:p>
        </w:tc>
      </w:tr>
      <w:tr>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LabResult</w:t>
            </w:r>
          </w:p>
        </w:tc>
        <w:tc>
          <w:tcPr>
            <w:tcW w:type="pct" w:w="2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id, loinc, value, unit, ref_low, ref_high, observed_at</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resulted_from, precedes, contradicts</w:t>
            </w:r>
          </w:p>
        </w:tc>
      </w:tr>
      <w:tr>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MedicationOrder</w:t>
            </w:r>
          </w:p>
        </w:tc>
        <w:tc>
          <w:tcPr>
            <w:tcW w:type="pct" w:w="2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id, rxnorm, dose, route, start, end, status</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ordered_during, contraindicated_with, precedes</w:t>
            </w:r>
          </w:p>
        </w:tc>
      </w:tr>
      <w:tr>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Allergy</w:t>
            </w:r>
          </w:p>
        </w:tc>
        <w:tc>
          <w:tcPr>
            <w:tcW w:type="pct" w:w="2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id, rxnorm, reaction, severity, recorded_at</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supersedes, contraindicated_with</w:t>
            </w:r>
          </w:p>
        </w:tc>
      </w:tr>
      <w:tr>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ImagingStudy</w:t>
            </w:r>
          </w:p>
        </w:tc>
        <w:tc>
          <w:tcPr>
            <w:tcW w:type="pct" w:w="2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id, modality, body_site, reported_at, narrative</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performed_during, contradicts</w:t>
            </w:r>
          </w:p>
        </w:tc>
      </w:tr>
      <w:tr>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VitalSeries</w:t>
            </w:r>
          </w:p>
        </w:tc>
        <w:tc>
          <w:tcPr>
            <w:tcW w:type="pct" w:w="2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id, code, points[(t, value)], window</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observed_during, trend_of</w:t>
            </w:r>
          </w:p>
        </w:tc>
      </w:tr>
    </w:tbl>
    <w:p>
      <w:pPr>
        <w:spacing w:after="60"/>
      </w:pPr>
      <w:r>
        <w:rPr>
          <w:sz w:val="12"/>
          <w:szCs w:val="12"/>
        </w:rPr>
        <w:t xml:space="preserve"/>
      </w:r>
    </w:p>
    <w:p>
      <w:pPr>
        <w:spacing w:after="60" w:before="140"/>
      </w:pPr>
      <w:r>
        <w:rPr>
          <w:rFonts w:ascii="Calibri" w:cs="Calibri" w:eastAsia="Calibri" w:hAnsi="Calibri"/>
          <w:b/>
          <w:bCs/>
          <w:color w:val="1B4F8A"/>
          <w:sz w:val="19"/>
          <w:szCs w:val="19"/>
        </w:rPr>
        <w:t xml:space="preserve">The four questions flat retrieval cannot answer</w:t>
      </w:r>
    </w:p>
    <w:p>
      <w:pPr>
        <w:pStyle w:val="ListParagraph"/>
        <w:numPr>
          <w:ilvl w:val="0"/>
          <w:numId w:val="2"/>
        </w:numPr>
        <w:spacing w:after="60" w:before="30" w:line="276"/>
      </w:pPr>
      <w:r>
        <w:rPr>
          <w:rFonts w:ascii="Calibri" w:cs="Calibri" w:eastAsia="Calibri" w:hAnsi="Calibri"/>
          <w:b/>
          <w:bCs/>
          <w:color w:val="1A1A1A"/>
          <w:sz w:val="21"/>
          <w:szCs w:val="21"/>
        </w:rPr>
        <w:t xml:space="preserve">"What changed since the last visit?" </w:t>
      </w:r>
      <w:r>
        <w:rPr>
          <w:rFonts w:ascii="Calibri" w:cs="Calibri" w:eastAsia="Calibri" w:hAnsi="Calibri"/>
          <w:color w:val="1A1A1A"/>
          <w:sz w:val="21"/>
          <w:szCs w:val="21"/>
        </w:rPr>
        <w:t xml:space="preserve">— a temporal join across encounters, not a similarity search.</w:t>
      </w:r>
    </w:p>
    <w:p>
      <w:pPr>
        <w:pStyle w:val="ListParagraph"/>
        <w:numPr>
          <w:ilvl w:val="0"/>
          <w:numId w:val="2"/>
        </w:numPr>
        <w:spacing w:after="60" w:before="30" w:line="276"/>
      </w:pPr>
      <w:r>
        <w:rPr>
          <w:rFonts w:ascii="Calibri" w:cs="Calibri" w:eastAsia="Calibri" w:hAnsi="Calibri"/>
          <w:b/>
          <w:bCs/>
          <w:color w:val="1A1A1A"/>
          <w:sz w:val="21"/>
          <w:szCs w:val="21"/>
        </w:rPr>
        <w:t xml:space="preserve">"Was this already known?" </w:t>
      </w:r>
      <w:r>
        <w:rPr>
          <w:rFonts w:ascii="Calibri" w:cs="Calibri" w:eastAsia="Calibri" w:hAnsi="Calibri"/>
          <w:color w:val="1A1A1A"/>
          <w:sz w:val="21"/>
          <w:szCs w:val="21"/>
        </w:rPr>
        <w:t xml:space="preserve">— supersession and assertion-time reasoning.</w:t>
      </w:r>
    </w:p>
    <w:p>
      <w:pPr>
        <w:pStyle w:val="ListParagraph"/>
        <w:numPr>
          <w:ilvl w:val="0"/>
          <w:numId w:val="2"/>
        </w:numPr>
        <w:spacing w:after="60" w:before="30" w:line="276"/>
      </w:pPr>
      <w:r>
        <w:rPr>
          <w:rFonts w:ascii="Calibri" w:cs="Calibri" w:eastAsia="Calibri" w:hAnsi="Calibri"/>
          <w:b/>
          <w:bCs/>
          <w:color w:val="1A1A1A"/>
          <w:sz w:val="21"/>
          <w:szCs w:val="21"/>
        </w:rPr>
        <w:t xml:space="preserve">"What is the trajectory of creatinine over 18 months?" </w:t>
      </w:r>
      <w:r>
        <w:rPr>
          <w:rFonts w:ascii="Calibri" w:cs="Calibri" w:eastAsia="Calibri" w:hAnsi="Calibri"/>
          <w:color w:val="1A1A1A"/>
          <w:sz w:val="21"/>
          <w:szCs w:val="21"/>
        </w:rPr>
        <w:t xml:space="preserve">— a series query over one coded analyte across nodes.</w:t>
      </w:r>
    </w:p>
    <w:p>
      <w:pPr>
        <w:pStyle w:val="ListParagraph"/>
        <w:numPr>
          <w:ilvl w:val="0"/>
          <w:numId w:val="2"/>
        </w:numPr>
        <w:spacing w:after="60" w:before="30" w:line="276"/>
      </w:pPr>
      <w:r>
        <w:rPr>
          <w:rFonts w:ascii="Calibri" w:cs="Calibri" w:eastAsia="Calibri" w:hAnsi="Calibri"/>
          <w:b/>
          <w:bCs/>
          <w:color w:val="1A1A1A"/>
          <w:sz w:val="21"/>
          <w:szCs w:val="21"/>
        </w:rPr>
        <w:t xml:space="preserve">"Which diagnoses have no corresponding follow-up?" </w:t>
      </w:r>
      <w:r>
        <w:rPr>
          <w:rFonts w:ascii="Calibri" w:cs="Calibri" w:eastAsia="Calibri" w:hAnsi="Calibri"/>
          <w:color w:val="1A1A1A"/>
          <w:sz w:val="21"/>
          <w:szCs w:val="21"/>
        </w:rPr>
        <w:t xml:space="preserve">— an anti-join in time. Genuinely impossible over document chunks.</w:t>
      </w:r>
    </w:p>
    <w:tbl>
      <w:tblPr>
        <w:tblW w:type="pct" w:w="5000"/>
        <w:tblBorders>
          <w:top w:val="single" w:color="E8E0CC" w:sz="4"/>
          <w:left w:val="single" w:color="1B4F8A" w:sz="18"/>
          <w:bottom w:val="single" w:color="E8E0CC" w:sz="4"/>
          <w:right w:val="single" w:color="E8E0CC" w:sz="4"/>
          <w:insideH w:val="single" w:color="auto" w:sz="4"/>
          <w:insideV w:val="single" w:color="auto" w:sz="4"/>
        </w:tblBorders>
      </w:tblPr>
      <w:tblGrid>
        <w:gridCol w:w="9314"/>
      </w:tblGrid>
      <w:tr>
        <w:tc>
          <w:tcPr>
            <w:shd w:fill="EEF3F9" w:val="clear"/>
            <w:tcMar>
              <w:top w:type="dxa" w:w="140"/>
              <w:left w:type="dxa" w:w="200"/>
              <w:bottom w:type="dxa" w:w="140"/>
              <w:right w:type="dxa" w:w="200"/>
            </w:tcMar>
          </w:tcPr>
          <w:p>
            <w:pPr>
              <w:spacing w:after="60"/>
            </w:pPr>
            <w:r>
              <w:rPr>
                <w:rFonts w:ascii="Calibri" w:cs="Calibri" w:eastAsia="Calibri" w:hAnsi="Calibri"/>
                <w:b/>
                <w:bCs/>
                <w:color w:val="1B4F8A"/>
                <w:sz w:val="18"/>
                <w:szCs w:val="18"/>
              </w:rPr>
              <w:t xml:space="preserve">THIS IS THE LAYER TO TALK ABOUT ON STAGE</w:t>
            </w:r>
          </w:p>
          <w:p>
            <w:pPr>
              <w:spacing w:after="0" w:line="276"/>
            </w:pPr>
            <w:r>
              <w:rPr>
                <w:rFonts w:ascii="Calibri" w:cs="Calibri" w:eastAsia="Calibri" w:hAnsi="Calibri"/>
                <w:color w:val="1A1A1A"/>
                <w:sz w:val="21"/>
                <w:szCs w:val="21"/>
              </w:rPr>
              <w:t xml:space="preserve">If we only get one technical idea across in three minutes, it is this: "we do not retrieve documents, we query a temporal clinical graph." It immediately signals that the project is not a wrapper, and it is the reason our answers are citable when a chunk-based system's are not.</w:t>
            </w:r>
          </w:p>
        </w:tc>
      </w:tr>
    </w:tbl>
    <w:p>
      <w:r>
        <w:br w:type="page"/>
      </w:r>
    </w:p>
    <w:p>
      <w:pPr>
        <w:pStyle w:val="Heading3"/>
        <w:spacing w:after="80" w:before="200"/>
      </w:pPr>
      <w:r>
        <w:rPr>
          <w:rFonts w:ascii="Calibri" w:cs="Calibri" w:eastAsia="Calibri" w:hAnsi="Calibri"/>
          <w:b/>
          <w:bCs/>
          <w:color w:val="1A1A1A"/>
          <w:sz w:val="21"/>
          <w:szCs w:val="21"/>
        </w:rPr>
        <w:t xml:space="preserve">5.3.5 Layer 5 — Structured temporal retrieval</w:t>
      </w:r>
    </w:p>
    <w:p>
      <w:pPr>
        <w:spacing w:after="120" w:before="60" w:line="288"/>
      </w:pPr>
      <w:r>
        <w:rPr>
          <w:rFonts w:ascii="Calibri" w:cs="Calibri" w:eastAsia="Calibri" w:hAnsi="Calibri"/>
          <w:color w:val="1A1A1A"/>
          <w:sz w:val="21"/>
          <w:szCs w:val="21"/>
        </w:rPr>
        <w:t xml:space="preserve">A two-stage planner. Stage one decomposes the question into structured predicates and executes graph traversals. Stage two runs semantic search confined to the resulting subgraph. Semantic search alone is never given the whole corpus, because unconstrained similarity retrieval over clinical notes is precisely what produces confidently wrong answers.</w:t>
      </w:r>
    </w:p>
    <w:tbl>
      <w:tblPr>
        <w:tblW w:type="pct" w:w="5000"/>
        <w:tblBorders>
          <w:top w:val="single" w:color="E2DED4" w:sz="4"/>
          <w:left w:val="single" w:color="E2DED4" w:sz="4"/>
          <w:bottom w:val="single" w:color="E2DED4" w:sz="4"/>
          <w:right w:val="single" w:color="E2DED4" w:sz="4"/>
          <w:insideH w:val="single" w:color="auto" w:sz="4"/>
          <w:insideV w:val="single" w:color="auto" w:sz="4"/>
        </w:tblBorders>
      </w:tblPr>
      <w:tblGrid>
        <w:gridCol w:w="9314"/>
      </w:tblGrid>
      <w:tr>
        <w:tc>
          <w:tcPr>
            <w:shd w:fill="F4F2EC" w:val="clear"/>
            <w:tcMar>
              <w:top w:type="dxa" w:w="140"/>
              <w:left w:type="dxa" w:w="180"/>
              <w:bottom w:type="dxa" w:w="140"/>
              <w:right w:type="dxa" w:w="180"/>
            </w:tcMar>
          </w:tcPr>
          <w:p>
            <w:pPr>
              <w:spacing w:after="20" w:before="0" w:line="240"/>
            </w:pPr>
            <w:r>
              <w:rPr>
                <w:rFonts w:ascii="Consolas" w:cs="Consolas" w:eastAsia="Consolas" w:hAnsi="Consolas"/>
                <w:color w:val="2E2E2E"/>
                <w:sz w:val="17"/>
                <w:szCs w:val="17"/>
              </w:rPr>
              <w:t xml:space="preserve">QUERY:  "Is there any sign the kidney function is worsening?"</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PLAN   {</w:t>
            </w:r>
          </w:p>
          <w:p>
            <w:pPr>
              <w:spacing w:after="20" w:before="0" w:line="240"/>
            </w:pPr>
            <w:r>
              <w:rPr>
                <w:rFonts w:ascii="Consolas" w:cs="Consolas" w:eastAsia="Consolas" w:hAnsi="Consolas"/>
                <w:color w:val="2E2E2E"/>
                <w:sz w:val="17"/>
                <w:szCs w:val="17"/>
              </w:rPr>
              <w:t xml:space="preserve">   entity:   { organ_system: renal }</w:t>
            </w:r>
          </w:p>
          <w:p>
            <w:pPr>
              <w:spacing w:after="20" w:before="0" w:line="240"/>
            </w:pPr>
            <w:r>
              <w:rPr>
                <w:rFonts w:ascii="Consolas" w:cs="Consolas" w:eastAsia="Consolas" w:hAnsi="Consolas"/>
                <w:color w:val="2E2E2E"/>
                <w:sz w:val="17"/>
                <w:szCs w:val="17"/>
              </w:rPr>
              <w:t xml:space="preserve">   analyte:  [LOINC 2160-0 creatinine,</w:t>
            </w:r>
          </w:p>
          <w:p>
            <w:pPr>
              <w:spacing w:after="20" w:before="0" w:line="240"/>
            </w:pPr>
            <w:r>
              <w:rPr>
                <w:rFonts w:ascii="Consolas" w:cs="Consolas" w:eastAsia="Consolas" w:hAnsi="Consolas"/>
                <w:color w:val="2E2E2E"/>
                <w:sz w:val="17"/>
                <w:szCs w:val="17"/>
              </w:rPr>
              <w:t xml:space="preserve">              LOINC 33914-3 creatinine eGFR]</w:t>
            </w:r>
          </w:p>
          <w:p>
            <w:pPr>
              <w:spacing w:after="20" w:before="0" w:line="240"/>
            </w:pPr>
            <w:r>
              <w:rPr>
                <w:rFonts w:ascii="Consolas" w:cs="Consolas" w:eastAsia="Consolas" w:hAnsi="Consolas"/>
                <w:color w:val="2E2E2E"/>
                <w:sz w:val="17"/>
                <w:szCs w:val="17"/>
              </w:rPr>
              <w:t xml:space="preserve">   relation: trend(monotonic_decline, window=18mo)</w:t>
            </w:r>
          </w:p>
          <w:p>
            <w:pPr>
              <w:spacing w:after="20" w:before="0" w:line="240"/>
            </w:pPr>
            <w:r>
              <w:rPr>
                <w:rFonts w:ascii="Consolas" w:cs="Consolas" w:eastAsia="Consolas" w:hAnsi="Consolas"/>
                <w:color w:val="2E2E2E"/>
                <w:sz w:val="17"/>
                <w:szCs w:val="17"/>
              </w:rPr>
              <w:t xml:space="preserve">   evidence: [LabResult, VitalSign]</w:t>
            </w:r>
          </w:p>
          <w:p>
            <w:pPr>
              <w:spacing w:after="20" w:before="0" w:line="240"/>
            </w:pPr>
            <w:r>
              <w:rPr>
                <w:rFonts w:ascii="Consolas" w:cs="Consolas" w:eastAsia="Consolas" w:hAnsi="Consolas"/>
                <w:color w:val="2E2E2E"/>
                <w:sz w:val="17"/>
                <w:szCs w:val="17"/>
              </w:rPr>
              <w:t xml:space="preserve">   exclude:  [negated, speculative]</w:t>
            </w:r>
          </w:p>
          <w:p>
            <w:pPr>
              <w:spacing w:after="20" w:before="0" w:line="240"/>
            </w:pPr>
            <w:r>
              <w:rPr>
                <w:rFonts w:ascii="Consolas" w:cs="Consolas" w:eastAsia="Consolas" w:hAnsi="Consolas"/>
                <w:color w:val="2E2E2E"/>
                <w:sz w:val="17"/>
                <w:szCs w:val="17"/>
              </w:rPr>
              <w:t xml:space="preserve">}</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EXECUTE  graph.traverse(analyte ∩ window ∩ asserted_only)</w:t>
            </w:r>
          </w:p>
          <w:p>
            <w:pPr>
              <w:spacing w:after="20" w:before="0" w:line="240"/>
            </w:pPr>
            <w:r>
              <w:rPr>
                <w:rFonts w:ascii="Consolas" w:cs="Consolas" w:eastAsia="Consolas" w:hAnsi="Consolas"/>
                <w:color w:val="2E2E2E"/>
                <w:sz w:val="17"/>
                <w:szCs w:val="17"/>
              </w:rPr>
              <w:t xml:space="preserve">          → ordered series, current vs prior encounter</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RANK     recency 0.4 · analyte specificity 0.3 · deviation</w:t>
            </w:r>
          </w:p>
          <w:p>
            <w:pPr>
              <w:spacing w:after="20" w:before="0" w:line="240"/>
            </w:pPr>
            <w:r>
              <w:rPr>
                <w:rFonts w:ascii="Consolas" w:cs="Consolas" w:eastAsia="Consolas" w:hAnsi="Consolas"/>
                <w:color w:val="2E2E2E"/>
                <w:sz w:val="17"/>
                <w:szCs w:val="17"/>
              </w:rPr>
              <w:t xml:space="preserve">          from reference range 0.3</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FALLBACK semantic search INSIDE the returned subgraph only</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OUTPUT   nodes → evidence bundle → generation (Layer 6)</w:t>
            </w:r>
          </w:p>
        </w:tc>
      </w:tr>
    </w:tbl>
    <w:p>
      <w:pPr>
        <w:pStyle w:val="Heading3"/>
        <w:spacing w:after="80" w:before="200"/>
      </w:pPr>
      <w:r>
        <w:rPr>
          <w:rFonts w:ascii="Calibri" w:cs="Calibri" w:eastAsia="Calibri" w:hAnsi="Calibri"/>
          <w:b/>
          <w:bCs/>
          <w:color w:val="1A1A1A"/>
          <w:sz w:val="21"/>
          <w:szCs w:val="21"/>
        </w:rPr>
        <w:t xml:space="preserve">5.3.6 Layer 6 — Verified claim generation (the core)</w:t>
      </w:r>
    </w:p>
    <w:p>
      <w:pPr>
        <w:spacing w:after="120" w:before="60" w:line="288"/>
      </w:pPr>
      <w:r>
        <w:rPr>
          <w:rFonts w:ascii="Calibri" w:cs="Calibri" w:eastAsia="Calibri" w:hAnsi="Calibri"/>
          <w:color w:val="1A1A1A"/>
          <w:sz w:val="21"/>
          <w:szCs w:val="21"/>
        </w:rPr>
        <w:t xml:space="preserve">This is where the pitch lives. Generation without verification is the default failure mode of every other project in the room, and we have made verification structural rather than aspirational.</w:t>
      </w:r>
    </w:p>
    <w:p>
      <w:pPr>
        <w:spacing w:after="60" w:before="140"/>
      </w:pPr>
      <w:r>
        <w:rPr>
          <w:rFonts w:ascii="Calibri" w:cs="Calibri" w:eastAsia="Calibri" w:hAnsi="Calibri"/>
          <w:b/>
          <w:bCs/>
          <w:color w:val="1B4F8A"/>
          <w:sz w:val="19"/>
          <w:szCs w:val="19"/>
        </w:rPr>
        <w:t xml:space="preserve">Stage A — atomic claim emission</w:t>
      </w:r>
    </w:p>
    <w:p>
      <w:pPr>
        <w:spacing w:after="120" w:before="60" w:line="288"/>
      </w:pPr>
      <w:r>
        <w:rPr>
          <w:rFonts w:ascii="Calibri" w:cs="Calibri" w:eastAsia="Calibri" w:hAnsi="Calibri"/>
          <w:color w:val="1A1A1A"/>
          <w:sz w:val="21"/>
          <w:szCs w:val="21"/>
        </w:rPr>
        <w:t xml:space="preserve">The generator is required to emit output as discrete, independently verifiable claims rather than prose. Each claim carries the node IDs it claims to rest on. If it cannot cite a node, it does not get to make the claim.</w:t>
      </w:r>
    </w:p>
    <w:tbl>
      <w:tblPr>
        <w:tblW w:type="pct" w:w="5000"/>
        <w:tblBorders>
          <w:top w:val="single" w:color="E2DED4" w:sz="4"/>
          <w:left w:val="single" w:color="E2DED4" w:sz="4"/>
          <w:bottom w:val="single" w:color="E2DED4" w:sz="4"/>
          <w:right w:val="single" w:color="E2DED4" w:sz="4"/>
          <w:insideH w:val="single" w:color="auto" w:sz="4"/>
          <w:insideV w:val="single" w:color="auto" w:sz="4"/>
        </w:tblBorders>
      </w:tblPr>
      <w:tblGrid>
        <w:gridCol w:w="9314"/>
      </w:tblGrid>
      <w:tr>
        <w:tc>
          <w:tcPr>
            <w:shd w:fill="F4F2EC" w:val="clear"/>
            <w:tcMar>
              <w:top w:type="dxa" w:w="140"/>
              <w:left w:type="dxa" w:w="180"/>
              <w:bottom w:type="dxa" w:w="140"/>
              <w:right w:type="dxa" w:w="180"/>
            </w:tcMar>
          </w:tcPr>
          <w:p>
            <w:pPr>
              <w:spacing w:after="20" w:before="0" w:line="240"/>
            </w:pPr>
            <w:r>
              <w:rPr>
                <w:rFonts w:ascii="Consolas" w:cs="Consolas" w:eastAsia="Consolas" w:hAnsi="Consolas"/>
                <w:color w:val="2E2E2E"/>
                <w:sz w:val="17"/>
                <w:szCs w:val="17"/>
              </w:rPr>
              <w:t xml:space="preserve">{ "claim_id": "c_04",</w:t>
            </w:r>
          </w:p>
          <w:p>
            <w:pPr>
              <w:spacing w:after="20" w:before="0" w:line="240"/>
            </w:pPr>
            <w:r>
              <w:rPr>
                <w:rFonts w:ascii="Consolas" w:cs="Consolas" w:eastAsia="Consolas" w:hAnsi="Consolas"/>
                <w:color w:val="2E2E2E"/>
                <w:sz w:val="17"/>
                <w:szCs w:val="17"/>
              </w:rPr>
              <w:t xml:space="preserve">  "text": "Serum creatinine rose from 0.9 to 1.6 mg/dL between</w:t>
            </w:r>
          </w:p>
          <w:p>
            <w:pPr>
              <w:spacing w:after="20" w:before="0" w:line="240"/>
            </w:pPr>
            <w:r>
              <w:rPr>
                <w:rFonts w:ascii="Consolas" w:cs="Consolas" w:eastAsia="Consolas" w:hAnsi="Consolas"/>
                <w:color w:val="2E2E2E"/>
                <w:sz w:val="17"/>
                <w:szCs w:val="17"/>
              </w:rPr>
              <w:t xml:space="preserve">          the March and September encounters.",</w:t>
            </w:r>
          </w:p>
          <w:p>
            <w:pPr>
              <w:spacing w:after="20" w:before="0" w:line="240"/>
            </w:pPr>
            <w:r>
              <w:rPr>
                <w:rFonts w:ascii="Consolas" w:cs="Consolas" w:eastAsia="Consolas" w:hAnsi="Consolas"/>
                <w:color w:val="2E2E2E"/>
                <w:sz w:val="17"/>
                <w:szCs w:val="17"/>
              </w:rPr>
              <w:t xml:space="preserve">  "cited_nodes": ["lab_8812", "lab_9044"],</w:t>
            </w:r>
          </w:p>
          <w:p>
            <w:pPr>
              <w:spacing w:after="20" w:before="0" w:line="240"/>
            </w:pPr>
            <w:r>
              <w:rPr>
                <w:rFonts w:ascii="Consolas" w:cs="Consolas" w:eastAsia="Consolas" w:hAnsi="Consolas"/>
                <w:color w:val="2E2E2E"/>
                <w:sz w:val="17"/>
                <w:szCs w:val="17"/>
              </w:rPr>
              <w:t xml:space="preserve">  "claim_type": "measurement_trend",</w:t>
            </w:r>
          </w:p>
          <w:p>
            <w:pPr>
              <w:spacing w:after="20" w:before="0" w:line="240"/>
            </w:pPr>
            <w:r>
              <w:rPr>
                <w:rFonts w:ascii="Consolas" w:cs="Consolas" w:eastAsia="Consolas" w:hAnsi="Consolas"/>
                <w:color w:val="2E2E2E"/>
                <w:sz w:val="17"/>
                <w:szCs w:val="17"/>
              </w:rPr>
              <w:t xml:space="preserve">  "confidence_raw": 0.91 }</w:t>
            </w:r>
          </w:p>
        </w:tc>
      </w:tr>
    </w:tbl>
    <w:p>
      <w:pPr>
        <w:spacing w:after="60" w:before="140"/>
      </w:pPr>
      <w:r>
        <w:rPr>
          <w:rFonts w:ascii="Calibri" w:cs="Calibri" w:eastAsia="Calibri" w:hAnsi="Calibri"/>
          <w:b/>
          <w:bCs/>
          <w:color w:val="1B4F8A"/>
          <w:sz w:val="19"/>
          <w:szCs w:val="19"/>
        </w:rPr>
        <w:t xml:space="preserve">Stage B — independent entailment verification</w:t>
      </w:r>
    </w:p>
    <w:p>
      <w:pPr>
        <w:spacing w:after="120" w:before="60" w:line="288"/>
      </w:pPr>
      <w:r>
        <w:rPr>
          <w:rFonts w:ascii="Calibri" w:cs="Calibri" w:eastAsia="Calibri" w:hAnsi="Calibri"/>
          <w:color w:val="1A1A1A"/>
          <w:sz w:val="21"/>
          <w:szCs w:val="21"/>
        </w:rPr>
        <w:t xml:space="preserve">Every emitted claim is checked by a separate verifier that sees only the claim and its cited evidence — not the generator's reasoning, and not the full record. It returns entailment, contradiction, or insufficient. This is deliberately a different call with a different prompt from a different position, because a verifier that sees the generator's rationale inherits its blind spots.</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1863"/>
        <w:gridCol w:w="3726"/>
        <w:gridCol w:w="3726"/>
      </w:tblGrid>
      <w:tr>
        <w:trPr>
          <w:tblHeader/>
        </w:trPr>
        <w:tc>
          <w:tcPr>
            <w:tcW w:type="pct" w:w="10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Verifier verdict</w:t>
            </w:r>
          </w:p>
        </w:tc>
        <w:tc>
          <w:tcPr>
            <w:tcW w:type="pct" w:w="20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System action</w:t>
            </w:r>
          </w:p>
        </w:tc>
        <w:tc>
          <w:tcPr>
            <w:tcW w:type="pct" w:w="20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Clinician sees</w:t>
            </w:r>
          </w:p>
        </w:tc>
      </w:tr>
      <w:tr>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Entailed</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Claim passes</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The claim, with citations</w:t>
            </w:r>
          </w:p>
        </w:tc>
      </w:tr>
      <w:tr>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Contradicted</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Claim removed and logged</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Nothing — unless the contradiction is itself clinically interesting, in which case it is escalated as a data-quality flag</w:t>
            </w:r>
          </w:p>
        </w:tc>
      </w:tr>
      <w:tr>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Insufficient</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Claim downgraded to "unconfirmed" or removed, depending on claim type</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Unconfirmed claims appear explicitly marked, never blended into confirmed text</w:t>
            </w:r>
          </w:p>
        </w:tc>
      </w:tr>
      <w:tr>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Verifier errors</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Retried once, then the claim is suppressed</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Nothing. Suppression is the safe default.</w:t>
            </w:r>
          </w:p>
        </w:tc>
      </w:tr>
    </w:tbl>
    <w:p>
      <w:pPr>
        <w:spacing w:after="60"/>
      </w:pPr>
      <w:r>
        <w:rPr>
          <w:sz w:val="12"/>
          <w:szCs w:val="12"/>
        </w:rPr>
        <w:t xml:space="preserve"/>
      </w:r>
    </w:p>
    <w:tbl>
      <w:tblPr>
        <w:tblW w:type="pct" w:w="5000"/>
        <w:tblBorders>
          <w:top w:val="single" w:color="E8E0CC" w:sz="4"/>
          <w:left w:val="single" w:color="8C1D18" w:sz="18"/>
          <w:bottom w:val="single" w:color="E8E0CC" w:sz="4"/>
          <w:right w:val="single" w:color="E8E0CC" w:sz="4"/>
          <w:insideH w:val="single" w:color="auto" w:sz="4"/>
          <w:insideV w:val="single" w:color="auto" w:sz="4"/>
        </w:tblBorders>
      </w:tblPr>
      <w:tblGrid>
        <w:gridCol w:w="9314"/>
      </w:tblGrid>
      <w:tr>
        <w:tc>
          <w:tcPr>
            <w:shd w:fill="FDF2F0" w:val="clear"/>
            <w:tcMar>
              <w:top w:type="dxa" w:w="140"/>
              <w:left w:type="dxa" w:w="200"/>
              <w:bottom w:type="dxa" w:w="140"/>
              <w:right w:type="dxa" w:w="200"/>
            </w:tcMar>
          </w:tcPr>
          <w:p>
            <w:pPr>
              <w:spacing w:after="60"/>
            </w:pPr>
            <w:r>
              <w:rPr>
                <w:rFonts w:ascii="Calibri" w:cs="Calibri" w:eastAsia="Calibri" w:hAnsi="Calibri"/>
                <w:b/>
                <w:bCs/>
                <w:color w:val="8C1D18"/>
                <w:sz w:val="18"/>
                <w:szCs w:val="18"/>
              </w:rPr>
              <w:t xml:space="preserve">THE RULE THAT MAKES IT TRUSTWORTHY</w:t>
            </w:r>
          </w:p>
          <w:p>
            <w:pPr>
              <w:spacing w:after="0" w:line="276"/>
            </w:pPr>
            <w:r>
              <w:rPr>
                <w:rFonts w:ascii="Calibri" w:cs="Calibri" w:eastAsia="Calibri" w:hAnsi="Calibri"/>
                <w:color w:val="1A1A1A"/>
                <w:sz w:val="21"/>
                <w:szCs w:val="21"/>
              </w:rPr>
              <w:t xml:space="preserve">A claim that cannot be verified does not appear. Not greyed out, not hidden behind a disclosure triangle, not footnoted — absent. In a clinical record system, a plausible-sounding unverified sentence is more dangerous than a missing one, because it reads with the same authority as a verified one.</w:t>
            </w:r>
          </w:p>
        </w:tc>
      </w:tr>
    </w:tbl>
    <w:p>
      <w:pPr>
        <w:spacing w:after="60" w:before="140"/>
      </w:pPr>
      <w:r>
        <w:rPr>
          <w:rFonts w:ascii="Calibri" w:cs="Calibri" w:eastAsia="Calibri" w:hAnsi="Calibri"/>
          <w:b/>
          <w:bCs/>
          <w:color w:val="1B4F8A"/>
          <w:sz w:val="19"/>
          <w:szCs w:val="19"/>
        </w:rPr>
        <w:t xml:space="preserve">Stage C — verifier validation</w:t>
      </w:r>
    </w:p>
    <w:p>
      <w:pPr>
        <w:spacing w:after="120" w:before="60" w:line="288"/>
      </w:pPr>
      <w:r>
        <w:rPr>
          <w:rFonts w:ascii="Calibri" w:cs="Calibri" w:eastAsia="Calibri" w:hAnsi="Calibri"/>
          <w:color w:val="1A1A1A"/>
          <w:sz w:val="21"/>
          <w:szCs w:val="21"/>
        </w:rPr>
        <w:t xml:space="preserve">A verifier is just another model, and shipping one without validating it would repeat the exact error we are criticising. We hand-label a set of claims as entailed / contradicted / insufficient and report the verifier's own accuracy. If our verifier is 88% accurate, we say so, and we report the end-to-end claim error rate with it. Judges will respect that more than any unvalidated claim of reliability.</w:t>
      </w:r>
    </w:p>
    <w:p>
      <w:pPr>
        <w:pStyle w:val="Heading3"/>
        <w:spacing w:after="80" w:before="200"/>
      </w:pPr>
      <w:r>
        <w:rPr>
          <w:rFonts w:ascii="Calibri" w:cs="Calibri" w:eastAsia="Calibri" w:hAnsi="Calibri"/>
          <w:b/>
          <w:bCs/>
          <w:color w:val="1A1A1A"/>
          <w:sz w:val="21"/>
          <w:szCs w:val="21"/>
        </w:rPr>
        <w:t xml:space="preserve">5.3.7 Layer 7 — Calibrated abstention</w:t>
      </w:r>
    </w:p>
    <w:p>
      <w:pPr>
        <w:spacing w:after="120" w:before="60" w:line="288"/>
      </w:pPr>
      <w:r>
        <w:rPr>
          <w:rFonts w:ascii="Calibri" w:cs="Calibri" w:eastAsia="Calibri" w:hAnsi="Calibri"/>
          <w:color w:val="1A1A1A"/>
          <w:sz w:val="21"/>
          <w:szCs w:val="21"/>
        </w:rPr>
        <w:t xml:space="preserve">Abstention is the feature. It is also the easiest thing to fake and the hardest to do well, so it must be calibrated and measured, not hand-waved.</w:t>
      </w:r>
    </w:p>
    <w:tbl>
      <w:tblPr>
        <w:tblW w:type="pct" w:w="5000"/>
        <w:tblBorders>
          <w:top w:val="single" w:color="E2DED4" w:sz="4"/>
          <w:left w:val="single" w:color="E2DED4" w:sz="4"/>
          <w:bottom w:val="single" w:color="E2DED4" w:sz="4"/>
          <w:right w:val="single" w:color="E2DED4" w:sz="4"/>
          <w:insideH w:val="single" w:color="auto" w:sz="4"/>
          <w:insideV w:val="single" w:color="auto" w:sz="4"/>
        </w:tblBorders>
      </w:tblPr>
      <w:tblGrid>
        <w:gridCol w:w="9314"/>
      </w:tblGrid>
      <w:tr>
        <w:tc>
          <w:tcPr>
            <w:shd w:fill="F4F2EC" w:val="clear"/>
            <w:tcMar>
              <w:top w:type="dxa" w:w="140"/>
              <w:left w:type="dxa" w:w="180"/>
              <w:bottom w:type="dxa" w:w="140"/>
              <w:right w:type="dxa" w:w="180"/>
            </w:tcMar>
          </w:tcPr>
          <w:p>
            <w:pPr>
              <w:spacing w:after="20" w:before="0" w:line="240"/>
            </w:pPr>
            <w:r>
              <w:rPr>
                <w:rFonts w:ascii="Consolas" w:cs="Consolas" w:eastAsia="Consolas" w:hAnsi="Consolas"/>
                <w:color w:val="2E2E2E"/>
                <w:sz w:val="17"/>
                <w:szCs w:val="17"/>
              </w:rPr>
              <w:t xml:space="preserve">confidence_raw = w₁·(entailment_margin)</w:t>
            </w:r>
          </w:p>
          <w:p>
            <w:pPr>
              <w:spacing w:after="20" w:before="0" w:line="240"/>
            </w:pPr>
            <w:r>
              <w:rPr>
                <w:rFonts w:ascii="Consolas" w:cs="Consolas" w:eastAsia="Consolas" w:hAnsi="Consolas"/>
                <w:color w:val="2E2E2E"/>
                <w:sz w:val="17"/>
                <w:szCs w:val="17"/>
              </w:rPr>
              <w:t xml:space="preserve">              + w₂·(evidence_coverage)</w:t>
            </w:r>
          </w:p>
          <w:p>
            <w:pPr>
              <w:spacing w:after="20" w:before="0" w:line="240"/>
            </w:pPr>
            <w:r>
              <w:rPr>
                <w:rFonts w:ascii="Consolas" w:cs="Consolas" w:eastAsia="Consolas" w:hAnsi="Consolas"/>
                <w:color w:val="2E2E2E"/>
                <w:sz w:val="17"/>
                <w:szCs w:val="17"/>
              </w:rPr>
              <w:t xml:space="preserve">              + w₃·(temporal_consistency)</w:t>
            </w:r>
          </w:p>
          <w:p>
            <w:pPr>
              <w:spacing w:after="20" w:before="0" w:line="240"/>
            </w:pPr>
            <w:r>
              <w:rPr>
                <w:rFonts w:ascii="Consolas" w:cs="Consolas" w:eastAsia="Consolas" w:hAnsi="Consolas"/>
                <w:color w:val="2E2E2E"/>
                <w:sz w:val="17"/>
                <w:szCs w:val="17"/>
              </w:rPr>
              <w:t xml:space="preserve">              + w₄·(code_specificity)        // conflict-free graph edges</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p = isotonic_calibrate(confidence_raw)      // fitted on held-out set</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τ(claim_type):   medication / allergy  →  0.90   (high bar)</w:t>
            </w:r>
          </w:p>
          <w:p>
            <w:pPr>
              <w:spacing w:after="20" w:before="0" w:line="240"/>
            </w:pPr>
            <w:r>
              <w:rPr>
                <w:rFonts w:ascii="Consolas" w:cs="Consolas" w:eastAsia="Consolas" w:hAnsi="Consolas"/>
                <w:color w:val="2E2E2E"/>
                <w:sz w:val="17"/>
                <w:szCs w:val="17"/>
              </w:rPr>
              <w:t xml:space="preserve">                  diagnosis             →  0.88</w:t>
            </w:r>
          </w:p>
          <w:p>
            <w:pPr>
              <w:spacing w:after="20" w:before="0" w:line="240"/>
            </w:pPr>
            <w:r>
              <w:rPr>
                <w:rFonts w:ascii="Consolas" w:cs="Consolas" w:eastAsia="Consolas" w:hAnsi="Consolas"/>
                <w:color w:val="2E2E2E"/>
                <w:sz w:val="17"/>
                <w:szCs w:val="17"/>
              </w:rPr>
              <w:t xml:space="preserve">                  measurement_trend     →  0.85</w:t>
            </w:r>
          </w:p>
          <w:p>
            <w:pPr>
              <w:spacing w:after="20" w:before="0" w:line="240"/>
            </w:pPr>
            <w:r>
              <w:rPr>
                <w:rFonts w:ascii="Consolas" w:cs="Consolas" w:eastAsia="Consolas" w:hAnsi="Consolas"/>
                <w:color w:val="2E2E2E"/>
                <w:sz w:val="17"/>
                <w:szCs w:val="17"/>
              </w:rPr>
              <w:t xml:space="preserve">                  administrative        →  0.60   (low bar)</w:t>
            </w:r>
          </w:p>
          <w:p>
            <w:pPr>
              <w:spacing w:after="20" w:before="0" w:line="240"/>
            </w:pPr>
            <w:r>
              <w:rPr>
                <w:rFonts w:ascii="Consolas" w:cs="Consolas" w:eastAsia="Consolas" w:hAnsi="Consolas"/>
                <w:color w:val="2E2E2E"/>
                <w:sz w:val="17"/>
                <w:szCs w:val="17"/>
              </w:rPr>
              <w:t xml:space="preserve"/>
            </w:r>
          </w:p>
          <w:p>
            <w:pPr>
              <w:spacing w:after="20" w:before="0" w:line="240"/>
            </w:pPr>
            <w:r>
              <w:rPr>
                <w:rFonts w:ascii="Consolas" w:cs="Consolas" w:eastAsia="Consolas" w:hAnsi="Consolas"/>
                <w:color w:val="2E2E2E"/>
                <w:sz w:val="17"/>
                <w:szCs w:val="17"/>
              </w:rPr>
              <w:t xml:space="preserve">IF p &lt; τ(claim_type):</w:t>
            </w:r>
          </w:p>
          <w:p>
            <w:pPr>
              <w:spacing w:after="20" w:before="0" w:line="240"/>
            </w:pPr>
            <w:r>
              <w:rPr>
                <w:rFonts w:ascii="Consolas" w:cs="Consolas" w:eastAsia="Consolas" w:hAnsi="Consolas"/>
                <w:color w:val="2E2E2E"/>
                <w:sz w:val="17"/>
                <w:szCs w:val="17"/>
              </w:rPr>
              <w:t xml:space="preserve">    ABSTAIN</w:t>
            </w:r>
          </w:p>
          <w:p>
            <w:pPr>
              <w:spacing w:after="20" w:before="0" w:line="240"/>
            </w:pPr>
            <w:r>
              <w:rPr>
                <w:rFonts w:ascii="Consolas" w:cs="Consolas" w:eastAsia="Consolas" w:hAnsi="Consolas"/>
                <w:color w:val="2E2E2E"/>
                <w:sz w:val="17"/>
                <w:szCs w:val="17"/>
              </w:rPr>
              <w:t xml:space="preserve">    → emit: "Insufficient evidence in the record to answer."</w:t>
            </w:r>
          </w:p>
          <w:p>
            <w:pPr>
              <w:spacing w:after="20" w:before="0" w:line="240"/>
            </w:pPr>
            <w:r>
              <w:rPr>
                <w:rFonts w:ascii="Consolas" w:cs="Consolas" w:eastAsia="Consolas" w:hAnsi="Consolas"/>
                <w:color w:val="2E2E2E"/>
                <w:sz w:val="17"/>
                <w:szCs w:val="17"/>
              </w:rPr>
              <w:t xml:space="preserve">    → emit: exactly which evidence classes are missing</w:t>
            </w:r>
          </w:p>
          <w:p>
            <w:pPr>
              <w:spacing w:after="20" w:before="0" w:line="240"/>
            </w:pPr>
            <w:r>
              <w:rPr>
                <w:rFonts w:ascii="Consolas" w:cs="Consolas" w:eastAsia="Consolas" w:hAnsi="Consolas"/>
                <w:color w:val="2E2E2E"/>
                <w:sz w:val="17"/>
                <w:szCs w:val="17"/>
              </w:rPr>
              <w:t xml:space="preserve">    → route: escalation target appropriate to the claim type</w:t>
            </w:r>
          </w:p>
          <w:p>
            <w:pPr>
              <w:spacing w:after="20" w:before="0" w:line="240"/>
            </w:pPr>
            <w:r>
              <w:rPr>
                <w:rFonts w:ascii="Consolas" w:cs="Consolas" w:eastAsia="Consolas" w:hAnsi="Consolas"/>
                <w:color w:val="2E2E2E"/>
                <w:sz w:val="17"/>
                <w:szCs w:val="17"/>
              </w:rPr>
              <w:t xml:space="preserve">    → log: abstention reason + calibration score</w:t>
            </w:r>
          </w:p>
        </w:tc>
      </w:tr>
    </w:tbl>
    <w:p>
      <w:pPr>
        <w:spacing w:after="120" w:before="60" w:line="288"/>
      </w:pPr>
      <w:r>
        <w:rPr>
          <w:rFonts w:ascii="Calibri" w:cs="Calibri" w:eastAsia="Calibri" w:hAnsi="Calibri"/>
          <w:color w:val="1A1A1A"/>
          <w:sz w:val="21"/>
          <w:szCs w:val="21"/>
        </w:rPr>
        <w:t xml:space="preserve">Per-type thresholds encode a real safety property: we should be far more willing to say "I do not know" about a medication interaction than about when the patient was last seen. Calibrate the isotonic model on a held-out split and report the reliability diagram. If the confidence number does not correspond to the empirical accuracy, we have not calibrated anything and we say so.</w:t>
      </w:r>
    </w:p>
    <w:p>
      <w:pPr>
        <w:pStyle w:val="Heading3"/>
        <w:spacing w:after="80" w:before="200"/>
      </w:pPr>
      <w:r>
        <w:rPr>
          <w:rFonts w:ascii="Calibri" w:cs="Calibri" w:eastAsia="Calibri" w:hAnsi="Calibri"/>
          <w:b/>
          <w:bCs/>
          <w:color w:val="1A1A1A"/>
          <w:sz w:val="21"/>
          <w:szCs w:val="21"/>
        </w:rPr>
        <w:t xml:space="preserve">5.3.8 Layer 8 — Audit and provenance</w:t>
      </w:r>
    </w:p>
    <w:p>
      <w:pPr>
        <w:spacing w:after="120" w:before="60" w:line="288"/>
      </w:pPr>
      <w:r>
        <w:rPr>
          <w:rFonts w:ascii="Calibri" w:cs="Calibri" w:eastAsia="Calibri" w:hAnsi="Calibri"/>
          <w:color w:val="1A1A1A"/>
          <w:sz w:val="21"/>
          <w:szCs w:val="21"/>
        </w:rPr>
        <w:t xml:space="preserve">Every claim, retrieval, generation call, verification verdict, and abstention is logged with the nodes that caused it. Any sentence in the UI resolves in two clicks: statement → cited nodes → source record. The clinician can always answer the question "where did this come from?" and so can an auditor. In clinical software this is a regulatory expectation, not a feature, and treating it as one is a credibility signal that costs nothing.</w:t>
      </w:r>
    </w:p>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6. The evaluation harness — our moat</w:t>
      </w:r>
    </w:p>
    <w:p>
      <w:pPr>
        <w:spacing w:after="120" w:before="60" w:line="288"/>
      </w:pPr>
      <w:r>
        <w:rPr>
          <w:rFonts w:ascii="Calibri" w:cs="Calibri" w:eastAsia="Calibri" w:hAnsi="Calibri"/>
          <w:color w:val="1A1A1A"/>
          <w:sz w:val="21"/>
          <w:szCs w:val="21"/>
        </w:rPr>
        <w:t xml:space="preserve">This section is why we should win. Everyone else will ask judges to trust their system. We hand them an answer key, a held-out set, and honest numbers including the ones that are not flattering. In a room saturated with demos, verifiable correctness is the rarest thing available.</w:t>
      </w:r>
    </w:p>
    <w:p>
      <w:pPr>
        <w:pStyle w:val="Heading2"/>
        <w:spacing w:after="120" w:before="280"/>
      </w:pPr>
      <w:r>
        <w:rPr>
          <w:rFonts w:ascii="Calibri" w:cs="Calibri" w:eastAsia="Calibri" w:hAnsi="Calibri"/>
          <w:b/>
          <w:bCs/>
          <w:color w:val="C8901E"/>
          <w:sz w:val="24"/>
          <w:szCs w:val="24"/>
        </w:rPr>
        <w:t xml:space="preserve">6.1 Benchmark construction</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Generated cohort of patients, each with 0–3 planted findings of known type, severity, and timestamp.</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Held-out split with no overlap between the calibration set and the reported test set.</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Hand-labelled claim set — a few hundred claims labelled entailed / contradicted / insufficient — used to validate the verifier itself and to fit the abstention calibrator.</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Negative cases by construction: questions whose answers genuinely are not in the record, so abstention is being tested rather than rewarded.</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Adversarial cases: near-miss records where a plausible wrong answer exists, to measure over-confident answering.</w:t>
      </w:r>
    </w:p>
    <w:p>
      <w:pPr>
        <w:pStyle w:val="Heading2"/>
        <w:spacing w:after="120" w:before="280"/>
      </w:pPr>
      <w:r>
        <w:rPr>
          <w:rFonts w:ascii="Calibri" w:cs="Calibri" w:eastAsia="Calibri" w:hAnsi="Calibri"/>
          <w:b/>
          <w:bCs/>
          <w:color w:val="C8901E"/>
          <w:sz w:val="24"/>
          <w:szCs w:val="24"/>
        </w:rPr>
        <w:t xml:space="preserve">6.2 Metrics</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2235"/>
        <w:gridCol w:w="5216"/>
        <w:gridCol w:w="1863"/>
      </w:tblGrid>
      <w:tr>
        <w:trPr>
          <w:tblHeader/>
        </w:trPr>
        <w:tc>
          <w:tcPr>
            <w:tcW w:type="pct" w:w="12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Metric</w:t>
            </w:r>
          </w:p>
        </w:tc>
        <w:tc>
          <w:tcPr>
            <w:tcW w:type="pct" w:w="28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Definition</w:t>
            </w:r>
          </w:p>
        </w:tc>
        <w:tc>
          <w:tcPr>
            <w:tcW w:type="pct" w:w="10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Target</w:t>
            </w:r>
          </w:p>
        </w:tc>
      </w:tr>
      <w:tr>
        <w:tc>
          <w:tcPr>
            <w:tcW w:type="pct" w:w="12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Critical finding recall</w:t>
            </w:r>
          </w:p>
        </w:tc>
        <w:tc>
          <w:tcPr>
            <w:tcW w:type="pct" w:w="2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Share of planted high/critical findings surfaced in the attention queue</w:t>
            </w:r>
          </w:p>
        </w:tc>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 85%</w:t>
            </w:r>
          </w:p>
        </w:tc>
      </w:tr>
      <w:tr>
        <w:tc>
          <w:tcPr>
            <w:tcW w:type="pct" w:w="12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Critical finding precision</w:t>
            </w:r>
          </w:p>
        </w:tc>
        <w:tc>
          <w:tcPr>
            <w:tcW w:type="pct" w:w="2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Share of attention-queue items that map to a real planted or documented finding</w:t>
            </w:r>
          </w:p>
        </w:tc>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 80%</w:t>
            </w:r>
          </w:p>
        </w:tc>
      </w:tr>
      <w:tr>
        <w:tc>
          <w:tcPr>
            <w:tcW w:type="pct" w:w="12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Unsupported claim rate</w:t>
            </w:r>
          </w:p>
        </w:tc>
        <w:tc>
          <w:tcPr>
            <w:tcW w:type="pct" w:w="2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Share of emitted claims failing entailment verification</w:t>
            </w:r>
          </w:p>
        </w:tc>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 2%</w:t>
            </w:r>
          </w:p>
        </w:tc>
      </w:tr>
      <w:tr>
        <w:tc>
          <w:tcPr>
            <w:tcW w:type="pct" w:w="12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Citation validity</w:t>
            </w:r>
          </w:p>
        </w:tc>
        <w:tc>
          <w:tcPr>
            <w:tcW w:type="pct" w:w="2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Share of claims whose citations resolve to a real, relevant source node</w:t>
            </w:r>
          </w:p>
        </w:tc>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100%</w:t>
            </w:r>
          </w:p>
        </w:tc>
      </w:tr>
      <w:tr>
        <w:tc>
          <w:tcPr>
            <w:tcW w:type="pct" w:w="12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Abstention precision</w:t>
            </w:r>
          </w:p>
        </w:tc>
        <w:tc>
          <w:tcPr>
            <w:tcW w:type="pct" w:w="2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Of all abstentions, share that were correct — record genuinely insufficient</w:t>
            </w:r>
          </w:p>
        </w:tc>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 90%</w:t>
            </w:r>
          </w:p>
        </w:tc>
      </w:tr>
      <w:tr>
        <w:tc>
          <w:tcPr>
            <w:tcW w:type="pct" w:w="12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Abstention recall</w:t>
            </w:r>
          </w:p>
        </w:tc>
        <w:tc>
          <w:tcPr>
            <w:tcW w:type="pct" w:w="2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Of all questions the record cannot support, share the system refused</w:t>
            </w:r>
          </w:p>
        </w:tc>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 90%</w:t>
            </w:r>
          </w:p>
        </w:tc>
      </w:tr>
      <w:tr>
        <w:tc>
          <w:tcPr>
            <w:tcW w:type="pct" w:w="12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Verifier accuracy</w:t>
            </w:r>
          </w:p>
        </w:tc>
        <w:tc>
          <w:tcPr>
            <w:tcW w:type="pct" w:w="2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Verifier vs hand labels on the labelled claim set</w:t>
            </w:r>
          </w:p>
        </w:tc>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 85% — reported regardless of result</w:t>
            </w:r>
          </w:p>
        </w:tc>
      </w:tr>
      <w:tr>
        <w:tc>
          <w:tcPr>
            <w:tcW w:type="pct" w:w="12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Entity resolution F1</w:t>
            </w:r>
          </w:p>
        </w:tc>
        <w:tc>
          <w:tcPr>
            <w:tcW w:type="pct" w:w="2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Pairwise merge performance at the operating threshold</w:t>
            </w:r>
          </w:p>
        </w:tc>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 0.95</w:t>
            </w:r>
          </w:p>
        </w:tc>
      </w:tr>
      <w:tr>
        <w:tc>
          <w:tcPr>
            <w:tcW w:type="pct" w:w="12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Negation accuracy</w:t>
            </w:r>
          </w:p>
        </w:tc>
        <w:tc>
          <w:tcPr>
            <w:tcW w:type="pct" w:w="2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Share of negated statements correctly not surfaced as positive findings</w:t>
            </w:r>
          </w:p>
        </w:tc>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100%</w:t>
            </w:r>
          </w:p>
        </w:tc>
      </w:tr>
      <w:tr>
        <w:tc>
          <w:tcPr>
            <w:tcW w:type="pct" w:w="12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Time to first correct finding</w:t>
            </w:r>
          </w:p>
        </w:tc>
        <w:tc>
          <w:tcPr>
            <w:tcW w:type="pct" w:w="2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From chart open to the clinician seeing the planted finding</w:t>
            </w:r>
          </w:p>
        </w:tc>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&lt; 3 seconds</w:t>
            </w:r>
          </w:p>
        </w:tc>
      </w:tr>
    </w:tbl>
    <w:p>
      <w:pPr>
        <w:pStyle w:val="Heading2"/>
        <w:spacing w:after="120" w:before="280"/>
      </w:pPr>
      <w:r>
        <w:rPr>
          <w:rFonts w:ascii="Calibri" w:cs="Calibri" w:eastAsia="Calibri" w:hAnsi="Calibri"/>
          <w:b/>
          <w:bCs/>
          <w:color w:val="C8901E"/>
          <w:sz w:val="24"/>
          <w:szCs w:val="24"/>
        </w:rPr>
        <w:t xml:space="preserve">6.3 The honest-reporting commitment</w:t>
      </w:r>
    </w:p>
    <w:p>
      <w:pPr>
        <w:spacing w:after="120" w:before="60" w:line="288"/>
      </w:pPr>
      <w:r>
        <w:rPr>
          <w:rFonts w:ascii="Calibri" w:cs="Calibri" w:eastAsia="Calibri" w:hAnsi="Calibri"/>
          <w:color w:val="1A1A1A"/>
          <w:sz w:val="21"/>
          <w:szCs w:val="21"/>
        </w:rPr>
        <w:t xml:space="preserve">We will publish every number, including the ones below target, and we will show the reliability diagram rather than asserting calibration. If the verifier scores 82% instead of 90%, the deck says 82%. A team that reports an unflattering metric with an explanation demonstrates more engineering maturity than one that reports only wins, and judges have seen enough polished demos to recognise the difference.</w:t>
      </w:r>
    </w:p>
    <w:tbl>
      <w:tblPr>
        <w:tblW w:type="pct" w:w="5000"/>
        <w:tblBorders>
          <w:top w:val="single" w:color="E8E0CC" w:sz="4"/>
          <w:left w:val="single" w:color="1B4F8A" w:sz="18"/>
          <w:bottom w:val="single" w:color="E8E0CC" w:sz="4"/>
          <w:right w:val="single" w:color="E8E0CC" w:sz="4"/>
          <w:insideH w:val="single" w:color="auto" w:sz="4"/>
          <w:insideV w:val="single" w:color="auto" w:sz="4"/>
        </w:tblBorders>
      </w:tblPr>
      <w:tblGrid>
        <w:gridCol w:w="9314"/>
      </w:tblGrid>
      <w:tr>
        <w:tc>
          <w:tcPr>
            <w:shd w:fill="EEF3F9" w:val="clear"/>
            <w:tcMar>
              <w:top w:type="dxa" w:w="140"/>
              <w:left w:type="dxa" w:w="200"/>
              <w:bottom w:type="dxa" w:w="140"/>
              <w:right w:type="dxa" w:w="200"/>
            </w:tcMar>
          </w:tcPr>
          <w:p>
            <w:pPr>
              <w:spacing w:after="60"/>
            </w:pPr>
            <w:r>
              <w:rPr>
                <w:rFonts w:ascii="Calibri" w:cs="Calibri" w:eastAsia="Calibri" w:hAnsi="Calibri"/>
                <w:b/>
                <w:bCs/>
                <w:color w:val="1B4F8A"/>
                <w:sz w:val="18"/>
                <w:szCs w:val="18"/>
              </w:rPr>
              <w:t xml:space="preserve">THE SLIDE THAT DECIDES THE WIN</w:t>
            </w:r>
          </w:p>
          <w:p>
            <w:pPr>
              <w:spacing w:after="0" w:line="276"/>
            </w:pPr>
            <w:r>
              <w:rPr>
                <w:rFonts w:ascii="Calibri" w:cs="Calibri" w:eastAsia="Calibri" w:hAnsi="Calibri"/>
                <w:color w:val="1A1A1A"/>
                <w:sz w:val="21"/>
                <w:szCs w:val="21"/>
              </w:rPr>
              <w:t xml:space="preserve">Show the benchmark panel: planted findings detected 47/51, unsupported claim rate 1.4%, abstentions correct 92%, verifier accuracy 87% — and show the one we missed. That single missed finding, volunteered by us, is what makes every other number on the slide believable.</w:t>
            </w:r>
          </w:p>
        </w:tc>
      </w:tr>
    </w:tbl>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7. The clinician surface</w:t>
      </w:r>
    </w:p>
    <w:p>
      <w:pPr>
        <w:pStyle w:val="Heading2"/>
        <w:spacing w:after="120" w:before="280"/>
      </w:pPr>
      <w:r>
        <w:rPr>
          <w:rFonts w:ascii="Calibri" w:cs="Calibri" w:eastAsia="Calibri" w:hAnsi="Calibri"/>
          <w:b/>
          <w:bCs/>
          <w:color w:val="C8901E"/>
          <w:sz w:val="24"/>
          <w:szCs w:val="24"/>
        </w:rPr>
        <w:t xml:space="preserve">7.1 Screen: patient chart</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1863"/>
        <w:gridCol w:w="4098"/>
        <w:gridCol w:w="3353"/>
      </w:tblGrid>
      <w:tr>
        <w:trPr>
          <w:tblHeader/>
        </w:trPr>
        <w:tc>
          <w:tcPr>
            <w:tcW w:type="pct" w:w="10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Region</w:t>
            </w:r>
          </w:p>
        </w:tc>
        <w:tc>
          <w:tcPr>
            <w:tcW w:type="pct" w:w="22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Content</w:t>
            </w:r>
          </w:p>
        </w:tc>
        <w:tc>
          <w:tcPr>
            <w:tcW w:type="pct" w:w="18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Design intent</w:t>
            </w:r>
          </w:p>
        </w:tc>
      </w:tr>
      <w:tr>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Header</w:t>
            </w:r>
          </w:p>
        </w:tc>
        <w:tc>
          <w:tcPr>
            <w:tcW w:type="pct" w:w="22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Name, age, sex, active alerts, "AI assist — not a diagnosis" boundary</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The safety boundary is permanent chrome, not a dismissible banner</w:t>
            </w:r>
          </w:p>
        </w:tc>
      </w:tr>
      <w:tr>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Attention queue</w:t>
            </w:r>
          </w:p>
        </w:tc>
        <w:tc>
          <w:tcPr>
            <w:tcW w:type="pct" w:w="22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The 3–5 findings that warrant attention, ranked by severity and recency</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Replaces the 40 minutes of chart archaeology. This is the product</w:t>
            </w:r>
          </w:p>
        </w:tc>
      </w:tr>
      <w:tr>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Evidence card</w:t>
            </w:r>
          </w:p>
        </w:tc>
        <w:tc>
          <w:tcPr>
            <w:tcW w:type="pct" w:w="22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Each finding expanded: the claim, its citations, the trend, the raw record</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Every claim is one click from its source</w:t>
            </w:r>
          </w:p>
        </w:tc>
      </w:tr>
      <w:tr>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Timeline scrubber</w:t>
            </w:r>
          </w:p>
        </w:tc>
        <w:tc>
          <w:tcPr>
            <w:tcW w:type="pct" w:w="22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The clinical graph as a scrubable timeline with typed events</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Makes temporal reasoning visible rather than magical</w:t>
            </w:r>
          </w:p>
        </w:tc>
      </w:tr>
      <w:tr>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Ask panel</w:t>
            </w:r>
          </w:p>
        </w:tc>
        <w:tc>
          <w:tcPr>
            <w:tcW w:type="pct" w:w="22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Natural-language query, answered only from verified claims</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Same query, three different confidence behaviours</w:t>
            </w:r>
          </w:p>
        </w:tc>
      </w:tr>
      <w:tr>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Audit drawer</w:t>
            </w:r>
          </w:p>
        </w:tc>
        <w:tc>
          <w:tcPr>
            <w:tcW w:type="pct" w:w="22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Full provenance for anything on screen</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Trust is a two-click property</w:t>
            </w:r>
          </w:p>
        </w:tc>
      </w:tr>
    </w:tbl>
    <w:p>
      <w:pPr>
        <w:pStyle w:val="Heading2"/>
        <w:spacing w:after="120" w:before="280"/>
      </w:pPr>
      <w:r>
        <w:rPr>
          <w:rFonts w:ascii="Calibri" w:cs="Calibri" w:eastAsia="Calibri" w:hAnsi="Calibri"/>
          <w:b/>
          <w:bCs/>
          <w:color w:val="C8901E"/>
          <w:sz w:val="24"/>
          <w:szCs w:val="24"/>
        </w:rPr>
        <w:t xml:space="preserve">7.2 Design rules</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Unverified content never appears. Not greyed, not hidden — absent.</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Every factual sentence carries a visible, clickable citation. No citation, no sentence.</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Abstention is presented as a confident, useful answer — "the record does not contain X; you would need Y from Z" — never as an error state.</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The clinician-assist boundary is visible on every screen, permanently.</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No number is rendered without its unit, its reference range, and its timestamp.</w:t>
      </w:r>
    </w:p>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8. Technology stack</w:t>
      </w:r>
    </w:p>
    <w:p>
      <w:pPr>
        <w:spacing w:after="120" w:before="60" w:line="288"/>
      </w:pPr>
      <w:r>
        <w:rPr>
          <w:rFonts w:ascii="Calibri" w:cs="Calibri" w:eastAsia="Calibri" w:hAnsi="Calibri"/>
          <w:color w:val="1A1A1A"/>
          <w:sz w:val="21"/>
          <w:szCs w:val="21"/>
        </w:rPr>
        <w:t xml:space="preserve">Chosen for what survives contact with a 36-hour build. Every entry has a fallback that keeps the demo alive if the primary path fails.</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1677"/>
        <w:gridCol w:w="2049"/>
        <w:gridCol w:w="3167"/>
        <w:gridCol w:w="2422"/>
      </w:tblGrid>
      <w:tr>
        <w:trPr>
          <w:tblHeader/>
        </w:trPr>
        <w:tc>
          <w:tcPr>
            <w:tcW w:type="pct" w:w="9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Layer</w:t>
            </w:r>
          </w:p>
        </w:tc>
        <w:tc>
          <w:tcPr>
            <w:tcW w:type="pct" w:w="11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Primary</w:t>
            </w:r>
          </w:p>
        </w:tc>
        <w:tc>
          <w:tcPr>
            <w:tcW w:type="pct" w:w="17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Why</w:t>
            </w:r>
          </w:p>
        </w:tc>
        <w:tc>
          <w:tcPr>
            <w:tcW w:type="pct" w:w="13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Fallback</w:t>
            </w:r>
          </w:p>
        </w:tc>
      </w:tr>
      <w:tr>
        <w:tc>
          <w:tcPr>
            <w:tcW w:type="pct" w:w="9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Record generation</w:t>
            </w:r>
          </w:p>
        </w:tc>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Custom Python generator</w:t>
            </w:r>
          </w:p>
        </w:tc>
        <w:tc>
          <w:tcPr>
            <w:tcW w:type="pct" w:w="1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Full control over planting; we can guarantee ground truth</w:t>
            </w:r>
          </w:p>
        </w:tc>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Static fixtures committed to repo</w:t>
            </w:r>
          </w:p>
        </w:tc>
      </w:tr>
      <w:tr>
        <w:tc>
          <w:tcPr>
            <w:tcW w:type="pct" w:w="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Ingestion</w:t>
            </w:r>
          </w:p>
        </w:tc>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Python + FHIR-shaped JSON</w:t>
            </w:r>
          </w:p>
        </w:tc>
        <w:tc>
          <w:tcPr>
            <w:tcW w:type="pct" w:w="1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Realistic input shape without an HL7 server</w:t>
            </w:r>
          </w:p>
        </w:tc>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Flattened CSV fixtures</w:t>
            </w:r>
          </w:p>
        </w:tc>
      </w:tr>
      <w:tr>
        <w:tc>
          <w:tcPr>
            <w:tcW w:type="pct" w:w="9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Normalisation</w:t>
            </w:r>
          </w:p>
        </w:tc>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pydantic + pint + manual code tables</w:t>
            </w:r>
          </w:p>
        </w:tc>
        <w:tc>
          <w:tcPr>
            <w:tcW w:type="pct" w:w="1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pydantic gives schema validation for free; pint handles units</w:t>
            </w:r>
          </w:p>
        </w:tc>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Hardcoded lookup dicts</w:t>
            </w:r>
          </w:p>
        </w:tc>
      </w:tr>
      <w:tr>
        <w:tc>
          <w:tcPr>
            <w:tcW w:type="pct" w:w="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Entity resolution</w:t>
            </w:r>
          </w:p>
        </w:tc>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rapidfuzz + logistic regression</w:t>
            </w:r>
          </w:p>
        </w:tc>
        <w:tc>
          <w:tcPr>
            <w:tcW w:type="pct" w:w="1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Fast, tunable, explainable feature weights</w:t>
            </w:r>
          </w:p>
        </w:tc>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Deterministic rule on exact MRN</w:t>
            </w:r>
          </w:p>
        </w:tc>
      </w:tr>
      <w:tr>
        <w:tc>
          <w:tcPr>
            <w:tcW w:type="pct" w:w="9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Temporal graph</w:t>
            </w:r>
          </w:p>
        </w:tc>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NetworkX</w:t>
            </w:r>
          </w:p>
        </w:tc>
        <w:tc>
          <w:tcPr>
            <w:tcW w:type="pct" w:w="1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Fast traversal, trivial to demo, no server needed</w:t>
            </w:r>
          </w:p>
        </w:tc>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Adjacency dicts</w:t>
            </w:r>
          </w:p>
        </w:tc>
      </w:tr>
      <w:tr>
        <w:tc>
          <w:tcPr>
            <w:tcW w:type="pct" w:w="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Retrieval</w:t>
            </w:r>
          </w:p>
        </w:tc>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Graph traversal + BM25 on code names</w:t>
            </w:r>
          </w:p>
        </w:tc>
        <w:tc>
          <w:tcPr>
            <w:tcW w:type="pct" w:w="1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Structured-first is the whole point</w:t>
            </w:r>
          </w:p>
        </w:tc>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Pure graph, no semantic fallback</w:t>
            </w:r>
          </w:p>
        </w:tc>
      </w:tr>
      <w:tr>
        <w:tc>
          <w:tcPr>
            <w:tcW w:type="pct" w:w="9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Embedding index</w:t>
            </w:r>
          </w:p>
        </w:tc>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sentence-transformers (local)</w:t>
            </w:r>
          </w:p>
        </w:tc>
        <w:tc>
          <w:tcPr>
            <w:tcW w:type="pct" w:w="1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No API dependency in the critical path</w:t>
            </w:r>
          </w:p>
        </w:tc>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Skip semantic layer entirely — the graph carries it</w:t>
            </w:r>
          </w:p>
        </w:tc>
      </w:tr>
      <w:tr>
        <w:tc>
          <w:tcPr>
            <w:tcW w:type="pct" w:w="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Generation</w:t>
            </w:r>
          </w:p>
        </w:tc>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Claude / GPT with tool-calling</w:t>
            </w:r>
          </w:p>
        </w:tc>
        <w:tc>
          <w:tcPr>
            <w:tcW w:type="pct" w:w="1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Structured output and native tool use</w:t>
            </w:r>
          </w:p>
        </w:tc>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Cached responses, pre-computed</w:t>
            </w:r>
          </w:p>
        </w:tc>
      </w:tr>
      <w:tr>
        <w:tc>
          <w:tcPr>
            <w:tcW w:type="pct" w:w="9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Verification</w:t>
            </w:r>
          </w:p>
        </w:tc>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Second model call, independent prompt</w:t>
            </w:r>
          </w:p>
        </w:tc>
        <w:tc>
          <w:tcPr>
            <w:tcW w:type="pct" w:w="1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The core innovation</w:t>
            </w:r>
          </w:p>
        </w:tc>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Heuristic entailment checker</w:t>
            </w:r>
          </w:p>
        </w:tc>
      </w:tr>
      <w:tr>
        <w:tc>
          <w:tcPr>
            <w:tcW w:type="pct" w:w="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Calibration</w:t>
            </w:r>
          </w:p>
        </w:tc>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scikit-learn isotonic regression</w:t>
            </w:r>
          </w:p>
        </w:tc>
        <w:tc>
          <w:tcPr>
            <w:tcW w:type="pct" w:w="1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Standard, defensible, plottable</w:t>
            </w:r>
          </w:p>
        </w:tc>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Fixed thresholds, documented as uncalibrated</w:t>
            </w:r>
          </w:p>
        </w:tc>
      </w:tr>
      <w:tr>
        <w:tc>
          <w:tcPr>
            <w:tcW w:type="pct" w:w="9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Backend</w:t>
            </w:r>
          </w:p>
        </w:tc>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FastAPI</w:t>
            </w:r>
          </w:p>
        </w:tc>
        <w:tc>
          <w:tcPr>
            <w:tcW w:type="pct" w:w="1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Fast to stand up, trivial endpoints to demo</w:t>
            </w:r>
          </w:p>
        </w:tc>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Flask</w:t>
            </w:r>
          </w:p>
        </w:tc>
      </w:tr>
      <w:tr>
        <w:tc>
          <w:tcPr>
            <w:tcW w:type="pct" w:w="9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Frontend</w:t>
            </w:r>
          </w:p>
        </w:tc>
        <w:tc>
          <w:tcPr>
            <w:tcW w:type="pct" w:w="1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Next.js + Recharts</w:t>
            </w:r>
          </w:p>
        </w:tc>
        <w:tc>
          <w:tcPr>
            <w:tcW w:type="pct" w:w="1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Renders timelines and distributions judges read instantly</w:t>
            </w:r>
          </w:p>
        </w:tc>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Streamlit, themed</w:t>
            </w:r>
          </w:p>
        </w:tc>
      </w:tr>
      <w:tr>
        <w:tc>
          <w:tcPr>
            <w:tcW w:type="pct" w:w="9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Storage</w:t>
            </w:r>
          </w:p>
        </w:tc>
        <w:tc>
          <w:tcPr>
            <w:tcW w:type="pct" w:w="1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SQLite + JSON</w:t>
            </w:r>
          </w:p>
        </w:tc>
        <w:tc>
          <w:tcPr>
            <w:tcW w:type="pct" w:w="1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Zero deployment friction; nothing breaks on stage</w:t>
            </w:r>
          </w:p>
        </w:tc>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In-memory fixtures</w:t>
            </w:r>
          </w:p>
        </w:tc>
      </w:tr>
    </w:tbl>
    <w:p>
      <w:pPr>
        <w:spacing w:after="80"/>
      </w:pPr>
      <w:r>
        <w:rPr>
          <w:sz w:val="12"/>
          <w:szCs w:val="12"/>
        </w:rPr>
        <w:t xml:space="preserve"/>
      </w:r>
    </w:p>
    <w:tbl>
      <w:tblPr>
        <w:tblW w:type="pct" w:w="5000"/>
        <w:tblBorders>
          <w:top w:val="single" w:color="E8E0CC" w:sz="4"/>
          <w:left w:val="single" w:color="1B4F8A" w:sz="18"/>
          <w:bottom w:val="single" w:color="E8E0CC" w:sz="4"/>
          <w:right w:val="single" w:color="E8E0CC" w:sz="4"/>
          <w:insideH w:val="single" w:color="auto" w:sz="4"/>
          <w:insideV w:val="single" w:color="auto" w:sz="4"/>
        </w:tblBorders>
      </w:tblPr>
      <w:tblGrid>
        <w:gridCol w:w="9314"/>
      </w:tblGrid>
      <w:tr>
        <w:tc>
          <w:tcPr>
            <w:shd w:fill="EEF3F9" w:val="clear"/>
            <w:tcMar>
              <w:top w:type="dxa" w:w="140"/>
              <w:left w:type="dxa" w:w="200"/>
              <w:bottom w:type="dxa" w:w="140"/>
              <w:right w:type="dxa" w:w="200"/>
            </w:tcMar>
          </w:tcPr>
          <w:p>
            <w:pPr>
              <w:spacing w:after="60"/>
            </w:pPr>
            <w:r>
              <w:rPr>
                <w:rFonts w:ascii="Calibri" w:cs="Calibri" w:eastAsia="Calibri" w:hAnsi="Calibri"/>
                <w:b/>
                <w:bCs/>
                <w:color w:val="1B4F8A"/>
                <w:sz w:val="18"/>
                <w:szCs w:val="18"/>
              </w:rPr>
              <w:t xml:space="preserve">ON API DEPENDENCY</w:t>
            </w:r>
          </w:p>
          <w:p>
            <w:pPr>
              <w:spacing w:after="0" w:line="276"/>
            </w:pPr>
            <w:r>
              <w:rPr>
                <w:rFonts w:ascii="Calibri" w:cs="Calibri" w:eastAsia="Calibri" w:hAnsi="Calibri"/>
                <w:color w:val="1A1A1A"/>
                <w:sz w:val="21"/>
                <w:szCs w:val="21"/>
              </w:rPr>
              <w:t xml:space="preserve">Keep the language model off the critical path wherever possible. Every model response used in the demo should be cacheable to disk, so that a network failure degrades to a slightly less dynamic demo rather than a blank screen. The graph, the retrieval, and the verification pipeline all run locally.</w:t>
            </w:r>
          </w:p>
        </w:tc>
      </w:tr>
    </w:tbl>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9. Sprint plan — 36 hours</w:t>
      </w:r>
    </w:p>
    <w:p>
      <w:pPr>
        <w:spacing w:after="120" w:before="60" w:line="288"/>
      </w:pPr>
      <w:r>
        <w:rPr>
          <w:rFonts w:ascii="Calibri" w:cs="Calibri" w:eastAsia="Calibri" w:hAnsi="Calibri"/>
          <w:color w:val="1A1A1A"/>
          <w:sz w:val="21"/>
          <w:szCs w:val="21"/>
        </w:rPr>
        <w:t xml:space="preserve">Ordered by dependency. The generator goes first because everything is downstream of it and because planting findings is what makes the project defensible. Verification — the thing that wins — gets built before the frontend does.</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931"/>
        <w:gridCol w:w="3912"/>
        <w:gridCol w:w="1118"/>
        <w:gridCol w:w="3353"/>
      </w:tblGrid>
      <w:tr>
        <w:trPr>
          <w:tblHeader/>
        </w:trPr>
        <w:tc>
          <w:tcPr>
            <w:tcW w:type="pct" w:w="5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Window</w:t>
            </w:r>
          </w:p>
        </w:tc>
        <w:tc>
          <w:tcPr>
            <w:tcW w:type="pct" w:w="21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Focus</w:t>
            </w:r>
          </w:p>
        </w:tc>
        <w:tc>
          <w:tcPr>
            <w:tcW w:type="pct" w:w="6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Owner</w:t>
            </w:r>
          </w:p>
        </w:tc>
        <w:tc>
          <w:tcPr>
            <w:tcW w:type="pct" w:w="18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Ship criterion</w:t>
            </w:r>
          </w:p>
        </w:tc>
      </w:tr>
      <w:tr>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H0–2</w:t>
            </w:r>
          </w:p>
        </w:tc>
        <w:tc>
          <w:tcPr>
            <w:tcW w:type="pct" w:w="2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Scope lock. Canonical data model agreed. Generator producing one patient end to end. Team split into pairs.</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All</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One synthetic patient exists in canonical form</w:t>
            </w:r>
          </w:p>
        </w:tc>
      </w:tr>
      <w:tr>
        <w:tc>
          <w:tcPr>
            <w:tcW w:type="pct" w:w="5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H2–6</w:t>
            </w:r>
          </w:p>
        </w:tc>
        <w:tc>
          <w:tcPr>
            <w:tcW w:type="pct" w:w="2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Generator complete: 20 patients, planted findings, unit and code inconsistencies, realistic notes.</w:t>
            </w:r>
          </w:p>
        </w:tc>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Data</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Cohort generates with known ground truth attached</w:t>
            </w:r>
          </w:p>
        </w:tc>
      </w:tr>
      <w:tr>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H6–9</w:t>
            </w:r>
          </w:p>
        </w:tc>
        <w:tc>
          <w:tcPr>
            <w:tcW w:type="pct" w:w="2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Normalisation + negation detection. Entity resolution with hand-labelled pairs.</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Data</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Merged timelines; negation accuracy measured</w:t>
            </w:r>
          </w:p>
        </w:tc>
      </w:tr>
      <w:tr>
        <w:tc>
          <w:tcPr>
            <w:tcW w:type="pct" w:w="5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H9–14</w:t>
            </w:r>
          </w:p>
        </w:tc>
        <w:tc>
          <w:tcPr>
            <w:tcW w:type="pct" w:w="2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Temporal graph + traversals. Four canonical query patterns working.</w:t>
            </w:r>
          </w:p>
        </w:tc>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Graph</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All four unanswerable-by-retrieval questions resolve</w:t>
            </w:r>
          </w:p>
        </w:tc>
      </w:tr>
      <w:tr>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H12–18</w:t>
            </w:r>
          </w:p>
        </w:tc>
        <w:tc>
          <w:tcPr>
            <w:tcW w:type="pct" w:w="2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Frontend skeleton in parallel: header, attention queue, evidence card, timeline.</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FE</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Static cohort renders correctly</w:t>
            </w:r>
          </w:p>
        </w:tc>
      </w:tr>
      <w:tr>
        <w:tc>
          <w:tcPr>
            <w:tcW w:type="pct" w:w="5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H16–20</w:t>
            </w:r>
          </w:p>
        </w:tc>
        <w:tc>
          <w:tcPr>
            <w:tcW w:type="pct" w:w="2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Claim generation with citation binding + independent entailment verifier.</w:t>
            </w:r>
          </w:p>
        </w:tc>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AI</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Claims emitted, verified, and failing claims suppressed</w:t>
            </w:r>
          </w:p>
        </w:tc>
      </w:tr>
      <w:tr>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H20–24</w:t>
            </w:r>
          </w:p>
        </w:tc>
        <w:tc>
          <w:tcPr>
            <w:tcW w:type="pct" w:w="2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Abstention: isotonic calibration on the labelled set, per-type thresholds.</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AI</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Calibrator fitted; reliability diagram plottable</w:t>
            </w:r>
          </w:p>
        </w:tc>
      </w:tr>
      <w:tr>
        <w:tc>
          <w:tcPr>
            <w:tcW w:type="pct" w:w="5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H24–27</w:t>
            </w:r>
          </w:p>
        </w:tc>
        <w:tc>
          <w:tcPr>
            <w:tcW w:type="pct" w:w="2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Full wiring end to end. Attention queue populated from the pipeline.</w:t>
            </w:r>
          </w:p>
        </w:tc>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Full</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 patient opens and three real findings appear</w:t>
            </w:r>
          </w:p>
        </w:tc>
      </w:tr>
      <w:tr>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H27–31</w:t>
            </w:r>
          </w:p>
        </w:tc>
        <w:tc>
          <w:tcPr>
            <w:tcW w:type="pct" w:w="2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Benchmark run. Fill in every metric. Record the demo capture as insurance.</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Eval</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All metrics populated with measured values</w:t>
            </w:r>
          </w:p>
        </w:tc>
      </w:tr>
      <w:tr>
        <w:tc>
          <w:tcPr>
            <w:tcW w:type="pct" w:w="5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H31–33</w:t>
            </w:r>
          </w:p>
        </w:tc>
        <w:tc>
          <w:tcPr>
            <w:tcW w:type="pct" w:w="21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Deck and rehearsal ×3, including the objection responses out loud.</w:t>
            </w:r>
          </w:p>
        </w:tc>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All</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Five positioning lines delivered without notes</w:t>
            </w:r>
          </w:p>
        </w:tc>
      </w:tr>
      <w:tr>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H33–36</w:t>
            </w:r>
          </w:p>
        </w:tc>
        <w:tc>
          <w:tcPr>
            <w:tcW w:type="pct" w:w="21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Freeze. Offline fallback verified on presentation hardware.</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All</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Demo runs from cold start, offline</w:t>
            </w:r>
          </w:p>
        </w:tc>
      </w:tr>
    </w:tbl>
    <w:p>
      <w:pPr>
        <w:spacing w:after="100"/>
      </w:pPr>
      <w:r>
        <w:rPr>
          <w:sz w:val="12"/>
          <w:szCs w:val="12"/>
        </w:rPr>
        <w:t xml:space="preserve"/>
      </w:r>
    </w:p>
    <w:tbl>
      <w:tblPr>
        <w:tblW w:type="pct" w:w="5000"/>
        <w:tblBorders>
          <w:top w:val="single" w:color="E8E0CC" w:sz="4"/>
          <w:left w:val="single" w:color="8C1D18" w:sz="18"/>
          <w:bottom w:val="single" w:color="E8E0CC" w:sz="4"/>
          <w:right w:val="single" w:color="E8E0CC" w:sz="4"/>
          <w:insideH w:val="single" w:color="auto" w:sz="4"/>
          <w:insideV w:val="single" w:color="auto" w:sz="4"/>
        </w:tblBorders>
      </w:tblPr>
      <w:tblGrid>
        <w:gridCol w:w="9314"/>
      </w:tblGrid>
      <w:tr>
        <w:tc>
          <w:tcPr>
            <w:shd w:fill="FDF2F0" w:val="clear"/>
            <w:tcMar>
              <w:top w:type="dxa" w:w="140"/>
              <w:left w:type="dxa" w:w="200"/>
              <w:bottom w:type="dxa" w:w="140"/>
              <w:right w:type="dxa" w:w="200"/>
            </w:tcMar>
          </w:tcPr>
          <w:p>
            <w:pPr>
              <w:spacing w:after="60"/>
            </w:pPr>
            <w:r>
              <w:rPr>
                <w:rFonts w:ascii="Calibri" w:cs="Calibri" w:eastAsia="Calibri" w:hAnsi="Calibri"/>
                <w:b/>
                <w:bCs/>
                <w:color w:val="8C1D18"/>
                <w:sz w:val="18"/>
                <w:szCs w:val="18"/>
              </w:rPr>
              <w:t xml:space="preserve">THE HOUR-31 RULE</w:t>
            </w:r>
          </w:p>
          <w:p>
            <w:pPr>
              <w:spacing w:after="0" w:line="276"/>
            </w:pPr>
            <w:r>
              <w:rPr>
                <w:rFonts w:ascii="Calibri" w:cs="Calibri" w:eastAsia="Calibri" w:hAnsi="Calibri"/>
                <w:color w:val="1A1A1A"/>
                <w:sz w:val="21"/>
                <w:szCs w:val="21"/>
              </w:rPr>
              <w:t xml:space="preserve">Freeze at H31 and use the final five hours for confidence, not capability. Every team that adds a feature in the last hours introduces a bug they will not find until they are on stage.</w:t>
            </w:r>
          </w:p>
        </w:tc>
      </w:tr>
    </w:tbl>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10. Team roles</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1863"/>
        <w:gridCol w:w="3726"/>
        <w:gridCol w:w="3726"/>
      </w:tblGrid>
      <w:tr>
        <w:trPr>
          <w:tblHeader/>
        </w:trPr>
        <w:tc>
          <w:tcPr>
            <w:tcW w:type="pct" w:w="10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Role</w:t>
            </w:r>
          </w:p>
        </w:tc>
        <w:tc>
          <w:tcPr>
            <w:tcW w:type="pct" w:w="20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Owns</w:t>
            </w:r>
          </w:p>
        </w:tc>
        <w:tc>
          <w:tcPr>
            <w:tcW w:type="pct" w:w="20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Why this role exists</w:t>
            </w:r>
          </w:p>
        </w:tc>
      </w:tr>
      <w:tr>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Data / records</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Generator, normalisation, entity resolution, negation handling</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Synthetic data realism is the credibility foundation; it is also the most underestimated task</w:t>
            </w:r>
          </w:p>
        </w:tc>
      </w:tr>
      <w:tr>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Graph / backend</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Temporal graph, retrieval planner, FastAPI</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The defensible engineering core</w:t>
            </w:r>
          </w:p>
        </w:tc>
      </w:tr>
      <w:tr>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AI / verification</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Claim generation, entailment verifier, abstention calibrator</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The differentiator and the hardest thing to get right</w:t>
            </w:r>
          </w:p>
        </w:tc>
      </w:tr>
      <w:tr>
        <w:tc>
          <w:tcPr>
            <w:tcW w:type="pct" w:w="1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Frontend / pitch</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Clinician surface, deck, demo choreography</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Presentation is a scored component, not an afterthought</w:t>
            </w:r>
          </w:p>
        </w:tc>
      </w:tr>
      <w:tr>
        <w:tc>
          <w:tcPr>
            <w:tcW w:type="pct" w:w="10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Floating</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Fills whichever layer is behind; owns the offline fallback</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Someone must own reliability — usually it is nobody</w:t>
            </w:r>
          </w:p>
        </w:tc>
      </w:tr>
    </w:tbl>
    <w:p>
      <w:pPr>
        <w:spacing w:after="60"/>
      </w:pPr>
      <w:r>
        <w:rPr>
          <w:sz w:val="12"/>
          <w:szCs w:val="12"/>
        </w:rPr>
        <w:t xml:space="preserve"/>
      </w:r>
    </w:p>
    <w:p>
      <w:pPr>
        <w:spacing w:after="120" w:before="60" w:line="288"/>
      </w:pPr>
      <w:r>
        <w:rPr>
          <w:rFonts w:ascii="Calibri" w:cs="Calibri" w:eastAsia="Calibri" w:hAnsi="Calibri"/>
          <w:i/>
          <w:iCs/>
          <w:color w:val="1A1A1A"/>
          <w:sz w:val="21"/>
          <w:szCs w:val="21"/>
        </w:rPr>
        <w:t xml:space="preserve">If the team is smaller than five, merge frontend and pitch first. Never merge AI/verification with anything — that is the part that needs undivided attention.</w:t>
      </w:r>
    </w:p>
    <w:p>
      <w:pPr>
        <w:spacing w:after="40"/>
      </w:pPr>
      <w:r>
        <w:rPr>
          <w:sz w:val="12"/>
          <w:szCs w:val="12"/>
        </w:rPr>
        <w:t xml:space="preserve"/>
      </w:r>
    </w:p>
    <w:p>
      <w:pPr>
        <w:spacing w:after="120" w:before="60" w:line="288"/>
      </w:pPr>
      <w:r>
        <w:rPr>
          <w:rFonts w:ascii="Calibri" w:cs="Calibri" w:eastAsia="Calibri" w:hAnsi="Calibri"/>
          <w:color w:val="1A1A1A"/>
          <w:sz w:val="21"/>
          <w:szCs w:val="21"/>
        </w:rPr>
        <w:t xml:space="preserve">Designate one non-builder as the domain reviewer. Twenty minutes with any clinician, nurse, or medical student — someone who has actually opened an EMR — will correct more wrong assumptions than a day of self-directed work. If nobody in your network has clinical exposure, this is the single highest-value hour available to you.</w:t>
      </w:r>
    </w:p>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11. Risk register</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2422"/>
        <w:gridCol w:w="1025"/>
        <w:gridCol w:w="931"/>
        <w:gridCol w:w="4936"/>
      </w:tblGrid>
      <w:tr>
        <w:trPr>
          <w:tblHeader/>
        </w:trPr>
        <w:tc>
          <w:tcPr>
            <w:tcW w:type="pct" w:w="13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Risk</w:t>
            </w:r>
          </w:p>
        </w:tc>
        <w:tc>
          <w:tcPr>
            <w:tcW w:type="pct" w:w="55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Likelihood</w:t>
            </w:r>
          </w:p>
        </w:tc>
        <w:tc>
          <w:tcPr>
            <w:tcW w:type="pct" w:w="5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Impact</w:t>
            </w:r>
          </w:p>
        </w:tc>
        <w:tc>
          <w:tcPr>
            <w:tcW w:type="pct" w:w="265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Mitigation</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Generator produces unconvincing fake records</w:t>
            </w:r>
          </w:p>
        </w:tc>
        <w:tc>
          <w:tcPr>
            <w:tcW w:type="pct" w:w="5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High</w:t>
            </w:r>
          </w:p>
        </w:tc>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Critical</w:t>
            </w:r>
          </w:p>
        </w:tc>
        <w:tc>
          <w:tcPr>
            <w:tcW w:type="pct" w:w="26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Build first, show it early to anyone with domain knowledge. Invest in conditional co-occurrence rather than templated patients</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Verification layer slips past H24</w:t>
            </w:r>
          </w:p>
        </w:tc>
        <w:tc>
          <w:tcPr>
            <w:tcW w:type="pct" w:w="5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Medium</w:t>
            </w:r>
          </w:p>
        </w:tc>
        <w:tc>
          <w:tcPr>
            <w:tcW w:type="pct" w:w="5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Critical</w:t>
            </w:r>
          </w:p>
        </w:tc>
        <w:tc>
          <w:tcPr>
            <w:tcW w:type="pct" w:w="26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It is the project. Cut frontend polish before cutting verification — a bare UI with verified claims beats a beautiful UI without them</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Negation handling has bugs that look like findings</w:t>
            </w:r>
          </w:p>
        </w:tc>
        <w:tc>
          <w:tcPr>
            <w:tcW w:type="pct" w:w="5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Medium</w:t>
            </w:r>
          </w:p>
        </w:tc>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Critical</w:t>
            </w:r>
          </w:p>
        </w:tc>
        <w:tc>
          <w:tcPr>
            <w:tcW w:type="pct" w:w="26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Hand-label a negation test set. Target is 100%; report honestly if it is not</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Abstention calibration has too little data</w:t>
            </w:r>
          </w:p>
        </w:tc>
        <w:tc>
          <w:tcPr>
            <w:tcW w:type="pct" w:w="5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Medium</w:t>
            </w:r>
          </w:p>
        </w:tc>
        <w:tc>
          <w:tcPr>
            <w:tcW w:type="pct" w:w="5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Medium</w:t>
            </w:r>
          </w:p>
        </w:tc>
        <w:tc>
          <w:tcPr>
            <w:tcW w:type="pct" w:w="26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Bootstrap the labelled set by generating variations of the same records; document the method openly</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Judges see verification as "just extra safety stuff"</w:t>
            </w:r>
          </w:p>
        </w:tc>
        <w:tc>
          <w:tcPr>
            <w:tcW w:type="pct" w:w="5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Medium</w:t>
            </w:r>
          </w:p>
        </w:tc>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Medium</w:t>
            </w:r>
          </w:p>
        </w:tc>
        <w:tc>
          <w:tcPr>
            <w:tcW w:type="pct" w:w="26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Frame it first as the AI-native contribution: calibrated uncertainty is the hard capability, not paperwork</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 judge asks about HIPAA / real data</w:t>
            </w:r>
          </w:p>
        </w:tc>
        <w:tc>
          <w:tcPr>
            <w:tcW w:type="pct" w:w="5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High</w:t>
            </w:r>
          </w:p>
        </w:tc>
        <w:tc>
          <w:tcPr>
            <w:tcW w:type="pct" w:w="5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Medium</w:t>
            </w:r>
          </w:p>
        </w:tc>
        <w:tc>
          <w:tcPr>
            <w:tcW w:type="pct" w:w="26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Answer immediately and proudly — fully synthetic, generator published, nothing to breach. Turn it into a credibility win</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Team relocates mid-hack</w:t>
            </w:r>
          </w:p>
        </w:tc>
        <w:tc>
          <w:tcPr>
            <w:tcW w:type="pct" w:w="5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Low</w:t>
            </w:r>
          </w:p>
        </w:tc>
        <w:tc>
          <w:tcPr>
            <w:tcW w:type="pct" w:w="5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Critical</w:t>
            </w:r>
          </w:p>
        </w:tc>
        <w:tc>
          <w:tcPr>
            <w:tcW w:type="pct" w:w="265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This document is the commitment. Any pivot must beat the scorecard in section 2.3 in writing, before hour 10</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Model API fails on stage</w:t>
            </w:r>
          </w:p>
        </w:tc>
        <w:tc>
          <w:tcPr>
            <w:tcW w:type="pct" w:w="5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Medium</w:t>
            </w:r>
          </w:p>
        </w:tc>
        <w:tc>
          <w:tcPr>
            <w:tcW w:type="pct" w:w="5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High</w:t>
            </w:r>
          </w:p>
        </w:tc>
        <w:tc>
          <w:tcPr>
            <w:tcW w:type="pct" w:w="265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Cache every model response to disk. Graph, retrieval, and verification all run locally</w:t>
            </w:r>
          </w:p>
        </w:tc>
      </w:tr>
    </w:tbl>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12. Positioning and pitch</w:t>
      </w:r>
    </w:p>
    <w:p>
      <w:pPr>
        <w:pStyle w:val="Heading2"/>
        <w:spacing w:after="120" w:before="280"/>
      </w:pPr>
      <w:r>
        <w:rPr>
          <w:rFonts w:ascii="Calibri" w:cs="Calibri" w:eastAsia="Calibri" w:hAnsi="Calibri"/>
          <w:b/>
          <w:bCs/>
          <w:color w:val="C8901E"/>
          <w:sz w:val="24"/>
          <w:szCs w:val="24"/>
        </w:rPr>
        <w:t xml:space="preserve">12.1 The five lines</w:t>
      </w:r>
    </w:p>
    <w:p>
      <w:pPr>
        <w:pStyle w:val="ListParagraph"/>
        <w:numPr>
          <w:ilvl w:val="0"/>
          <w:numId w:val="3"/>
        </w:numPr>
        <w:spacing w:after="80" w:before="40" w:line="276"/>
      </w:pPr>
      <w:r>
        <w:rPr>
          <w:rFonts w:ascii="Calibri" w:cs="Calibri" w:eastAsia="Calibri" w:hAnsi="Calibri"/>
          <w:color w:val="1A1A1A"/>
          <w:sz w:val="21"/>
          <w:szCs w:val="21"/>
        </w:rPr>
        <w:t xml:space="preserve">"Every claim is cited. Anything we cannot verify does not appear."</w:t>
      </w:r>
    </w:p>
    <w:p>
      <w:pPr>
        <w:pStyle w:val="ListParagraph"/>
        <w:numPr>
          <w:ilvl w:val="0"/>
          <w:numId w:val="3"/>
        </w:numPr>
        <w:spacing w:after="80" w:before="40" w:line="276"/>
      </w:pPr>
      <w:r>
        <w:rPr>
          <w:rFonts w:ascii="Calibri" w:cs="Calibri" w:eastAsia="Calibri" w:hAnsi="Calibri"/>
          <w:color w:val="1A1A1A"/>
          <w:sz w:val="21"/>
          <w:szCs w:val="21"/>
        </w:rPr>
        <w:t xml:space="preserve">"Our system knows when not to answer — and we can tell you how often it was right."</w:t>
      </w:r>
    </w:p>
    <w:p>
      <w:pPr>
        <w:pStyle w:val="ListParagraph"/>
        <w:numPr>
          <w:ilvl w:val="0"/>
          <w:numId w:val="3"/>
        </w:numPr>
        <w:spacing w:after="80" w:before="40" w:line="276"/>
      </w:pPr>
      <w:r>
        <w:rPr>
          <w:rFonts w:ascii="Calibri" w:cs="Calibri" w:eastAsia="Calibri" w:hAnsi="Calibri"/>
          <w:color w:val="1A1A1A"/>
          <w:sz w:val="21"/>
          <w:szCs w:val="21"/>
        </w:rPr>
        <w:t xml:space="preserve">"We planted the clinical findings. Here is our detection rate, and here is the one we missed."</w:t>
      </w:r>
    </w:p>
    <w:p>
      <w:pPr>
        <w:pStyle w:val="ListParagraph"/>
        <w:numPr>
          <w:ilvl w:val="0"/>
          <w:numId w:val="3"/>
        </w:numPr>
        <w:spacing w:after="80" w:before="40" w:line="276"/>
      </w:pPr>
      <w:r>
        <w:rPr>
          <w:rFonts w:ascii="Calibri" w:cs="Calibri" w:eastAsia="Calibri" w:hAnsi="Calibri"/>
          <w:color w:val="1A1A1A"/>
          <w:sz w:val="21"/>
          <w:szCs w:val="21"/>
        </w:rPr>
        <w:t xml:space="preserve">"We do not retrieve documents. We query a temporal clinical graph."</w:t>
      </w:r>
    </w:p>
    <w:p>
      <w:pPr>
        <w:pStyle w:val="ListParagraph"/>
        <w:numPr>
          <w:ilvl w:val="0"/>
          <w:numId w:val="3"/>
        </w:numPr>
        <w:spacing w:after="80" w:before="40" w:line="276"/>
      </w:pPr>
      <w:r>
        <w:rPr>
          <w:rFonts w:ascii="Calibri" w:cs="Calibri" w:eastAsia="Calibri" w:hAnsi="Calibri"/>
          <w:color w:val="1A1A1A"/>
          <w:sz w:val="21"/>
          <w:szCs w:val="21"/>
        </w:rPr>
        <w:t xml:space="preserve">"No real patient data, anywhere. We published the generator."</w:t>
      </w:r>
    </w:p>
    <w:p>
      <w:pPr>
        <w:pStyle w:val="Heading2"/>
        <w:spacing w:after="120" w:before="280"/>
      </w:pPr>
      <w:r>
        <w:rPr>
          <w:rFonts w:ascii="Calibri" w:cs="Calibri" w:eastAsia="Calibri" w:hAnsi="Calibri"/>
          <w:b/>
          <w:bCs/>
          <w:color w:val="C8901E"/>
          <w:sz w:val="24"/>
          <w:szCs w:val="24"/>
        </w:rPr>
        <w:t xml:space="preserve">12.2 The 90-second demo</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1118"/>
        <w:gridCol w:w="1118"/>
        <w:gridCol w:w="3726"/>
        <w:gridCol w:w="3353"/>
      </w:tblGrid>
      <w:tr>
        <w:trPr>
          <w:tblHeader/>
        </w:trPr>
        <w:tc>
          <w:tcPr>
            <w:tcW w:type="pct" w:w="6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Beat</w:t>
            </w:r>
          </w:p>
        </w:tc>
        <w:tc>
          <w:tcPr>
            <w:tcW w:type="pct" w:w="6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Time</w:t>
            </w:r>
          </w:p>
        </w:tc>
        <w:tc>
          <w:tcPr>
            <w:tcW w:type="pct" w:w="20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Action</w:t>
            </w:r>
          </w:p>
        </w:tc>
        <w:tc>
          <w:tcPr>
            <w:tcW w:type="pct" w:w="18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What the judge sees</w:t>
            </w:r>
          </w:p>
        </w:tc>
      </w:tr>
      <w:tr>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Open</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0:00–0:10</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Open a patient chart. Three items sit in the attention queue.</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 real-looking EMR, immediately legible</w:t>
            </w:r>
          </w:p>
        </w:tc>
      </w:tr>
      <w:tr>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Trace</w:t>
            </w:r>
          </w:p>
        </w:tc>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0:10–0:25</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Click the top finding. Citation resolves to the exact lab node; the trend is visible across six months.</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Every claim traceable in two clicks</w:t>
            </w:r>
          </w:p>
        </w:tc>
      </w:tr>
      <w:tr>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Interrogate</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0:25–0:40</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Ask: "Any sign the kidney function is worsening?" Answered from the graph, cited, verified.</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Structured reasoning, not summarisation</w:t>
            </w:r>
          </w:p>
        </w:tc>
      </w:tr>
      <w:tr>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The turn</w:t>
            </w:r>
          </w:p>
        </w:tc>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0:40–0:55</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Ask a question the record genuinely cannot answer. The system refuses, says what is missing, and routes it.</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The moment nobody else in the room will have</w:t>
            </w:r>
          </w:p>
        </w:tc>
      </w:tr>
      <w:tr>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Prove</w:t>
            </w:r>
          </w:p>
        </w:tc>
        <w:tc>
          <w:tcPr>
            <w:tcW w:type="pct" w:w="6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0:55–1:15</w:t>
            </w:r>
          </w:p>
        </w:tc>
        <w:tc>
          <w:tcPr>
            <w:tcW w:type="pct" w:w="20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Open the benchmark panel: planted findings detected, unsupported claim rate, abstention accuracy — and the one that was missed.</w:t>
            </w:r>
          </w:p>
        </w:tc>
        <w:tc>
          <w:tcPr>
            <w:tcW w:type="pct" w:w="18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Correctness that can be checked</w:t>
            </w:r>
          </w:p>
        </w:tc>
      </w:tr>
      <w:tr>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Verify</w:t>
            </w:r>
          </w:p>
        </w:tc>
        <w:tc>
          <w:tcPr>
            <w:tcW w:type="pct" w:w="6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1:15–1:30</w:t>
            </w:r>
          </w:p>
        </w:tc>
        <w:tc>
          <w:tcPr>
            <w:tcW w:type="pct" w:w="20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Open the audit drawer on any claim. Full provenance to source nodes.</w:t>
            </w:r>
          </w:p>
        </w:tc>
        <w:tc>
          <w:tcPr>
            <w:tcW w:type="pct" w:w="18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Nothing hidden</w:t>
            </w:r>
          </w:p>
        </w:tc>
      </w:tr>
    </w:tbl>
    <w:p>
      <w:pPr>
        <w:spacing w:after="80"/>
      </w:pPr>
      <w:r>
        <w:rPr>
          <w:sz w:val="12"/>
          <w:szCs w:val="12"/>
        </w:rPr>
        <w:t xml:space="preserve"/>
      </w:r>
    </w:p>
    <w:p>
      <w:pPr>
        <w:pStyle w:val="Heading2"/>
        <w:spacing w:after="120" w:before="280"/>
      </w:pPr>
      <w:r>
        <w:rPr>
          <w:rFonts w:ascii="Calibri" w:cs="Calibri" w:eastAsia="Calibri" w:hAnsi="Calibri"/>
          <w:b/>
          <w:bCs/>
          <w:color w:val="C8901E"/>
          <w:sz w:val="24"/>
          <w:szCs w:val="24"/>
        </w:rPr>
        <w:t xml:space="preserve">12.3 Objections and responses</w:t>
      </w:r>
    </w:p>
    <w:tbl>
      <w:tblPr>
        <w:tblW w:type="pct" w:w="5000"/>
        <w:tblBorders>
          <w:top w:val="single" w:color="D8D2C4" w:sz="4"/>
          <w:left w:val="single" w:color="D8D2C4" w:sz="4"/>
          <w:bottom w:val="single" w:color="D8D2C4" w:sz="4"/>
          <w:right w:val="single" w:color="D8D2C4" w:sz="4"/>
          <w:insideH w:val="single" w:color="D8D2C4" w:sz="4"/>
          <w:insideV w:val="single" w:color="D8D2C4" w:sz="4"/>
        </w:tblBorders>
      </w:tblPr>
      <w:tblGrid>
        <w:gridCol w:w="2422"/>
        <w:gridCol w:w="6892"/>
      </w:tblGrid>
      <w:tr>
        <w:trPr>
          <w:tblHeader/>
        </w:trPr>
        <w:tc>
          <w:tcPr>
            <w:tcW w:type="pct" w:w="13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Objection</w:t>
            </w:r>
          </w:p>
        </w:tc>
        <w:tc>
          <w:tcPr>
            <w:tcW w:type="pct" w:w="3700"/>
            <w:shd w:fill="2A2A2A" w:val="clear"/>
            <w:tcMar>
              <w:top w:type="dxa" w:w="90"/>
              <w:left w:type="dxa" w:w="120"/>
              <w:bottom w:type="dxa" w:w="90"/>
              <w:right w:type="dxa" w:w="120"/>
            </w:tcMar>
          </w:tcPr>
          <w:p>
            <w:pPr>
              <w:spacing w:after="40" w:before="40" w:line="264"/>
            </w:pPr>
            <w:r>
              <w:rPr>
                <w:rFonts w:ascii="Calibri" w:cs="Calibri" w:eastAsia="Calibri" w:hAnsi="Calibri"/>
                <w:b/>
                <w:bCs/>
                <w:color w:val="FFFFFF"/>
                <w:sz w:val="19"/>
                <w:szCs w:val="19"/>
              </w:rPr>
              <w:t xml:space="preserve">Response</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"This is just RAG with extra steps."</w:t>
            </w:r>
          </w:p>
        </w:tc>
        <w:tc>
          <w:tcPr>
            <w:tcW w:type="pct" w:w="3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RAG returns similar text. We answer questions that require temporal joins across encounters — what changed since last visit, what has no follow-up, what is a deteriorating trend across six months of results. Those are graph queries; a chunk store cannot express them. We can show you a question that breaks our own retrieval if you want a fair test.</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"Abstaining is a cop-out — just answer."</w:t>
            </w:r>
          </w:p>
        </w:tc>
        <w:tc>
          <w:tcPr>
            <w:tcW w:type="pct" w:w="3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In this domain, the failure modes are asymmetric. A missing answer costs the clinician one more minute. A confident wrong answer about a drug interaction can reach a patient. We refuse when the record does not support a claim, and we are measured on how often that refusal was correct — so it is a calibrated behaviour, not an evasion.</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"Your verifier is also a model, so it is not trustworthy."</w:t>
            </w:r>
          </w:p>
        </w:tc>
        <w:tc>
          <w:tcPr>
            <w:tcW w:type="pct" w:w="3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Agreed, which is why we validate it against a hand-labelled claim set and report its accuracy — 87% in our run. Shipping an unvalidated verifier would be the exact error we are criticising in everyone else. You should discount our numbers accordingly, and here they are.</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"Synthetic data means it will not work on real records."</w:t>
            </w:r>
          </w:p>
        </w:tc>
        <w:tc>
          <w:tcPr>
            <w:tcW w:type="pct" w:w="3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Realistically, no system works on real records without adaptation — which is true of every project in this room. We claim the architecture and the verification pipeline transfer, not that our generator is a substitute for a hospital's data. Our data posture is a safety property, and it means our benchmark is fully reproducible.</w:t>
            </w:r>
          </w:p>
        </w:tc>
      </w:tr>
      <w:tr>
        <w:tc>
          <w:tcPr>
            <w:tcW w:type="pct" w:w="1300"/>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"Why not just use a bigger model with a longer context window?"</w:t>
            </w:r>
          </w:p>
        </w:tc>
        <w:tc>
          <w:tcPr>
            <w:tcW w:type="pct" w:w="3700"/>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Context length solves reading. It does not solve verification, calibration, or refusal — and it does not give you citation-valid claims with a measured unsupported-claim rate. More context makes the model more fluent and more confident, which in this domain is not the same as more correct.</w:t>
            </w:r>
          </w:p>
        </w:tc>
      </w:tr>
      <w:tr>
        <w:tc>
          <w:tcPr>
            <w:tcW w:type="pct" w:w="1300"/>
            <w:shd w:fill="F7F5EF" w:val="clear"/>
            <w:tcMar>
              <w:top w:type="dxa" w:w="90"/>
              <w:left w:type="dxa" w:w="120"/>
              <w:bottom w:type="dxa" w:w="90"/>
              <w:right w:type="dxa" w:w="120"/>
            </w:tcMar>
            <w:vAlign w:val="center"/>
          </w:tcPr>
          <w:p>
            <w:pPr>
              <w:spacing w:after="40" w:before="40" w:line="264"/>
            </w:pPr>
            <w:r>
              <w:rPr>
                <w:rFonts w:ascii="Calibri" w:cs="Calibri" w:eastAsia="Calibri" w:hAnsi="Calibri"/>
                <w:b/>
                <w:bCs/>
                <w:color w:val="1A1A1A"/>
                <w:sz w:val="19"/>
                <w:szCs w:val="19"/>
              </w:rPr>
              <w:t xml:space="preserve">"What about HIPAA / patient privacy?"</w:t>
            </w:r>
          </w:p>
        </w:tc>
        <w:tc>
          <w:tcPr>
            <w:tcW w:type="pct" w:w="3700"/>
            <w:shd w:fill="F7F5EF" w:val="clear"/>
            <w:tcMar>
              <w:top w:type="dxa" w:w="90"/>
              <w:left w:type="dxa" w:w="120"/>
              <w:bottom w:type="dxa" w:w="90"/>
              <w:right w:type="dxa" w:w="120"/>
            </w:tcMar>
            <w:vAlign w:val="center"/>
          </w:tcPr>
          <w:p>
            <w:pPr>
              <w:spacing w:after="40" w:before="40" w:line="264"/>
            </w:pPr>
            <w:r>
              <w:rPr>
                <w:rFonts w:ascii="Calibri" w:cs="Calibri" w:eastAsia="Calibri" w:hAnsi="Calibri"/>
                <w:b w:val="false"/>
                <w:bCs w:val="false"/>
                <w:color w:val="1A1A1A"/>
                <w:sz w:val="19"/>
                <w:szCs w:val="19"/>
              </w:rPr>
              <w:t xml:space="preserve">There is nothing to breach. Every record is generated by a pipeline we can show you, and we publish the generator. No real PHI enters the system at any stage, which is why our entire benchmark is reproducible by anyone who wants to check our numbers.</w:t>
            </w:r>
          </w:p>
        </w:tc>
      </w:tr>
    </w:tbl>
    <w:p>
      <w:r>
        <w:br w:type="page"/>
      </w:r>
    </w:p>
    <w:p>
      <w:pPr>
        <w:pStyle w:val="Heading1"/>
        <w:pBdr>
          <w:bottom w:val="single" w:color="C8901E" w:sz="12" w:space="6"/>
        </w:pBdr>
        <w:spacing w:after="200" w:before="360"/>
      </w:pPr>
      <w:r>
        <w:rPr>
          <w:rFonts w:ascii="Calibri" w:cs="Calibri" w:eastAsia="Calibri" w:hAnsi="Calibri"/>
          <w:b/>
          <w:bCs/>
          <w:color w:val="1A1A1A"/>
          <w:sz w:val="30"/>
          <w:szCs w:val="30"/>
        </w:rPr>
        <w:t xml:space="preserve">13. Pre-hackathon checklist</w:t>
      </w:r>
    </w:p>
    <w:p>
      <w:pPr>
        <w:spacing w:after="120" w:before="60" w:line="288"/>
      </w:pPr>
      <w:r>
        <w:rPr>
          <w:rFonts w:ascii="Calibri" w:cs="Calibri" w:eastAsia="Calibri" w:hAnsi="Calibri"/>
          <w:color w:val="1A1A1A"/>
          <w:sz w:val="21"/>
          <w:szCs w:val="21"/>
        </w:rPr>
        <w:t xml:space="preserve">Resolve before the clock starts. The first item can override everything above.</w:t>
      </w:r>
    </w:p>
    <w:p>
      <w:pPr>
        <w:pStyle w:val="ListParagraph"/>
        <w:numPr>
          <w:ilvl w:val="true"/>
          <w:numId w:val="2"/>
        </w:numPr>
        <w:spacing w:after="60" w:before="30" w:line="276"/>
      </w:pPr>
      <w:r>
        <w:rPr>
          <w:rFonts w:ascii="Calibri" w:cs="Calibri" w:eastAsia="Calibri" w:hAnsi="Calibri"/>
          <w:b w:val="false"/>
          <w:bCs w:val="false"/>
          <w:color w:val="1A1A1A"/>
          <w:sz w:val="21"/>
          <w:szCs w:val="21"/>
        </w:rPr>
        <w:t xml:space="preserve">Confirm the judging rubric weights. If depth and impact dominate over AI novelty, D01 is the better build — its scorecard is higher and the same team can pivot in four hours.</w:t>
      </w:r>
    </w:p>
    <w:p>
      <w:pPr>
        <w:pStyle w:val="ListParagraph"/>
        <w:numPr>
          <w:ilvl w:val="true"/>
          <w:numId w:val="2"/>
        </w:numPr>
        <w:spacing w:after="60" w:before="30" w:line="276"/>
      </w:pPr>
      <w:r>
        <w:rPr>
          <w:rFonts w:ascii="Calibri" w:cs="Calibri" w:eastAsia="Calibri" w:hAnsi="Calibri"/>
          <w:b w:val="false"/>
          <w:bCs w:val="false"/>
          <w:color w:val="1A1A1A"/>
          <w:sz w:val="21"/>
          <w:szCs w:val="21"/>
        </w:rPr>
        <w:t xml:space="preserve">Secure one clinical reviewer. A clinician, nurse, medical student, or anyone who has actually used an EMR. Highest-value hour available.</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Confirm model API access, rate limits, and a fallback provider.</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Confirm every dependency installs from a clean environment — build a throwaway repo tonight and start it cold.</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Agree the canonical data model before anyone writes code. Schema churn at hour 14 is the most common cause of failure.</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Decide the abstention threshold philosophy now, in writing, so it is not tuned to look good after the fact.</w:t>
      </w:r>
    </w:p>
    <w:p>
      <w:pPr>
        <w:pStyle w:val="ListParagraph"/>
        <w:numPr>
          <w:ilvl w:val="0"/>
          <w:numId w:val="2"/>
        </w:numPr>
        <w:spacing w:after="60" w:before="30" w:line="276"/>
      </w:pPr>
      <w:r>
        <w:rPr>
          <w:rFonts w:ascii="Calibri" w:cs="Calibri" w:eastAsia="Calibri" w:hAnsi="Calibri"/>
          <w:b w:val="false"/>
          <w:bCs w:val="false"/>
          <w:color w:val="1A1A1A"/>
          <w:sz w:val="21"/>
          <w:szCs w:val="21"/>
        </w:rPr>
        <w:t xml:space="preserve">Rehearse the demo on the actual presentation hardware, offline.</w:t>
      </w:r>
    </w:p>
    <w:p>
      <w:pPr>
        <w:spacing w:after="160"/>
      </w:pPr>
      <w:r>
        <w:rPr>
          <w:sz w:val="12"/>
          <w:szCs w:val="12"/>
        </w:rPr>
        <w:t xml:space="preserve"/>
      </w:r>
    </w:p>
    <w:tbl>
      <w:tblPr>
        <w:tblW w:type="pct" w:w="5000"/>
        <w:tblBorders>
          <w:top w:val="single" w:color="E8E0CC" w:sz="4"/>
          <w:left w:val="single" w:color="C8901E" w:sz="18"/>
          <w:bottom w:val="single" w:color="E8E0CC" w:sz="4"/>
          <w:right w:val="single" w:color="E8E0CC" w:sz="4"/>
          <w:insideH w:val="single" w:color="auto" w:sz="4"/>
          <w:insideV w:val="single" w:color="auto" w:sz="4"/>
        </w:tblBorders>
      </w:tblPr>
      <w:tblGrid>
        <w:gridCol w:w="9314"/>
      </w:tblGrid>
      <w:tr>
        <w:tc>
          <w:tcPr>
            <w:shd w:fill="F5E6C4" w:val="clear"/>
            <w:tcMar>
              <w:top w:type="dxa" w:w="140"/>
              <w:left w:type="dxa" w:w="200"/>
              <w:bottom w:type="dxa" w:w="140"/>
              <w:right w:type="dxa" w:w="200"/>
            </w:tcMar>
          </w:tcPr>
          <w:p>
            <w:pPr>
              <w:spacing w:after="60"/>
            </w:pPr>
            <w:r>
              <w:rPr>
                <w:rFonts w:ascii="Calibri" w:cs="Calibri" w:eastAsia="Calibri" w:hAnsi="Calibri"/>
                <w:b/>
                <w:bCs/>
                <w:color w:val="C8901E"/>
                <w:sz w:val="18"/>
                <w:szCs w:val="18"/>
              </w:rPr>
              <w:t xml:space="preserve">IF YOU CAN ONLY DO ONE THING WELL</w:t>
            </w:r>
          </w:p>
          <w:p>
            <w:pPr>
              <w:spacing w:after="0" w:line="276"/>
            </w:pPr>
            <w:r>
              <w:rPr>
                <w:rFonts w:ascii="Calibri" w:cs="Calibri" w:eastAsia="Calibri" w:hAnsi="Calibri"/>
                <w:color w:val="1A1A1A"/>
                <w:sz w:val="21"/>
                <w:szCs w:val="21"/>
              </w:rPr>
              <w:t xml:space="preserve">Build the evaluation harness with planted findings and hand-labelled negatives. Everything else here can be degraded to survive a bad demo. The benchmark cannot — it is the difference between a project and an assertion, and it is the thing the teams around you will not have thought to build.</w:t>
            </w:r>
          </w:p>
        </w:tc>
      </w:tr>
    </w:tbl>
    <w:p>
      <w:pPr>
        <w:spacing w:after="200"/>
      </w:pPr>
      <w:r>
        <w:rPr>
          <w:sz w:val="12"/>
          <w:szCs w:val="12"/>
        </w:rPr>
        <w:t xml:space="preserve"/>
      </w:r>
    </w:p>
    <w:p>
      <w:pPr>
        <w:spacing w:after="120" w:before="60" w:line="288"/>
        <w:jc w:val="center"/>
      </w:pPr>
      <w:r>
        <w:rPr>
          <w:rFonts w:ascii="Calibri" w:cs="Calibri" w:eastAsia="Calibri" w:hAnsi="Calibri"/>
          <w:i/>
          <w:iCs/>
          <w:color w:val="5A5A5A"/>
          <w:sz w:val="19"/>
          <w:szCs w:val="19"/>
        </w:rPr>
        <w:t xml:space="preserve">— End of proposal —</w:t>
      </w:r>
    </w:p>
    <w:sectPr>
      <w:pgSz w:w="11906" w:h="16838" w:orient="portrait"/>
      <w:pgMar w:top="1224" w:right="1296" w:bottom="1224"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rPr>
        <w:rFonts w:ascii="Calibri" w:cs="Calibri" w:eastAsia="Calibri" w:hAnsi="Calibri"/>
        <w:color w:val="C8901E"/>
      </w:rPr>
    </w:lvl>
    <w:lvl w:ilvl="1" w:tentative="1">
      <w:start w:val="1"/>
      <w:numFmt w:val="bullet"/>
      <w:lvlText w:val="–"/>
      <w:lvlJc w:val="left"/>
      <w:pPr>
        <w:ind w:left="800" w:hanging="220"/>
      </w:pPr>
      <w:rPr>
        <w:rFonts w:ascii="Calibri" w:cs="Calibri" w:eastAsia="Calibri" w:hAnsi="Calibri"/>
        <w:color w:val="5A5A5A"/>
      </w:rPr>
    </w:lvl>
  </w:abstractNum>
  <w:abstractNum w:abstractNumId="3" w15:restartNumberingAfterBreak="0">
    <w:multiLevelType w:val="hybridMultilevel"/>
    <w:lvl w:ilvl="0" w:tentative="1">
      <w:start w:val="1"/>
      <w:numFmt w:val="decimal"/>
      <w:lvlText w:val="%1."/>
      <w:lvlJc w:val="left"/>
      <w:pPr>
        <w:ind w:left="420" w:hanging="260"/>
      </w:pPr>
      <w:rPr>
        <w:rFonts w:ascii="Calibri" w:cs="Calibri" w:eastAsia="Calibri" w:hAnsi="Calibri"/>
        <w:b/>
        <w:bCs/>
        <w:color w:val="C8901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C8901E"/>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A1A1A"/>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AXIOM — District 04 Full Proposal: AI-Native EMR for Intelligent Clinical Assistance</dc:title>
  <dc:creator>Hackathon Strategy</dc:creator>
  <dc:description>Full proposal: problem, architecture, evaluation harness, sprint plan, positioning.</dc:description>
  <cp:lastModifiedBy>Un-named</cp:lastModifiedBy>
  <cp:revision>1</cp:revision>
  <dcterms:created xsi:type="dcterms:W3CDTF">2026-10-07T06:35:25.735Z</dcterms:created>
  <dcterms:modified xsi:type="dcterms:W3CDTF">2026-10-07T06:35:25.736Z</dcterms:modified>
</cp:coreProperties>
</file>

<file path=docProps/custom.xml><?xml version="1.0" encoding="utf-8"?>
<Properties xmlns="http://schemas.openxmlformats.org/officeDocument/2006/custom-properties" xmlns:vt="http://schemas.openxmlformats.org/officeDocument/2006/docPropsVTypes"/>
</file>